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20C9">
      <w:pPr>
        <w:spacing w:line="1200" w:lineRule="exact"/>
        <w:jc w:val="center"/>
        <w:rPr>
          <w:rFonts w:ascii="仿宋_GB2312" w:cs="仿宋_GB2312"/>
          <w:b/>
          <w:sz w:val="84"/>
          <w:szCs w:val="84"/>
        </w:rPr>
      </w:pPr>
      <w:r>
        <w:rPr>
          <w:rFonts w:hint="eastAsia" w:ascii="仿宋_GB2312" w:cs="仿宋_GB2312"/>
          <w:b/>
          <w:sz w:val="84"/>
          <w:szCs w:val="84"/>
        </w:rPr>
        <w:t>三台县</w:t>
      </w:r>
      <w:r>
        <w:rPr>
          <w:rFonts w:hint="eastAsia" w:ascii="仿宋_GB2312" w:cs="仿宋_GB2312"/>
          <w:b/>
          <w:sz w:val="84"/>
          <w:szCs w:val="84"/>
          <w:lang w:val="en-US" w:eastAsia="zh-CN"/>
        </w:rPr>
        <w:t>中</w:t>
      </w:r>
      <w:r>
        <w:rPr>
          <w:rFonts w:hint="eastAsia" w:ascii="仿宋_GB2312" w:cs="仿宋_GB2312"/>
          <w:b/>
          <w:sz w:val="84"/>
          <w:szCs w:val="84"/>
        </w:rPr>
        <w:t>医院</w:t>
      </w:r>
    </w:p>
    <w:p w14:paraId="4604A833">
      <w:pPr>
        <w:jc w:val="center"/>
        <w:rPr>
          <w:rFonts w:cs="宋体"/>
          <w:b/>
          <w:sz w:val="28"/>
          <w:szCs w:val="28"/>
        </w:rPr>
      </w:pPr>
    </w:p>
    <w:p w14:paraId="2568DE3B">
      <w:pPr>
        <w:spacing w:line="1200" w:lineRule="exact"/>
        <w:jc w:val="center"/>
        <w:rPr>
          <w:b/>
          <w:sz w:val="96"/>
          <w:szCs w:val="96"/>
        </w:rPr>
      </w:pPr>
      <w:r>
        <w:rPr>
          <w:rFonts w:hint="eastAsia"/>
          <w:b/>
          <w:spacing w:val="-30"/>
          <w:sz w:val="96"/>
          <w:szCs w:val="96"/>
        </w:rPr>
        <w:t>竞争性磋商文件</w:t>
      </w:r>
    </w:p>
    <w:p w14:paraId="56FF5978">
      <w:pPr>
        <w:jc w:val="center"/>
        <w:rPr>
          <w:rFonts w:cs="宋体"/>
          <w:b/>
          <w:sz w:val="28"/>
          <w:szCs w:val="28"/>
        </w:rPr>
      </w:pPr>
    </w:p>
    <w:p w14:paraId="5997F6BE">
      <w:pPr>
        <w:jc w:val="center"/>
        <w:rPr>
          <w:rFonts w:cs="宋体"/>
          <w:b/>
          <w:sz w:val="28"/>
          <w:szCs w:val="28"/>
        </w:rPr>
      </w:pPr>
    </w:p>
    <w:p w14:paraId="1CDC98B3">
      <w:pPr>
        <w:jc w:val="center"/>
        <w:rPr>
          <w:rFonts w:cs="宋体"/>
          <w:b/>
          <w:sz w:val="28"/>
          <w:szCs w:val="28"/>
        </w:rPr>
      </w:pPr>
    </w:p>
    <w:p w14:paraId="58C20519">
      <w:pPr>
        <w:spacing w:line="460" w:lineRule="exact"/>
        <w:jc w:val="center"/>
        <w:rPr>
          <w:rFonts w:ascii="仿宋_GB2312" w:cs="仿宋_GB2312"/>
          <w:b/>
          <w:bCs/>
          <w:sz w:val="36"/>
          <w:szCs w:val="36"/>
        </w:rPr>
      </w:pPr>
    </w:p>
    <w:p w14:paraId="5C79EF3D">
      <w:pPr>
        <w:spacing w:line="460" w:lineRule="exact"/>
        <w:jc w:val="center"/>
        <w:rPr>
          <w:rFonts w:ascii="仿宋_GB2312" w:cs="仿宋_GB2312"/>
          <w:b/>
          <w:bCs/>
          <w:sz w:val="36"/>
          <w:szCs w:val="36"/>
        </w:rPr>
      </w:pPr>
    </w:p>
    <w:p w14:paraId="51E86DD5">
      <w:pPr>
        <w:spacing w:line="460" w:lineRule="exact"/>
        <w:jc w:val="center"/>
        <w:rPr>
          <w:rFonts w:ascii="仿宋_GB2312" w:cs="仿宋_GB2312"/>
          <w:b/>
          <w:bCs/>
          <w:sz w:val="36"/>
          <w:szCs w:val="36"/>
        </w:rPr>
      </w:pPr>
    </w:p>
    <w:p w14:paraId="6E1443B8">
      <w:pPr>
        <w:spacing w:line="460" w:lineRule="exact"/>
        <w:jc w:val="center"/>
        <w:rPr>
          <w:rFonts w:ascii="仿宋_GB2312" w:cs="仿宋_GB2312"/>
          <w:b/>
          <w:bCs/>
          <w:sz w:val="36"/>
          <w:szCs w:val="36"/>
        </w:rPr>
      </w:pPr>
    </w:p>
    <w:p w14:paraId="2AE0432B">
      <w:pPr>
        <w:spacing w:line="460" w:lineRule="exact"/>
        <w:jc w:val="center"/>
        <w:rPr>
          <w:rFonts w:ascii="仿宋_GB2312" w:cs="仿宋_GB2312"/>
          <w:b/>
          <w:bCs/>
          <w:sz w:val="36"/>
          <w:szCs w:val="36"/>
        </w:rPr>
      </w:pPr>
    </w:p>
    <w:p w14:paraId="4A4273B1">
      <w:pPr>
        <w:ind w:firstLine="1417" w:firstLineChars="196"/>
        <w:rPr>
          <w:rFonts w:cs="宋体"/>
          <w:sz w:val="72"/>
          <w:szCs w:val="72"/>
          <w:u w:val="single"/>
        </w:rPr>
      </w:pPr>
      <w:r>
        <w:rPr>
          <w:rFonts w:hint="eastAsia" w:ascii="仿宋_GB2312" w:cs="仿宋_GB2312"/>
          <w:b/>
          <w:bCs/>
          <w:sz w:val="72"/>
          <w:szCs w:val="72"/>
        </w:rPr>
        <w:t>项目：</w:t>
      </w:r>
      <w:r>
        <w:rPr>
          <w:rFonts w:hint="eastAsia" w:ascii="仿宋_GB2312" w:cs="仿宋_GB2312"/>
          <w:b/>
          <w:bCs/>
          <w:sz w:val="72"/>
          <w:szCs w:val="72"/>
          <w:u w:val="single"/>
        </w:rPr>
        <w:t>食堂承包</w:t>
      </w:r>
      <w:r>
        <w:rPr>
          <w:rFonts w:hint="eastAsia" w:ascii="仿宋_GB2312" w:cs="仿宋_GB2312"/>
          <w:b/>
          <w:bCs/>
          <w:sz w:val="72"/>
          <w:szCs w:val="72"/>
          <w:u w:val="single"/>
          <w:lang w:val="en-US" w:eastAsia="zh-CN"/>
        </w:rPr>
        <w:t>服务</w:t>
      </w:r>
    </w:p>
    <w:p w14:paraId="1EFFB2B3">
      <w:pPr>
        <w:jc w:val="center"/>
        <w:rPr>
          <w:rFonts w:cs="宋体"/>
          <w:b/>
          <w:sz w:val="28"/>
          <w:szCs w:val="28"/>
        </w:rPr>
      </w:pPr>
    </w:p>
    <w:p w14:paraId="48547953">
      <w:pPr>
        <w:jc w:val="center"/>
        <w:rPr>
          <w:rFonts w:cs="宋体"/>
          <w:b/>
          <w:sz w:val="28"/>
          <w:szCs w:val="28"/>
        </w:rPr>
      </w:pPr>
    </w:p>
    <w:p w14:paraId="0008DD6D">
      <w:pPr>
        <w:jc w:val="center"/>
        <w:rPr>
          <w:rFonts w:cs="宋体"/>
          <w:b/>
          <w:sz w:val="28"/>
          <w:szCs w:val="28"/>
        </w:rPr>
      </w:pPr>
    </w:p>
    <w:p w14:paraId="0655D230">
      <w:pPr>
        <w:jc w:val="center"/>
        <w:rPr>
          <w:rFonts w:cs="宋体"/>
          <w:b/>
          <w:sz w:val="28"/>
          <w:szCs w:val="28"/>
        </w:rPr>
      </w:pPr>
    </w:p>
    <w:p w14:paraId="6F019409">
      <w:pPr>
        <w:jc w:val="center"/>
        <w:rPr>
          <w:rFonts w:cs="宋体"/>
          <w:b/>
          <w:sz w:val="28"/>
          <w:szCs w:val="28"/>
        </w:rPr>
      </w:pPr>
    </w:p>
    <w:p w14:paraId="4D3BABCB">
      <w:pPr>
        <w:jc w:val="center"/>
        <w:rPr>
          <w:rFonts w:cs="宋体"/>
          <w:b/>
          <w:sz w:val="28"/>
          <w:szCs w:val="28"/>
        </w:rPr>
      </w:pPr>
    </w:p>
    <w:p w14:paraId="7D3A6B88">
      <w:pPr>
        <w:jc w:val="center"/>
        <w:rPr>
          <w:rFonts w:cs="宋体"/>
          <w:b/>
          <w:sz w:val="28"/>
          <w:szCs w:val="28"/>
        </w:rPr>
      </w:pPr>
    </w:p>
    <w:p w14:paraId="2703B545">
      <w:pPr>
        <w:jc w:val="center"/>
        <w:rPr>
          <w:rFonts w:cs="宋体"/>
          <w:b/>
          <w:sz w:val="28"/>
          <w:szCs w:val="28"/>
        </w:rPr>
      </w:pPr>
    </w:p>
    <w:p w14:paraId="79B6E609">
      <w:pPr>
        <w:jc w:val="center"/>
        <w:rPr>
          <w:rFonts w:cs="宋体"/>
          <w:b/>
          <w:sz w:val="28"/>
          <w:szCs w:val="28"/>
        </w:rPr>
      </w:pPr>
    </w:p>
    <w:p w14:paraId="18CBCA4F">
      <w:pPr>
        <w:jc w:val="center"/>
        <w:rPr>
          <w:rFonts w:cs="宋体"/>
          <w:b/>
          <w:sz w:val="28"/>
          <w:szCs w:val="28"/>
        </w:rPr>
      </w:pPr>
    </w:p>
    <w:p w14:paraId="0FFF5430">
      <w:pPr>
        <w:jc w:val="center"/>
        <w:rPr>
          <w:rFonts w:cs="宋体"/>
          <w:b/>
          <w:sz w:val="28"/>
          <w:szCs w:val="28"/>
        </w:rPr>
      </w:pPr>
    </w:p>
    <w:p w14:paraId="3F1181FF">
      <w:pPr>
        <w:spacing w:line="460" w:lineRule="exact"/>
        <w:jc w:val="center"/>
        <w:rPr>
          <w:rFonts w:eastAsia="宋体" w:cs="宋体"/>
          <w:b/>
          <w:sz w:val="36"/>
          <w:szCs w:val="36"/>
        </w:rPr>
      </w:pPr>
      <w:r>
        <w:rPr>
          <w:rFonts w:hint="eastAsia" w:eastAsia="宋体" w:cs="宋体"/>
          <w:b/>
          <w:sz w:val="36"/>
          <w:szCs w:val="36"/>
        </w:rPr>
        <w:t>三台县</w:t>
      </w:r>
      <w:r>
        <w:rPr>
          <w:rFonts w:hint="eastAsia" w:eastAsia="宋体" w:cs="宋体"/>
          <w:b/>
          <w:sz w:val="36"/>
          <w:szCs w:val="36"/>
          <w:lang w:val="en-US" w:eastAsia="zh-CN"/>
        </w:rPr>
        <w:t>中</w:t>
      </w:r>
      <w:r>
        <w:rPr>
          <w:rFonts w:hint="eastAsia" w:eastAsia="宋体" w:cs="宋体"/>
          <w:b/>
          <w:sz w:val="36"/>
          <w:szCs w:val="36"/>
        </w:rPr>
        <w:t>医院</w:t>
      </w:r>
    </w:p>
    <w:p w14:paraId="6313DE25">
      <w:pPr>
        <w:spacing w:line="460" w:lineRule="exact"/>
        <w:jc w:val="center"/>
        <w:rPr>
          <w:rFonts w:eastAsia="宋体" w:cs="宋体"/>
          <w:b/>
          <w:sz w:val="36"/>
          <w:szCs w:val="36"/>
          <w:u w:val="single"/>
        </w:rPr>
      </w:pPr>
    </w:p>
    <w:p w14:paraId="3AF5FAE9">
      <w:pPr>
        <w:spacing w:line="460" w:lineRule="exact"/>
        <w:jc w:val="center"/>
        <w:rPr>
          <w:rFonts w:eastAsia="宋体" w:cs="宋体"/>
          <w:b/>
          <w:sz w:val="36"/>
          <w:szCs w:val="36"/>
        </w:rPr>
      </w:pPr>
      <w:r>
        <w:rPr>
          <w:rFonts w:hint="eastAsia" w:eastAsia="宋体" w:cs="宋体"/>
          <w:b/>
          <w:sz w:val="36"/>
          <w:szCs w:val="36"/>
          <w:u w:val="single"/>
        </w:rPr>
        <w:t>20</w:t>
      </w:r>
      <w:r>
        <w:rPr>
          <w:rFonts w:hint="eastAsia" w:eastAsia="宋体" w:cs="宋体"/>
          <w:b/>
          <w:sz w:val="36"/>
          <w:szCs w:val="36"/>
          <w:u w:val="single"/>
          <w:lang w:val="en-US" w:eastAsia="zh-CN"/>
        </w:rPr>
        <w:t>25</w:t>
      </w:r>
      <w:r>
        <w:rPr>
          <w:rFonts w:hint="eastAsia" w:eastAsia="宋体" w:cs="宋体"/>
          <w:b/>
          <w:sz w:val="36"/>
          <w:szCs w:val="36"/>
        </w:rPr>
        <w:t>年</w:t>
      </w:r>
      <w:r>
        <w:rPr>
          <w:rFonts w:hint="eastAsia" w:eastAsia="宋体" w:cs="宋体"/>
          <w:b/>
          <w:sz w:val="36"/>
          <w:szCs w:val="36"/>
          <w:u w:val="single"/>
        </w:rPr>
        <w:t xml:space="preserve"> </w:t>
      </w:r>
      <w:r>
        <w:rPr>
          <w:rFonts w:hint="eastAsia" w:eastAsia="宋体" w:cs="宋体"/>
          <w:b/>
          <w:sz w:val="36"/>
          <w:szCs w:val="36"/>
          <w:u w:val="single"/>
          <w:lang w:val="en-US" w:eastAsia="zh-CN"/>
        </w:rPr>
        <w:t>3</w:t>
      </w:r>
      <w:r>
        <w:rPr>
          <w:rFonts w:hint="eastAsia" w:eastAsia="宋体" w:cs="宋体"/>
          <w:b/>
          <w:sz w:val="36"/>
          <w:szCs w:val="36"/>
          <w:u w:val="single"/>
        </w:rPr>
        <w:t xml:space="preserve"> </w:t>
      </w:r>
      <w:r>
        <w:rPr>
          <w:rFonts w:hint="eastAsia" w:eastAsia="宋体" w:cs="宋体"/>
          <w:b/>
          <w:sz w:val="36"/>
          <w:szCs w:val="36"/>
        </w:rPr>
        <w:t>月</w:t>
      </w:r>
      <w:r>
        <w:rPr>
          <w:rFonts w:hint="eastAsia" w:eastAsia="宋体" w:cs="宋体"/>
          <w:b/>
          <w:sz w:val="36"/>
          <w:szCs w:val="36"/>
          <w:u w:val="single"/>
        </w:rPr>
        <w:t xml:space="preserve"> 1</w:t>
      </w:r>
      <w:r>
        <w:rPr>
          <w:rFonts w:hint="eastAsia" w:eastAsia="宋体" w:cs="宋体"/>
          <w:b/>
          <w:sz w:val="36"/>
          <w:szCs w:val="36"/>
          <w:u w:val="single"/>
          <w:lang w:val="en-US" w:eastAsia="zh-CN"/>
        </w:rPr>
        <w:t>0</w:t>
      </w:r>
      <w:r>
        <w:rPr>
          <w:rFonts w:hint="eastAsia" w:eastAsia="宋体" w:cs="宋体"/>
          <w:b/>
          <w:sz w:val="36"/>
          <w:szCs w:val="36"/>
        </w:rPr>
        <w:t>日</w:t>
      </w:r>
    </w:p>
    <w:p w14:paraId="4B4BBE9D">
      <w:pPr>
        <w:spacing w:line="460" w:lineRule="exact"/>
        <w:jc w:val="center"/>
        <w:rPr>
          <w:rFonts w:eastAsia="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843" w:right="1275" w:bottom="1418" w:left="1785" w:header="851" w:footer="992" w:gutter="0"/>
          <w:pgNumType w:start="1"/>
          <w:cols w:space="720" w:num="1"/>
          <w:titlePg/>
          <w:docGrid w:linePitch="312" w:charSpace="0"/>
        </w:sectPr>
      </w:pPr>
    </w:p>
    <w:p w14:paraId="68588047">
      <w:pPr>
        <w:spacing w:line="500" w:lineRule="exact"/>
        <w:jc w:val="center"/>
        <w:rPr>
          <w:rFonts w:eastAsia="宋体" w:cs="宋体"/>
          <w:b/>
          <w:sz w:val="32"/>
          <w:szCs w:val="32"/>
        </w:rPr>
      </w:pPr>
      <w:r>
        <w:rPr>
          <w:rFonts w:hint="eastAsia" w:eastAsia="宋体" w:cs="宋体"/>
          <w:b/>
          <w:sz w:val="32"/>
          <w:szCs w:val="32"/>
        </w:rPr>
        <w:t>第一章  竞争性磋商邀请</w:t>
      </w:r>
    </w:p>
    <w:p w14:paraId="7F4019F7">
      <w:pPr>
        <w:wordWrap w:val="0"/>
        <w:spacing w:line="500" w:lineRule="exact"/>
        <w:jc w:val="right"/>
        <w:rPr>
          <w:rFonts w:eastAsia="宋体" w:cs="宋体"/>
          <w:sz w:val="28"/>
          <w:szCs w:val="28"/>
        </w:rPr>
      </w:pPr>
      <w:r>
        <w:rPr>
          <w:rFonts w:hint="eastAsia" w:eastAsia="宋体" w:cs="宋体"/>
          <w:b/>
          <w:sz w:val="28"/>
          <w:szCs w:val="28"/>
        </w:rPr>
        <w:t xml:space="preserve">  </w:t>
      </w:r>
    </w:p>
    <w:p w14:paraId="2463DD05">
      <w:pPr>
        <w:widowControl/>
        <w:spacing w:line="480" w:lineRule="exact"/>
        <w:ind w:firstLine="560" w:firstLineChars="200"/>
        <w:jc w:val="left"/>
        <w:rPr>
          <w:rFonts w:eastAsia="宋体" w:cs="宋体"/>
          <w:sz w:val="28"/>
          <w:szCs w:val="28"/>
        </w:rPr>
      </w:pPr>
      <w:r>
        <w:rPr>
          <w:rFonts w:hint="eastAsia" w:eastAsia="宋体" w:cs="宋体"/>
          <w:sz w:val="28"/>
          <w:szCs w:val="28"/>
          <w:u w:val="single"/>
        </w:rPr>
        <w:t>三台县</w:t>
      </w:r>
      <w:r>
        <w:rPr>
          <w:rFonts w:hint="eastAsia" w:eastAsia="宋体" w:cs="宋体"/>
          <w:sz w:val="28"/>
          <w:szCs w:val="28"/>
          <w:u w:val="single"/>
          <w:lang w:val="en-US" w:eastAsia="zh-CN"/>
        </w:rPr>
        <w:t>中</w:t>
      </w:r>
      <w:r>
        <w:rPr>
          <w:rFonts w:hint="eastAsia" w:eastAsia="宋体" w:cs="宋体"/>
          <w:sz w:val="28"/>
          <w:szCs w:val="28"/>
          <w:u w:val="single"/>
        </w:rPr>
        <w:t xml:space="preserve">医院 </w:t>
      </w:r>
      <w:r>
        <w:rPr>
          <w:rFonts w:hint="eastAsia" w:eastAsia="宋体" w:cs="宋体"/>
          <w:sz w:val="28"/>
          <w:szCs w:val="28"/>
        </w:rPr>
        <w:t>拟对</w:t>
      </w:r>
      <w:r>
        <w:rPr>
          <w:rFonts w:hint="eastAsia" w:eastAsia="宋体" w:cs="宋体"/>
          <w:sz w:val="28"/>
          <w:szCs w:val="28"/>
          <w:u w:val="single"/>
        </w:rPr>
        <w:t xml:space="preserve"> </w:t>
      </w:r>
      <w:r>
        <w:rPr>
          <w:rFonts w:hint="eastAsia" w:eastAsia="宋体" w:cs="宋体"/>
          <w:b/>
          <w:bCs/>
          <w:sz w:val="28"/>
          <w:szCs w:val="28"/>
          <w:u w:val="single"/>
        </w:rPr>
        <w:t>食堂承包</w:t>
      </w:r>
      <w:r>
        <w:rPr>
          <w:rFonts w:hint="eastAsia" w:eastAsia="宋体" w:cs="宋体"/>
          <w:sz w:val="28"/>
          <w:szCs w:val="28"/>
          <w:u w:val="single"/>
        </w:rPr>
        <w:t xml:space="preserve"> </w:t>
      </w:r>
      <w:r>
        <w:rPr>
          <w:rFonts w:hint="eastAsia" w:eastAsia="宋体" w:cs="宋体"/>
          <w:bCs/>
          <w:sz w:val="28"/>
          <w:szCs w:val="28"/>
        </w:rPr>
        <w:t>项目</w:t>
      </w:r>
      <w:r>
        <w:rPr>
          <w:rFonts w:hint="eastAsia" w:eastAsia="宋体" w:cs="宋体"/>
          <w:sz w:val="28"/>
          <w:szCs w:val="28"/>
        </w:rPr>
        <w:t>采取竞争性磋商方式实施院内公开采购，兹邀请符合相应要求的商家参加磋商，具体事项如下：</w:t>
      </w:r>
    </w:p>
    <w:p w14:paraId="56862CB7">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项目名称：食堂承包</w:t>
      </w:r>
      <w:r>
        <w:rPr>
          <w:rFonts w:hint="eastAsia" w:eastAsia="宋体" w:cs="宋体"/>
          <w:b/>
          <w:sz w:val="28"/>
          <w:szCs w:val="28"/>
          <w:lang w:val="en-US" w:eastAsia="zh-CN"/>
        </w:rPr>
        <w:t>服务</w:t>
      </w:r>
    </w:p>
    <w:p w14:paraId="763BCE27">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经营模式：</w:t>
      </w:r>
      <w:r>
        <w:rPr>
          <w:rFonts w:hint="eastAsia" w:eastAsia="宋体" w:cs="宋体"/>
          <w:b/>
          <w:sz w:val="28"/>
          <w:szCs w:val="28"/>
          <w:lang w:val="en-US" w:eastAsia="zh-CN"/>
        </w:rPr>
        <w:t>临餐、送餐</w:t>
      </w:r>
      <w:r>
        <w:rPr>
          <w:rFonts w:hint="eastAsia" w:eastAsia="宋体" w:cs="宋体"/>
          <w:b/>
          <w:sz w:val="28"/>
          <w:szCs w:val="28"/>
        </w:rPr>
        <w:t xml:space="preserve"> </w:t>
      </w:r>
    </w:p>
    <w:p w14:paraId="4F48634E">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采购方式：采取竞争性磋商</w:t>
      </w:r>
    </w:p>
    <w:p w14:paraId="531402ED">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合同期限：三年</w:t>
      </w:r>
    </w:p>
    <w:p w14:paraId="34FF8A83">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承</w:t>
      </w:r>
      <w:r>
        <w:rPr>
          <w:rFonts w:hint="eastAsia" w:eastAsia="宋体" w:cs="宋体"/>
          <w:b/>
          <w:sz w:val="28"/>
          <w:szCs w:val="28"/>
          <w:highlight w:val="yellow"/>
        </w:rPr>
        <w:t>包费最</w:t>
      </w:r>
      <w:r>
        <w:rPr>
          <w:rFonts w:hint="eastAsia" w:eastAsia="宋体" w:cs="宋体"/>
          <w:b/>
          <w:sz w:val="28"/>
          <w:szCs w:val="28"/>
          <w:highlight w:val="yellow"/>
          <w:lang w:val="en-US" w:eastAsia="zh-CN"/>
        </w:rPr>
        <w:t>低</w:t>
      </w:r>
      <w:r>
        <w:rPr>
          <w:rFonts w:hint="eastAsia" w:eastAsia="宋体" w:cs="宋体"/>
          <w:b/>
          <w:sz w:val="28"/>
          <w:szCs w:val="28"/>
          <w:highlight w:val="yellow"/>
        </w:rPr>
        <w:t>限价</w:t>
      </w:r>
      <w:r>
        <w:rPr>
          <w:rFonts w:hint="eastAsia" w:eastAsia="宋体" w:cs="宋体"/>
          <w:b/>
          <w:sz w:val="28"/>
          <w:szCs w:val="28"/>
        </w:rPr>
        <w:t xml:space="preserve"> ：</w:t>
      </w:r>
      <w:r>
        <w:rPr>
          <w:rFonts w:hint="eastAsia" w:eastAsia="宋体" w:cs="宋体"/>
          <w:b/>
          <w:sz w:val="28"/>
          <w:szCs w:val="28"/>
          <w:highlight w:val="yellow"/>
          <w:lang w:val="en-US" w:eastAsia="zh-CN"/>
        </w:rPr>
        <w:t>1.2</w:t>
      </w:r>
      <w:r>
        <w:rPr>
          <w:rFonts w:hint="eastAsia" w:eastAsia="宋体" w:cs="宋体"/>
          <w:b/>
          <w:sz w:val="28"/>
          <w:szCs w:val="28"/>
          <w:highlight w:val="yellow"/>
        </w:rPr>
        <w:t>万元/</w:t>
      </w:r>
      <w:r>
        <w:rPr>
          <w:rFonts w:hint="eastAsia" w:eastAsia="宋体" w:cs="宋体"/>
          <w:b/>
          <w:sz w:val="28"/>
          <w:szCs w:val="28"/>
        </w:rPr>
        <w:t xml:space="preserve">年 </w:t>
      </w:r>
    </w:p>
    <w:p w14:paraId="4A779176">
      <w:pPr>
        <w:widowControl/>
        <w:spacing w:line="480" w:lineRule="exact"/>
        <w:ind w:firstLine="562" w:firstLineChars="200"/>
        <w:jc w:val="left"/>
        <w:rPr>
          <w:rFonts w:eastAsia="宋体" w:cs="宋体"/>
          <w:sz w:val="28"/>
          <w:szCs w:val="28"/>
        </w:rPr>
      </w:pPr>
      <w:r>
        <w:rPr>
          <w:rFonts w:hint="eastAsia" w:eastAsia="宋体" w:cs="宋体"/>
          <w:b/>
          <w:bCs/>
          <w:sz w:val="28"/>
          <w:szCs w:val="28"/>
        </w:rPr>
        <w:t>六</w:t>
      </w:r>
      <w:r>
        <w:rPr>
          <w:rFonts w:hint="eastAsia" w:eastAsia="宋体" w:cs="宋体"/>
          <w:b/>
          <w:sz w:val="28"/>
          <w:szCs w:val="28"/>
        </w:rPr>
        <w:t>、竞蹉人应具备的资格条件：</w:t>
      </w:r>
    </w:p>
    <w:p w14:paraId="093EBF46">
      <w:pPr>
        <w:widowControl/>
        <w:spacing w:line="480" w:lineRule="exact"/>
        <w:ind w:firstLine="560" w:firstLineChars="200"/>
        <w:jc w:val="left"/>
        <w:rPr>
          <w:rFonts w:eastAsia="宋体" w:cs="宋体"/>
          <w:sz w:val="28"/>
          <w:szCs w:val="28"/>
        </w:rPr>
      </w:pPr>
      <w:r>
        <w:rPr>
          <w:rFonts w:hint="eastAsia" w:eastAsia="宋体" w:cs="宋体"/>
          <w:sz w:val="28"/>
          <w:szCs w:val="28"/>
        </w:rPr>
        <w:t>1、具有独立法人资格和承担民事责任的能力；</w:t>
      </w:r>
    </w:p>
    <w:p w14:paraId="64923273">
      <w:pPr>
        <w:widowControl/>
        <w:spacing w:line="480" w:lineRule="exact"/>
        <w:ind w:firstLine="560" w:firstLineChars="200"/>
        <w:jc w:val="left"/>
        <w:rPr>
          <w:rFonts w:eastAsia="宋体" w:cs="宋体"/>
          <w:sz w:val="28"/>
          <w:szCs w:val="28"/>
        </w:rPr>
      </w:pPr>
      <w:r>
        <w:rPr>
          <w:rFonts w:hint="eastAsia" w:eastAsia="宋体" w:cs="宋体"/>
          <w:sz w:val="28"/>
          <w:szCs w:val="28"/>
        </w:rPr>
        <w:t>2、具有良好的商业信誉；</w:t>
      </w:r>
    </w:p>
    <w:p w14:paraId="0FC12389">
      <w:pPr>
        <w:widowControl/>
        <w:spacing w:line="480" w:lineRule="exact"/>
        <w:ind w:firstLine="560" w:firstLineChars="200"/>
        <w:jc w:val="left"/>
        <w:rPr>
          <w:rFonts w:eastAsia="宋体" w:cs="宋体"/>
          <w:sz w:val="28"/>
          <w:szCs w:val="28"/>
        </w:rPr>
      </w:pPr>
      <w:r>
        <w:rPr>
          <w:rFonts w:hint="eastAsia" w:eastAsia="宋体" w:cs="宋体"/>
          <w:sz w:val="28"/>
          <w:szCs w:val="28"/>
        </w:rPr>
        <w:t>3、具有履行合同所必须的专业技术能力；</w:t>
      </w:r>
    </w:p>
    <w:p w14:paraId="64410B55">
      <w:pPr>
        <w:widowControl/>
        <w:spacing w:line="480" w:lineRule="exact"/>
        <w:ind w:right="-391" w:rightChars="-115" w:firstLine="560" w:firstLineChars="200"/>
        <w:jc w:val="left"/>
        <w:rPr>
          <w:rFonts w:eastAsia="宋体" w:cs="宋体"/>
          <w:sz w:val="28"/>
          <w:szCs w:val="28"/>
        </w:rPr>
      </w:pPr>
      <w:r>
        <w:rPr>
          <w:rFonts w:hint="eastAsia" w:eastAsia="宋体" w:cs="宋体"/>
          <w:sz w:val="28"/>
          <w:szCs w:val="28"/>
        </w:rPr>
        <w:t>4、参加本次采购活动前三年内，在经营活动中没有重大食品安全事件记录；</w:t>
      </w:r>
    </w:p>
    <w:p w14:paraId="75BD9F2C">
      <w:pPr>
        <w:widowControl/>
        <w:spacing w:line="480" w:lineRule="exact"/>
        <w:ind w:firstLine="560" w:firstLineChars="200"/>
        <w:jc w:val="left"/>
        <w:rPr>
          <w:rFonts w:eastAsia="宋体" w:cs="宋体"/>
          <w:sz w:val="28"/>
          <w:szCs w:val="28"/>
        </w:rPr>
      </w:pPr>
      <w:r>
        <w:rPr>
          <w:rFonts w:hint="eastAsia" w:eastAsia="宋体" w:cs="宋体"/>
          <w:sz w:val="28"/>
          <w:szCs w:val="28"/>
        </w:rPr>
        <w:t>5、法律、行政法规规定的其他条件；</w:t>
      </w:r>
    </w:p>
    <w:p w14:paraId="56B22C6E">
      <w:pPr>
        <w:widowControl/>
        <w:spacing w:line="480" w:lineRule="exact"/>
        <w:ind w:firstLine="562" w:firstLineChars="200"/>
        <w:jc w:val="left"/>
        <w:rPr>
          <w:rFonts w:eastAsia="宋体" w:cs="宋体"/>
          <w:b/>
          <w:bCs/>
          <w:sz w:val="28"/>
          <w:szCs w:val="28"/>
        </w:rPr>
      </w:pPr>
      <w:r>
        <w:rPr>
          <w:rFonts w:hint="eastAsia" w:eastAsia="宋体" w:cs="宋体"/>
          <w:b/>
          <w:bCs/>
          <w:sz w:val="28"/>
          <w:szCs w:val="28"/>
        </w:rPr>
        <w:t>6、根据采购项目提出的特殊条件：</w:t>
      </w:r>
    </w:p>
    <w:p w14:paraId="130AEA47">
      <w:pPr>
        <w:pStyle w:val="22"/>
        <w:spacing w:line="500" w:lineRule="exact"/>
        <w:ind w:firstLine="565" w:firstLineChars="202"/>
        <w:rPr>
          <w:rFonts w:hint="eastAsia" w:cs="宋体"/>
          <w:snapToGrid w:val="0"/>
          <w:kern w:val="0"/>
          <w:sz w:val="28"/>
          <w:szCs w:val="28"/>
        </w:rPr>
      </w:pPr>
      <w:r>
        <w:rPr>
          <w:rFonts w:hint="eastAsia"/>
          <w:snapToGrid w:val="0"/>
          <w:kern w:val="0"/>
          <w:sz w:val="28"/>
          <w:szCs w:val="28"/>
        </w:rPr>
        <w:t>1）</w:t>
      </w:r>
      <w:r>
        <w:rPr>
          <w:rFonts w:hint="eastAsia" w:cs="宋体"/>
          <w:snapToGrid w:val="0"/>
          <w:kern w:val="0"/>
          <w:sz w:val="28"/>
          <w:szCs w:val="28"/>
        </w:rPr>
        <w:t xml:space="preserve">供应商是法人的，提供《营业执照》（或《事 业单位法人证书》，或其他能够证明其依法有效存在的书面材料），以及法定代表人的身份证明；供应商 是其他组织的，提供能够证明其依法有效存在的书 面材料，以及组织负责人的身份证明；供应商是自然人的，提供其身份证明； </w:t>
      </w:r>
    </w:p>
    <w:p w14:paraId="59E75429">
      <w:pPr>
        <w:pStyle w:val="22"/>
        <w:spacing w:line="500" w:lineRule="exact"/>
        <w:ind w:firstLine="565" w:firstLineChars="202"/>
        <w:rPr>
          <w:rFonts w:cs="宋体"/>
          <w:snapToGrid w:val="0"/>
          <w:kern w:val="0"/>
          <w:sz w:val="28"/>
          <w:szCs w:val="28"/>
        </w:rPr>
      </w:pPr>
      <w:r>
        <w:rPr>
          <w:rFonts w:hint="eastAsia" w:cs="宋体"/>
          <w:snapToGrid w:val="0"/>
          <w:kern w:val="0"/>
          <w:sz w:val="28"/>
          <w:szCs w:val="28"/>
        </w:rPr>
        <w:t>2）法定代表人身份证（复印件 加盖鲜章）；</w:t>
      </w:r>
    </w:p>
    <w:p w14:paraId="7095C991">
      <w:pPr>
        <w:pStyle w:val="22"/>
        <w:spacing w:line="500" w:lineRule="exact"/>
        <w:ind w:firstLine="565" w:firstLineChars="202"/>
        <w:rPr>
          <w:rFonts w:hint="eastAsia" w:cs="宋体"/>
          <w:snapToGrid w:val="0"/>
          <w:kern w:val="0"/>
          <w:sz w:val="28"/>
          <w:szCs w:val="28"/>
        </w:rPr>
      </w:pPr>
      <w:r>
        <w:rPr>
          <w:rFonts w:hint="eastAsia" w:cs="宋体"/>
          <w:snapToGrid w:val="0"/>
          <w:kern w:val="0"/>
          <w:sz w:val="28"/>
          <w:szCs w:val="28"/>
        </w:rPr>
        <w:t>3）供应商派出参加政府采购活动的代表不是法定代表人或组织负责人的，应提供派出代表的《授权委托书》及其身份证明（复印件 加盖鲜章）；</w:t>
      </w:r>
    </w:p>
    <w:p w14:paraId="010373AC">
      <w:pPr>
        <w:pStyle w:val="22"/>
        <w:spacing w:line="500" w:lineRule="exact"/>
        <w:ind w:firstLine="565" w:firstLineChars="202"/>
        <w:rPr>
          <w:snapToGrid w:val="0"/>
          <w:kern w:val="0"/>
          <w:sz w:val="28"/>
          <w:szCs w:val="28"/>
        </w:rPr>
      </w:pPr>
      <w:r>
        <w:rPr>
          <w:rFonts w:hint="eastAsia"/>
          <w:snapToGrid w:val="0"/>
          <w:kern w:val="0"/>
          <w:sz w:val="28"/>
          <w:szCs w:val="28"/>
        </w:rPr>
        <w:t xml:space="preserve"> 4）食品经营许可证（新证）（老证就提供餐饮服务许可证、卫生许可证），交复印件加盖鲜章，带原件备查；</w:t>
      </w:r>
    </w:p>
    <w:p w14:paraId="7701BE96">
      <w:pPr>
        <w:widowControl/>
        <w:spacing w:line="480" w:lineRule="exact"/>
        <w:ind w:firstLine="562" w:firstLineChars="200"/>
        <w:jc w:val="left"/>
        <w:rPr>
          <w:rFonts w:eastAsia="宋体" w:cs="宋体"/>
          <w:b/>
          <w:sz w:val="28"/>
          <w:szCs w:val="28"/>
        </w:rPr>
      </w:pPr>
      <w:r>
        <w:rPr>
          <w:rFonts w:hint="eastAsia" w:eastAsia="宋体" w:cs="宋体"/>
          <w:b/>
          <w:sz w:val="28"/>
          <w:szCs w:val="28"/>
        </w:rPr>
        <w:t>七、资格审查：</w:t>
      </w:r>
    </w:p>
    <w:p w14:paraId="51799CD4">
      <w:pPr>
        <w:shd w:val="clear" w:color="auto" w:fill="FFFFFF"/>
        <w:spacing w:line="480" w:lineRule="exact"/>
        <w:ind w:firstLine="540"/>
        <w:jc w:val="left"/>
        <w:rPr>
          <w:rFonts w:hint="eastAsia" w:eastAsia="宋体" w:cs="宋体"/>
          <w:sz w:val="28"/>
          <w:szCs w:val="28"/>
        </w:rPr>
      </w:pPr>
      <w:r>
        <w:rPr>
          <w:rFonts w:hint="eastAsia" w:eastAsia="宋体" w:cs="宋体"/>
          <w:bCs/>
          <w:sz w:val="28"/>
          <w:szCs w:val="28"/>
          <w:lang w:val="zh-CN"/>
        </w:rPr>
        <w:t>本项目竞蹉投标商的资格条件在评标时进行审查。</w:t>
      </w:r>
      <w:r>
        <w:rPr>
          <w:rFonts w:hint="eastAsia" w:eastAsia="宋体" w:cs="宋体"/>
          <w:sz w:val="28"/>
          <w:szCs w:val="28"/>
        </w:rPr>
        <w:t>投标商应在报名和竞磋文件中按竞磋文件的规定和要求附上所有的资格证明文件，要求提供的复印件必须加盖单位印章，并在必要时提供原件备查。若提供的资格证明文件不全或不实，将导致其竞磋或成交资格被取消。</w:t>
      </w:r>
    </w:p>
    <w:p w14:paraId="5A34747B">
      <w:pPr>
        <w:numPr>
          <w:ilvl w:val="0"/>
          <w:numId w:val="2"/>
        </w:numPr>
        <w:shd w:val="clear" w:color="auto" w:fill="FFFFFF"/>
        <w:spacing w:line="480" w:lineRule="exact"/>
        <w:ind w:firstLine="540"/>
        <w:jc w:val="left"/>
        <w:rPr>
          <w:rFonts w:hint="eastAsia" w:eastAsia="宋体" w:cs="宋体"/>
          <w:b/>
          <w:bCs/>
          <w:sz w:val="28"/>
          <w:szCs w:val="28"/>
          <w:lang w:val="en-US" w:eastAsia="zh-CN"/>
        </w:rPr>
      </w:pPr>
      <w:r>
        <w:rPr>
          <w:rFonts w:hint="eastAsia" w:eastAsia="宋体" w:cs="宋体"/>
          <w:b/>
          <w:bCs/>
          <w:sz w:val="28"/>
          <w:szCs w:val="28"/>
          <w:lang w:val="en-US" w:eastAsia="zh-CN"/>
        </w:rPr>
        <w:t>项目要求：</w:t>
      </w:r>
    </w:p>
    <w:p w14:paraId="623A1E65">
      <w:pPr>
        <w:numPr>
          <w:ilvl w:val="0"/>
          <w:numId w:val="0"/>
        </w:numPr>
        <w:shd w:val="clear" w:color="auto" w:fill="FFFFFF"/>
        <w:spacing w:line="480" w:lineRule="exact"/>
        <w:ind w:firstLine="562" w:firstLineChars="200"/>
        <w:jc w:val="left"/>
        <w:rPr>
          <w:rFonts w:hint="eastAsia" w:eastAsia="宋体" w:cs="宋体"/>
          <w:sz w:val="28"/>
          <w:szCs w:val="28"/>
        </w:rPr>
      </w:pPr>
      <w:r>
        <w:rPr>
          <w:rFonts w:hint="eastAsia" w:eastAsia="宋体" w:cs="宋体"/>
          <w:b/>
          <w:bCs/>
          <w:sz w:val="28"/>
          <w:szCs w:val="28"/>
          <w:lang w:val="en-US" w:eastAsia="zh-CN"/>
        </w:rPr>
        <w:t>（一)</w:t>
      </w:r>
      <w:r>
        <w:rPr>
          <w:rFonts w:hint="eastAsia" w:eastAsia="宋体" w:cs="宋体"/>
          <w:sz w:val="28"/>
          <w:szCs w:val="28"/>
        </w:rPr>
        <w:t xml:space="preserve">人员配置要求 </w:t>
      </w:r>
    </w:p>
    <w:p w14:paraId="7AD4A4AA">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1.人员要求：厨师不少于</w:t>
      </w:r>
      <w:r>
        <w:rPr>
          <w:rFonts w:hint="eastAsia" w:eastAsia="宋体" w:cs="宋体"/>
          <w:sz w:val="28"/>
          <w:szCs w:val="28"/>
          <w:lang w:val="en-US" w:eastAsia="zh-CN"/>
        </w:rPr>
        <w:t>1</w:t>
      </w:r>
      <w:r>
        <w:rPr>
          <w:rFonts w:hint="eastAsia" w:eastAsia="宋体" w:cs="宋体"/>
          <w:sz w:val="28"/>
          <w:szCs w:val="28"/>
        </w:rPr>
        <w:t>人，勤杂工不少于</w:t>
      </w:r>
      <w:r>
        <w:rPr>
          <w:rFonts w:hint="eastAsia" w:eastAsia="宋体" w:cs="宋体"/>
          <w:sz w:val="28"/>
          <w:szCs w:val="28"/>
          <w:lang w:val="en-US" w:eastAsia="zh-CN"/>
        </w:rPr>
        <w:t>2</w:t>
      </w:r>
      <w:r>
        <w:rPr>
          <w:rFonts w:hint="eastAsia" w:eastAsia="宋体" w:cs="宋体"/>
          <w:sz w:val="28"/>
          <w:szCs w:val="28"/>
        </w:rPr>
        <w:t>人。</w:t>
      </w:r>
    </w:p>
    <w:p w14:paraId="14B7BD1F">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2.本项目工作人员需熟练掌握配餐服务操作技能，身体健康并取得有效的《四川省从业人员预防性健康检查合格证》。</w:t>
      </w:r>
    </w:p>
    <w:p w14:paraId="7A3A4AE0">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3.在签订合同时，成交供应商应将本项目所有工作人员名单、身份证复印件、《四川省从业人员预防性健康检查合格证》等资料交采购人备案。</w:t>
      </w:r>
    </w:p>
    <w:p w14:paraId="7796AEDC">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4.本项目工作人员发生更换时，成交供应商应将符合人员配置要求的替代人员名单、身份证复印件、《四川省从业人员预防性健康检查合格证》等资料交采购人备案。</w:t>
      </w:r>
    </w:p>
    <w:p w14:paraId="26F46FE3">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w:t>
      </w:r>
      <w:r>
        <w:rPr>
          <w:rFonts w:hint="eastAsia" w:eastAsia="宋体" w:cs="宋体"/>
          <w:sz w:val="28"/>
          <w:szCs w:val="28"/>
          <w:lang w:val="en-US" w:eastAsia="zh-CN"/>
        </w:rPr>
        <w:t>二</w:t>
      </w:r>
      <w:r>
        <w:rPr>
          <w:rFonts w:hint="eastAsia" w:eastAsia="宋体" w:cs="宋体"/>
          <w:sz w:val="28"/>
          <w:szCs w:val="28"/>
        </w:rPr>
        <w:t xml:space="preserve">）其他要求 </w:t>
      </w:r>
    </w:p>
    <w:p w14:paraId="4C06C299">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1.成交供应商自主经营，独立核算，自负盈亏，发生的债权、债务与采购人无关；</w:t>
      </w:r>
    </w:p>
    <w:p w14:paraId="40628484">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成交供应商严格遵守相关法律法规及行业管理规范，自行配置配餐服务场所和设施设备，自行管理场所安全与环境卫生，自行组织食物材料的采买、运输、贮存、加工，自行管理配餐各环节质量；主动接受食品、卫生、消防等主管部门的监督，持续落实问题整改，确保生产安全，提升配餐质量；每餐的食品按规定留样备查并作好记录；厨房相关设施设备自行定期维护、除垢除油，防范安全事故发生；成交供应商违反相关法律法规及行业管理规范要求，造成的一切后果（包括行政、法律责任、经济赔偿等）由成交供应商全部承担；</w:t>
      </w:r>
    </w:p>
    <w:p w14:paraId="06E707DE">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3.成交供应商须经正规合法的渠道采购蔬菜、大米、油、肉类、调味品等食材和餐具，自行管理索证索票，确保配餐质量和食品安全，违反此条造成的一切损失由成交供应商承担；</w:t>
      </w:r>
    </w:p>
    <w:p w14:paraId="5E65A164">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4.每天早上对员工进行晨检并做好记录，如遇发热等不能适应岗位的工作人员需及时替换，不得带病工作；</w:t>
      </w:r>
    </w:p>
    <w:p w14:paraId="529F800E">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5.成交供应商按相关法律法规要求，自行招聘和管理员工，自行负担员工的工资、福利、保险、劳保、服装、食宿、交通等有关费用，成交供应商与其员工之间发生的各类纠纷与采购人无关；</w:t>
      </w:r>
    </w:p>
    <w:p w14:paraId="69FA1BD6">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6.成交供应商须加强对其员工的安全教育与管理，成交供应商员工在工作期间发生的意外伤害、安全事故等与采购人无关；</w:t>
      </w:r>
    </w:p>
    <w:p w14:paraId="34954D5E">
      <w:pPr>
        <w:shd w:val="clear" w:color="auto" w:fill="FFFFFF"/>
        <w:spacing w:line="480" w:lineRule="exact"/>
        <w:ind w:firstLine="540"/>
        <w:jc w:val="left"/>
        <w:rPr>
          <w:rFonts w:hint="eastAsia" w:eastAsia="宋体" w:cs="宋体"/>
          <w:sz w:val="28"/>
          <w:szCs w:val="28"/>
        </w:rPr>
      </w:pPr>
      <w:r>
        <w:rPr>
          <w:rFonts w:hint="eastAsia" w:eastAsia="宋体" w:cs="宋体"/>
          <w:sz w:val="28"/>
          <w:szCs w:val="28"/>
          <w:lang w:val="en-US" w:eastAsia="zh-CN"/>
        </w:rPr>
        <w:t>7</w:t>
      </w:r>
      <w:r>
        <w:rPr>
          <w:rFonts w:hint="eastAsia" w:eastAsia="宋体" w:cs="宋体"/>
          <w:sz w:val="28"/>
          <w:szCs w:val="28"/>
        </w:rPr>
        <w:t>.</w:t>
      </w:r>
      <w:r>
        <w:rPr>
          <w:rFonts w:hint="eastAsia" w:eastAsia="宋体" w:cs="宋体"/>
          <w:sz w:val="28"/>
          <w:szCs w:val="28"/>
          <w:lang w:val="en-US" w:eastAsia="zh-CN"/>
        </w:rPr>
        <w:t>成交供应商</w:t>
      </w:r>
      <w:r>
        <w:rPr>
          <w:rFonts w:hint="eastAsia" w:eastAsia="宋体" w:cs="宋体"/>
          <w:sz w:val="28"/>
          <w:szCs w:val="28"/>
        </w:rPr>
        <w:t>承担水电气等消耗，按月结算。</w:t>
      </w:r>
    </w:p>
    <w:p w14:paraId="3996DE45">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10.出现下列情形，采购人有权无条件终止配餐外包服务合同，由此造成的一切损失及法律后果均由成交供应商承担：</w:t>
      </w:r>
    </w:p>
    <w:p w14:paraId="63F4AE56">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（1）成交供应商丧失承担本项目须具备的经营资质及条件的；</w:t>
      </w:r>
    </w:p>
    <w:p w14:paraId="53BFF5F9">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（2）成交供应商违法经营的；</w:t>
      </w:r>
    </w:p>
    <w:p w14:paraId="0D9B442A">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（3）成交供应商被列为失信被执行人的；</w:t>
      </w:r>
    </w:p>
    <w:p w14:paraId="58A2F935">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（4）成交供应商被相关部门查封、勒令停业整顿时限达到1个月以上的；</w:t>
      </w:r>
    </w:p>
    <w:p w14:paraId="7ED891CD">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（5）成交供应商为采购人提供的配餐服务发生食品安全事件的；</w:t>
      </w:r>
    </w:p>
    <w:p w14:paraId="49E5B721">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w:t>
      </w:r>
      <w:r>
        <w:rPr>
          <w:rFonts w:hint="eastAsia" w:eastAsia="宋体" w:cs="宋体"/>
          <w:sz w:val="28"/>
          <w:szCs w:val="28"/>
          <w:lang w:val="en-US" w:eastAsia="zh-CN"/>
        </w:rPr>
        <w:t>6</w:t>
      </w:r>
      <w:r>
        <w:rPr>
          <w:rFonts w:hint="eastAsia" w:eastAsia="宋体" w:cs="宋体"/>
          <w:sz w:val="28"/>
          <w:szCs w:val="28"/>
        </w:rPr>
        <w:t>）法律法规规定的其他情形。</w:t>
      </w:r>
    </w:p>
    <w:p w14:paraId="70EEA174">
      <w:pPr>
        <w:shd w:val="clear" w:color="auto" w:fill="FFFFFF"/>
        <w:spacing w:line="480" w:lineRule="exact"/>
        <w:ind w:firstLine="540"/>
        <w:jc w:val="left"/>
        <w:rPr>
          <w:rFonts w:hint="eastAsia" w:eastAsia="宋体" w:cs="宋体"/>
          <w:sz w:val="28"/>
          <w:szCs w:val="28"/>
        </w:rPr>
      </w:pPr>
    </w:p>
    <w:p w14:paraId="3084F232">
      <w:pPr>
        <w:shd w:val="clear" w:color="auto" w:fill="FFFFFF"/>
        <w:spacing w:line="480" w:lineRule="exact"/>
        <w:ind w:firstLine="540"/>
        <w:jc w:val="left"/>
        <w:rPr>
          <w:rFonts w:eastAsia="宋体" w:cs="宋体"/>
          <w:b/>
          <w:bCs/>
          <w:sz w:val="28"/>
          <w:szCs w:val="28"/>
          <w:u w:val="single"/>
        </w:rPr>
      </w:pPr>
      <w:r>
        <w:rPr>
          <w:rFonts w:hint="eastAsia" w:eastAsia="宋体" w:cs="宋体"/>
          <w:b/>
          <w:sz w:val="28"/>
          <w:szCs w:val="28"/>
        </w:rPr>
        <w:t>八、竞磋文件要求：</w:t>
      </w:r>
      <w:r>
        <w:rPr>
          <w:rFonts w:hint="eastAsia" w:eastAsia="宋体" w:cs="宋体"/>
          <w:b/>
          <w:bCs/>
          <w:sz w:val="28"/>
          <w:szCs w:val="28"/>
        </w:rPr>
        <w:t>正本一份、副本二份。</w:t>
      </w:r>
    </w:p>
    <w:p w14:paraId="298F2E10">
      <w:pPr>
        <w:tabs>
          <w:tab w:val="left" w:pos="1080"/>
        </w:tabs>
        <w:spacing w:line="460" w:lineRule="exact"/>
        <w:rPr>
          <w:rFonts w:eastAsia="宋体" w:cs="宋体"/>
          <w:sz w:val="28"/>
          <w:szCs w:val="28"/>
        </w:rPr>
      </w:pPr>
      <w:r>
        <w:rPr>
          <w:rFonts w:hint="eastAsia" w:eastAsia="宋体" w:cs="宋体"/>
          <w:sz w:val="28"/>
          <w:szCs w:val="28"/>
        </w:rPr>
        <w:t>8.1响应文件的正本和副本应注明项目名称和投标商公司名称等，并在其封面上清楚地标明“正本”或“副本”字样。若正本和副本有不一致的内容，以正本为准。</w:t>
      </w:r>
    </w:p>
    <w:p w14:paraId="72B0D6CE">
      <w:pPr>
        <w:tabs>
          <w:tab w:val="left" w:pos="1080"/>
        </w:tabs>
        <w:spacing w:line="460" w:lineRule="exact"/>
        <w:rPr>
          <w:rFonts w:eastAsia="宋体" w:cs="宋体"/>
          <w:sz w:val="28"/>
          <w:szCs w:val="28"/>
        </w:rPr>
      </w:pPr>
      <w:r>
        <w:rPr>
          <w:rFonts w:hint="eastAsia" w:eastAsia="宋体" w:cs="宋体"/>
          <w:sz w:val="28"/>
          <w:szCs w:val="28"/>
        </w:rPr>
        <w:t>8.2响应文件的正本和副本均需打印或用不褪色、不变质的墨水书写，响应文件副本可用正本的复印件。如有修改错漏处，必须由供应商的法定代表人（负责人）或其授权代表签字并盖投标商公章。字迹潦草、表达不清、未按要求填写或可能导致非唯一理解的响应文件可能被视为无效报价。</w:t>
      </w:r>
    </w:p>
    <w:p w14:paraId="45220AE4">
      <w:pPr>
        <w:tabs>
          <w:tab w:val="left" w:pos="1080"/>
        </w:tabs>
        <w:spacing w:line="460" w:lineRule="exact"/>
        <w:rPr>
          <w:rFonts w:eastAsia="宋体" w:cs="宋体"/>
          <w:sz w:val="28"/>
          <w:szCs w:val="28"/>
        </w:rPr>
      </w:pPr>
      <w:r>
        <w:rPr>
          <w:rFonts w:hint="eastAsia" w:eastAsia="宋体" w:cs="宋体"/>
          <w:sz w:val="28"/>
          <w:szCs w:val="28"/>
        </w:rPr>
        <w:t>8.3响应文件正本和副本必须装订成册并编码。</w:t>
      </w:r>
    </w:p>
    <w:p w14:paraId="629F170D">
      <w:pPr>
        <w:tabs>
          <w:tab w:val="left" w:pos="1080"/>
        </w:tabs>
        <w:spacing w:line="460" w:lineRule="exact"/>
        <w:rPr>
          <w:rFonts w:eastAsia="宋体" w:cs="宋体"/>
          <w:sz w:val="24"/>
          <w:szCs w:val="24"/>
        </w:rPr>
      </w:pPr>
      <w:r>
        <w:rPr>
          <w:rFonts w:hint="eastAsia" w:eastAsia="宋体" w:cs="宋体"/>
          <w:sz w:val="28"/>
        </w:rPr>
        <w:t>8.4响应文件统一用A4幅纸制作。</w:t>
      </w:r>
    </w:p>
    <w:p w14:paraId="77056F72">
      <w:pPr>
        <w:widowControl/>
        <w:spacing w:line="480" w:lineRule="exact"/>
        <w:ind w:firstLine="562" w:firstLineChars="200"/>
        <w:jc w:val="left"/>
        <w:rPr>
          <w:rFonts w:eastAsia="宋体" w:cs="宋体"/>
          <w:b/>
          <w:sz w:val="28"/>
          <w:szCs w:val="28"/>
        </w:rPr>
      </w:pPr>
      <w:r>
        <w:rPr>
          <w:rFonts w:hint="eastAsia" w:eastAsia="宋体" w:cs="宋体"/>
          <w:b/>
          <w:bCs/>
          <w:sz w:val="28"/>
          <w:szCs w:val="28"/>
        </w:rPr>
        <w:t>九、递交竞磋文件截止时间：</w:t>
      </w:r>
      <w:r>
        <w:rPr>
          <w:rFonts w:hint="eastAsia" w:eastAsia="宋体" w:cs="宋体"/>
          <w:b/>
          <w:bCs/>
          <w:sz w:val="28"/>
          <w:szCs w:val="28"/>
          <w:u w:val="single"/>
        </w:rPr>
        <w:t>20</w:t>
      </w:r>
      <w:r>
        <w:rPr>
          <w:rFonts w:hint="eastAsia" w:eastAsia="宋体" w:cs="宋体"/>
          <w:b/>
          <w:bCs/>
          <w:sz w:val="28"/>
          <w:szCs w:val="28"/>
          <w:u w:val="single"/>
          <w:lang w:val="en-US" w:eastAsia="zh-CN"/>
        </w:rPr>
        <w:t>25</w:t>
      </w:r>
      <w:r>
        <w:rPr>
          <w:rFonts w:hint="eastAsia" w:eastAsia="宋体" w:cs="宋体"/>
          <w:b/>
          <w:bCs/>
          <w:sz w:val="28"/>
          <w:szCs w:val="28"/>
          <w:u w:val="single"/>
        </w:rPr>
        <w:t>年</w:t>
      </w:r>
      <w:r>
        <w:rPr>
          <w:rFonts w:hint="eastAsia" w:eastAsia="宋体" w:cs="宋体"/>
          <w:b/>
          <w:bCs/>
          <w:sz w:val="28"/>
          <w:szCs w:val="28"/>
          <w:u w:val="single"/>
          <w:lang w:val="en-US" w:eastAsia="zh-CN"/>
        </w:rPr>
        <w:t>3</w:t>
      </w:r>
      <w:r>
        <w:rPr>
          <w:rFonts w:hint="eastAsia" w:eastAsia="宋体" w:cs="宋体"/>
          <w:b/>
          <w:bCs/>
          <w:sz w:val="28"/>
          <w:szCs w:val="28"/>
          <w:u w:val="single"/>
        </w:rPr>
        <w:t>月</w:t>
      </w:r>
      <w:r>
        <w:rPr>
          <w:rFonts w:hint="eastAsia" w:eastAsia="宋体" w:cs="宋体"/>
          <w:b/>
          <w:bCs/>
          <w:sz w:val="28"/>
          <w:szCs w:val="28"/>
          <w:u w:val="single"/>
          <w:lang w:val="en-US" w:eastAsia="zh-CN"/>
        </w:rPr>
        <w:t>16</w:t>
      </w:r>
      <w:r>
        <w:rPr>
          <w:rFonts w:hint="eastAsia" w:eastAsia="宋体" w:cs="宋体"/>
          <w:b/>
          <w:bCs/>
          <w:sz w:val="28"/>
          <w:szCs w:val="28"/>
          <w:u w:val="single"/>
        </w:rPr>
        <w:t>日1</w:t>
      </w:r>
      <w:r>
        <w:rPr>
          <w:rFonts w:hint="eastAsia" w:eastAsia="宋体" w:cs="宋体"/>
          <w:b/>
          <w:bCs/>
          <w:sz w:val="28"/>
          <w:szCs w:val="28"/>
          <w:u w:val="single"/>
          <w:lang w:val="en-US" w:eastAsia="zh-CN"/>
        </w:rPr>
        <w:t>2</w:t>
      </w:r>
      <w:r>
        <w:rPr>
          <w:rFonts w:hint="eastAsia" w:eastAsia="宋体" w:cs="宋体"/>
          <w:b/>
          <w:bCs/>
          <w:sz w:val="28"/>
          <w:szCs w:val="28"/>
          <w:u w:val="single"/>
        </w:rPr>
        <w:t xml:space="preserve"> 时</w:t>
      </w:r>
      <w:r>
        <w:rPr>
          <w:rFonts w:hint="eastAsia" w:eastAsia="宋体" w:cs="宋体"/>
          <w:b/>
          <w:bCs/>
          <w:sz w:val="28"/>
          <w:szCs w:val="28"/>
          <w:u w:val="single"/>
          <w:lang w:val="en-US" w:eastAsia="zh-CN"/>
        </w:rPr>
        <w:t>0</w:t>
      </w:r>
      <w:r>
        <w:rPr>
          <w:rFonts w:hint="eastAsia" w:eastAsia="宋体" w:cs="宋体"/>
          <w:b/>
          <w:bCs/>
          <w:sz w:val="28"/>
          <w:szCs w:val="28"/>
          <w:u w:val="single"/>
        </w:rPr>
        <w:t>0分</w:t>
      </w:r>
      <w:r>
        <w:rPr>
          <w:rFonts w:hint="eastAsia" w:eastAsia="宋体" w:cs="宋体"/>
          <w:sz w:val="28"/>
          <w:szCs w:val="28"/>
          <w:u w:val="single"/>
        </w:rPr>
        <w:t>（北京时间）</w:t>
      </w:r>
      <w:r>
        <w:rPr>
          <w:rFonts w:hint="eastAsia" w:eastAsia="宋体" w:cs="宋体"/>
          <w:sz w:val="28"/>
          <w:szCs w:val="28"/>
        </w:rPr>
        <w:t>。</w:t>
      </w:r>
    </w:p>
    <w:p w14:paraId="3AE62FDF">
      <w:pPr>
        <w:spacing w:line="480" w:lineRule="exact"/>
        <w:ind w:firstLine="540"/>
        <w:jc w:val="left"/>
        <w:rPr>
          <w:rFonts w:eastAsia="宋体" w:cs="宋体"/>
          <w:sz w:val="28"/>
          <w:szCs w:val="28"/>
        </w:rPr>
      </w:pPr>
      <w:r>
        <w:rPr>
          <w:rFonts w:hint="eastAsia" w:eastAsia="宋体" w:cs="宋体"/>
          <w:sz w:val="28"/>
          <w:szCs w:val="28"/>
        </w:rPr>
        <w:t>1、竞磋文件必须在截止时间前送达磋商地点。逾期送达或密封和标注不符合磋商文件规定的磋商文件恕不接受。不接受邮寄的磋商文件。</w:t>
      </w:r>
    </w:p>
    <w:p w14:paraId="76CA30B5">
      <w:pPr>
        <w:spacing w:line="460" w:lineRule="exact"/>
        <w:ind w:firstLine="560" w:firstLineChars="200"/>
        <w:rPr>
          <w:rFonts w:eastAsia="宋体" w:cs="宋体"/>
          <w:sz w:val="28"/>
          <w:szCs w:val="28"/>
        </w:rPr>
      </w:pPr>
      <w:r>
        <w:rPr>
          <w:rFonts w:hint="eastAsia" w:eastAsia="宋体" w:cs="宋体"/>
          <w:sz w:val="28"/>
          <w:szCs w:val="28"/>
        </w:rPr>
        <w:t>2.参加磋商费用</w:t>
      </w:r>
    </w:p>
    <w:p w14:paraId="1B9CF631">
      <w:pPr>
        <w:spacing w:line="460" w:lineRule="exact"/>
        <w:ind w:firstLine="450"/>
        <w:rPr>
          <w:rFonts w:eastAsia="宋体" w:cs="宋体"/>
          <w:sz w:val="28"/>
          <w:szCs w:val="28"/>
        </w:rPr>
      </w:pPr>
      <w:r>
        <w:rPr>
          <w:rFonts w:hint="eastAsia" w:eastAsia="宋体" w:cs="宋体"/>
          <w:sz w:val="28"/>
          <w:szCs w:val="28"/>
        </w:rPr>
        <w:t>无论磋商过程中的做法和结果如何，磋商方自行承担所有与参加磋商有关的全部费用。</w:t>
      </w:r>
    </w:p>
    <w:p w14:paraId="491B1B0F">
      <w:pPr>
        <w:pStyle w:val="20"/>
        <w:spacing w:line="480" w:lineRule="exact"/>
        <w:ind w:firstLine="562"/>
        <w:rPr>
          <w:rFonts w:ascii="宋体" w:hAnsi="宋体" w:cs="宋体"/>
          <w:sz w:val="28"/>
          <w:szCs w:val="28"/>
        </w:rPr>
      </w:pPr>
      <w:r>
        <w:rPr>
          <w:rFonts w:hint="eastAsia" w:ascii="宋体" w:hAnsi="宋体" w:cs="宋体"/>
          <w:b/>
          <w:bCs/>
          <w:sz w:val="28"/>
          <w:szCs w:val="28"/>
        </w:rPr>
        <w:t>十、递交竞磋文件、磋商地点：</w:t>
      </w:r>
      <w:r>
        <w:rPr>
          <w:rFonts w:hint="eastAsia" w:ascii="宋体" w:hAnsi="宋体" w:cs="宋体"/>
          <w:b/>
          <w:bCs/>
          <w:sz w:val="28"/>
          <w:szCs w:val="28"/>
          <w:lang w:val="zh-CN"/>
        </w:rPr>
        <w:t>三台县</w:t>
      </w:r>
      <w:r>
        <w:rPr>
          <w:rFonts w:hint="eastAsia" w:ascii="宋体" w:hAnsi="宋体" w:cs="宋体"/>
          <w:b/>
          <w:bCs/>
          <w:sz w:val="28"/>
          <w:szCs w:val="28"/>
          <w:lang w:val="en-US" w:eastAsia="zh-CN"/>
        </w:rPr>
        <w:t>中</w:t>
      </w:r>
      <w:r>
        <w:rPr>
          <w:rFonts w:hint="eastAsia" w:ascii="宋体" w:hAnsi="宋体" w:cs="宋体"/>
          <w:b/>
          <w:bCs/>
          <w:sz w:val="28"/>
          <w:szCs w:val="28"/>
          <w:lang w:val="zh-CN"/>
        </w:rPr>
        <w:t>医院行政楼</w:t>
      </w:r>
      <w:r>
        <w:rPr>
          <w:rFonts w:hint="eastAsia" w:ascii="宋体" w:hAnsi="宋体" w:cs="宋体"/>
          <w:b/>
          <w:bCs/>
          <w:sz w:val="28"/>
          <w:szCs w:val="28"/>
          <w:lang w:val="en-US" w:eastAsia="zh-CN"/>
        </w:rPr>
        <w:t>三</w:t>
      </w:r>
      <w:r>
        <w:rPr>
          <w:rFonts w:hint="eastAsia" w:ascii="宋体" w:hAnsi="宋体" w:cs="宋体"/>
          <w:b/>
          <w:bCs/>
          <w:sz w:val="28"/>
          <w:szCs w:val="28"/>
          <w:lang w:val="zh-CN"/>
        </w:rPr>
        <w:t>楼会议室</w:t>
      </w:r>
    </w:p>
    <w:p w14:paraId="18FE31E7">
      <w:pPr>
        <w:pStyle w:val="20"/>
        <w:spacing w:line="480" w:lineRule="exact"/>
        <w:ind w:firstLine="562"/>
        <w:rPr>
          <w:rFonts w:ascii="宋体" w:hAnsi="宋体" w:cs="宋体"/>
          <w:b/>
          <w:sz w:val="28"/>
          <w:szCs w:val="28"/>
        </w:rPr>
      </w:pPr>
      <w:r>
        <w:rPr>
          <w:rFonts w:hint="eastAsia" w:ascii="宋体" w:hAnsi="宋体" w:cs="宋体"/>
          <w:b/>
          <w:bCs/>
          <w:sz w:val="28"/>
          <w:szCs w:val="28"/>
        </w:rPr>
        <w:t>十一、</w:t>
      </w:r>
      <w:r>
        <w:rPr>
          <w:rFonts w:hint="eastAsia" w:ascii="宋体" w:hAnsi="宋体" w:cs="宋体"/>
          <w:b/>
          <w:sz w:val="28"/>
          <w:szCs w:val="28"/>
        </w:rPr>
        <w:t>联系方式</w:t>
      </w:r>
    </w:p>
    <w:p w14:paraId="0A65EC15">
      <w:pPr>
        <w:pStyle w:val="20"/>
        <w:spacing w:line="480" w:lineRule="exact"/>
        <w:ind w:firstLine="560"/>
        <w:rPr>
          <w:rFonts w:ascii="宋体" w:hAnsi="宋体" w:cs="宋体"/>
          <w:sz w:val="28"/>
          <w:szCs w:val="28"/>
        </w:rPr>
      </w:pPr>
      <w:r>
        <w:rPr>
          <w:rFonts w:hint="eastAsia" w:ascii="宋体" w:hAnsi="宋体" w:cs="宋体"/>
          <w:sz w:val="28"/>
          <w:szCs w:val="28"/>
        </w:rPr>
        <w:t>采购人：三台县</w:t>
      </w:r>
      <w:r>
        <w:rPr>
          <w:rFonts w:hint="eastAsia" w:ascii="宋体" w:hAnsi="宋体" w:cs="宋体"/>
          <w:sz w:val="28"/>
          <w:szCs w:val="28"/>
          <w:lang w:val="en-US" w:eastAsia="zh-CN"/>
        </w:rPr>
        <w:t>中</w:t>
      </w:r>
      <w:r>
        <w:rPr>
          <w:rFonts w:hint="eastAsia" w:ascii="宋体" w:hAnsi="宋体" w:cs="宋体"/>
          <w:sz w:val="28"/>
          <w:szCs w:val="28"/>
        </w:rPr>
        <w:t xml:space="preserve">医院               </w:t>
      </w:r>
    </w:p>
    <w:p w14:paraId="795C519D">
      <w:pPr>
        <w:pStyle w:val="20"/>
        <w:spacing w:line="480" w:lineRule="exact"/>
        <w:ind w:firstLine="560"/>
        <w:rPr>
          <w:rFonts w:ascii="宋体" w:hAnsi="宋体" w:cs="宋体"/>
          <w:sz w:val="28"/>
          <w:szCs w:val="28"/>
        </w:rPr>
      </w:pPr>
      <w:r>
        <w:rPr>
          <w:rFonts w:hint="eastAsia" w:ascii="宋体" w:hAnsi="宋体" w:cs="宋体"/>
          <w:sz w:val="28"/>
          <w:szCs w:val="28"/>
        </w:rPr>
        <w:t>地  址：三台县潼川镇</w:t>
      </w:r>
      <w:r>
        <w:rPr>
          <w:rFonts w:hint="eastAsia" w:ascii="宋体" w:hAnsi="宋体" w:cs="宋体"/>
          <w:sz w:val="28"/>
          <w:szCs w:val="28"/>
          <w:lang w:val="en-US" w:eastAsia="zh-CN"/>
        </w:rPr>
        <w:t>学街31</w:t>
      </w:r>
      <w:r>
        <w:rPr>
          <w:rFonts w:hint="eastAsia" w:ascii="宋体" w:hAnsi="宋体" w:cs="宋体"/>
          <w:sz w:val="28"/>
          <w:szCs w:val="28"/>
        </w:rPr>
        <w:t xml:space="preserve">号              </w:t>
      </w:r>
    </w:p>
    <w:p w14:paraId="133D0AFE">
      <w:pPr>
        <w:pStyle w:val="20"/>
        <w:spacing w:line="480" w:lineRule="exact"/>
        <w:ind w:firstLine="560"/>
        <w:rPr>
          <w:rFonts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羊先生</w:t>
      </w:r>
      <w:r>
        <w:rPr>
          <w:rFonts w:hint="eastAsia" w:ascii="宋体" w:hAnsi="宋体" w:cs="宋体"/>
          <w:sz w:val="28"/>
          <w:szCs w:val="28"/>
        </w:rPr>
        <w:t xml:space="preserve">               </w:t>
      </w:r>
    </w:p>
    <w:p w14:paraId="7B9179B2">
      <w:pPr>
        <w:pStyle w:val="20"/>
        <w:spacing w:line="480" w:lineRule="exact"/>
        <w:ind w:firstLine="560"/>
        <w:rPr>
          <w:rFonts w:ascii="宋体" w:hAnsi="宋体" w:cs="宋体"/>
          <w:b/>
          <w:sz w:val="28"/>
          <w:szCs w:val="28"/>
        </w:rPr>
      </w:pPr>
      <w:r>
        <w:rPr>
          <w:rFonts w:hint="eastAsia" w:ascii="宋体" w:hAnsi="宋体" w:cs="宋体"/>
          <w:sz w:val="28"/>
          <w:szCs w:val="28"/>
        </w:rPr>
        <w:t>联系电话：</w:t>
      </w:r>
      <w:r>
        <w:rPr>
          <w:rFonts w:hint="eastAsia" w:ascii="宋体" w:hAnsi="宋体" w:cs="宋体"/>
          <w:sz w:val="28"/>
          <w:szCs w:val="28"/>
          <w:lang w:val="en-US" w:eastAsia="zh-CN"/>
        </w:rPr>
        <w:t>13518308504</w:t>
      </w:r>
      <w:r>
        <w:rPr>
          <w:rFonts w:hint="eastAsia" w:ascii="宋体" w:hAnsi="宋体" w:cs="宋体"/>
          <w:sz w:val="28"/>
          <w:szCs w:val="28"/>
        </w:rPr>
        <w:t xml:space="preserve">           </w:t>
      </w:r>
    </w:p>
    <w:p w14:paraId="43F19A2D">
      <w:pPr>
        <w:spacing w:line="460" w:lineRule="exact"/>
        <w:jc w:val="center"/>
        <w:rPr>
          <w:rFonts w:eastAsia="宋体" w:cs="宋体"/>
          <w:b/>
          <w:bCs/>
          <w:sz w:val="28"/>
          <w:szCs w:val="28"/>
        </w:rPr>
      </w:pPr>
    </w:p>
    <w:p w14:paraId="6A7E8406">
      <w:pPr>
        <w:spacing w:line="460" w:lineRule="exact"/>
        <w:jc w:val="center"/>
        <w:rPr>
          <w:rFonts w:eastAsia="宋体" w:cs="宋体"/>
          <w:b/>
          <w:bCs/>
          <w:sz w:val="28"/>
          <w:szCs w:val="28"/>
        </w:rPr>
      </w:pPr>
    </w:p>
    <w:p w14:paraId="75800581">
      <w:pPr>
        <w:spacing w:line="480" w:lineRule="exact"/>
        <w:ind w:firstLine="643" w:firstLineChars="200"/>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第二章评标办法及确定承包人</w:t>
      </w:r>
    </w:p>
    <w:p w14:paraId="003C4E9B">
      <w:pPr>
        <w:spacing w:line="480" w:lineRule="exact"/>
        <w:ind w:firstLine="560" w:firstLineChars="200"/>
        <w:rPr>
          <w:rFonts w:eastAsia="宋体" w:cs="宋体"/>
          <w:bCs/>
          <w:sz w:val="28"/>
          <w:szCs w:val="28"/>
        </w:rPr>
      </w:pPr>
      <w:r>
        <w:rPr>
          <w:rFonts w:hint="eastAsia" w:eastAsia="宋体" w:cs="宋体"/>
          <w:bCs/>
          <w:sz w:val="28"/>
          <w:szCs w:val="28"/>
        </w:rPr>
        <w:t>一、评分办法：综合评分法</w:t>
      </w:r>
    </w:p>
    <w:p w14:paraId="3C424999">
      <w:pPr>
        <w:spacing w:line="400" w:lineRule="exact"/>
        <w:ind w:firstLine="560" w:firstLineChars="200"/>
        <w:rPr>
          <w:rFonts w:eastAsia="宋体" w:cs="宋体"/>
          <w:bCs/>
          <w:sz w:val="28"/>
          <w:szCs w:val="28"/>
        </w:rPr>
      </w:pPr>
      <w:r>
        <w:rPr>
          <w:rFonts w:hint="eastAsia" w:eastAsia="宋体" w:cs="宋体"/>
          <w:bCs/>
          <w:sz w:val="28"/>
          <w:szCs w:val="28"/>
        </w:rPr>
        <w:t>二、评分细则：</w:t>
      </w:r>
      <w:bookmarkStart w:id="0" w:name="_Toc414449926"/>
      <w:bookmarkStart w:id="1" w:name="_Toc410298042"/>
      <w:bookmarkStart w:id="2" w:name="_Toc409689466"/>
    </w:p>
    <w:tbl>
      <w:tblPr>
        <w:tblStyle w:val="9"/>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02"/>
        <w:gridCol w:w="750"/>
        <w:gridCol w:w="4394"/>
        <w:gridCol w:w="2164"/>
      </w:tblGrid>
      <w:tr w14:paraId="60A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555" w:type="dxa"/>
            <w:vAlign w:val="center"/>
          </w:tcPr>
          <w:p w14:paraId="43699E6A">
            <w:pPr>
              <w:spacing w:line="400" w:lineRule="exact"/>
              <w:ind w:firstLine="7"/>
              <w:jc w:val="center"/>
              <w:rPr>
                <w:b/>
                <w:sz w:val="21"/>
                <w:szCs w:val="21"/>
              </w:rPr>
            </w:pPr>
            <w:r>
              <w:rPr>
                <w:rFonts w:hint="eastAsia"/>
                <w:b/>
                <w:sz w:val="21"/>
                <w:szCs w:val="21"/>
              </w:rPr>
              <w:t>序号</w:t>
            </w:r>
          </w:p>
        </w:tc>
        <w:tc>
          <w:tcPr>
            <w:tcW w:w="1202" w:type="dxa"/>
            <w:vAlign w:val="center"/>
          </w:tcPr>
          <w:p w14:paraId="42299BFC">
            <w:pPr>
              <w:spacing w:line="400" w:lineRule="exact"/>
              <w:ind w:firstLine="28"/>
              <w:jc w:val="center"/>
              <w:rPr>
                <w:b/>
                <w:sz w:val="21"/>
                <w:szCs w:val="21"/>
              </w:rPr>
            </w:pPr>
            <w:r>
              <w:rPr>
                <w:rFonts w:hint="eastAsia"/>
                <w:b/>
                <w:sz w:val="21"/>
                <w:szCs w:val="21"/>
              </w:rPr>
              <w:t>评分因素</w:t>
            </w:r>
          </w:p>
          <w:p w14:paraId="66FEED11">
            <w:pPr>
              <w:spacing w:line="400" w:lineRule="exact"/>
              <w:ind w:firstLine="28"/>
              <w:jc w:val="center"/>
              <w:rPr>
                <w:b/>
                <w:sz w:val="21"/>
                <w:szCs w:val="21"/>
              </w:rPr>
            </w:pPr>
            <w:r>
              <w:rPr>
                <w:rFonts w:hint="eastAsia"/>
                <w:b/>
                <w:sz w:val="21"/>
                <w:szCs w:val="21"/>
              </w:rPr>
              <w:t>及权重</w:t>
            </w:r>
          </w:p>
        </w:tc>
        <w:tc>
          <w:tcPr>
            <w:tcW w:w="750" w:type="dxa"/>
            <w:vAlign w:val="center"/>
          </w:tcPr>
          <w:p w14:paraId="158A35E2">
            <w:pPr>
              <w:spacing w:line="400" w:lineRule="exact"/>
              <w:ind w:firstLine="28"/>
              <w:jc w:val="center"/>
              <w:rPr>
                <w:b/>
                <w:sz w:val="21"/>
                <w:szCs w:val="21"/>
              </w:rPr>
            </w:pPr>
            <w:r>
              <w:rPr>
                <w:rFonts w:hint="eastAsia"/>
                <w:b/>
                <w:sz w:val="21"/>
                <w:szCs w:val="21"/>
              </w:rPr>
              <w:t>分值</w:t>
            </w:r>
          </w:p>
        </w:tc>
        <w:tc>
          <w:tcPr>
            <w:tcW w:w="4394" w:type="dxa"/>
            <w:vAlign w:val="center"/>
          </w:tcPr>
          <w:p w14:paraId="27A23593">
            <w:pPr>
              <w:spacing w:line="400" w:lineRule="exact"/>
              <w:ind w:firstLine="28"/>
              <w:jc w:val="center"/>
              <w:rPr>
                <w:b/>
                <w:sz w:val="21"/>
                <w:szCs w:val="21"/>
              </w:rPr>
            </w:pPr>
            <w:r>
              <w:rPr>
                <w:rFonts w:hint="eastAsia"/>
                <w:b/>
                <w:sz w:val="21"/>
                <w:szCs w:val="21"/>
              </w:rPr>
              <w:t>评分标准</w:t>
            </w:r>
          </w:p>
        </w:tc>
        <w:tc>
          <w:tcPr>
            <w:tcW w:w="2164" w:type="dxa"/>
            <w:vAlign w:val="center"/>
          </w:tcPr>
          <w:p w14:paraId="2B90F335">
            <w:pPr>
              <w:spacing w:line="400" w:lineRule="exact"/>
              <w:ind w:firstLine="28"/>
              <w:jc w:val="center"/>
              <w:rPr>
                <w:b/>
                <w:sz w:val="21"/>
                <w:szCs w:val="21"/>
              </w:rPr>
            </w:pPr>
            <w:r>
              <w:rPr>
                <w:rFonts w:hint="eastAsia"/>
                <w:b/>
                <w:sz w:val="21"/>
                <w:szCs w:val="21"/>
              </w:rPr>
              <w:t>说明</w:t>
            </w:r>
          </w:p>
        </w:tc>
      </w:tr>
      <w:tr w14:paraId="12A0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55" w:type="dxa"/>
            <w:vAlign w:val="center"/>
          </w:tcPr>
          <w:p w14:paraId="6BDFE052">
            <w:pPr>
              <w:spacing w:line="400" w:lineRule="exact"/>
              <w:ind w:firstLine="28"/>
              <w:jc w:val="center"/>
              <w:rPr>
                <w:sz w:val="28"/>
                <w:szCs w:val="28"/>
              </w:rPr>
            </w:pPr>
            <w:r>
              <w:rPr>
                <w:rFonts w:hint="eastAsia"/>
                <w:sz w:val="28"/>
                <w:szCs w:val="28"/>
              </w:rPr>
              <w:t>1</w:t>
            </w:r>
          </w:p>
        </w:tc>
        <w:tc>
          <w:tcPr>
            <w:tcW w:w="1202" w:type="dxa"/>
            <w:vAlign w:val="center"/>
          </w:tcPr>
          <w:p w14:paraId="335746E2">
            <w:pPr>
              <w:spacing w:line="400" w:lineRule="exact"/>
              <w:ind w:firstLine="28"/>
              <w:jc w:val="center"/>
              <w:rPr>
                <w:sz w:val="28"/>
                <w:szCs w:val="28"/>
              </w:rPr>
            </w:pPr>
            <w:r>
              <w:rPr>
                <w:rFonts w:hint="eastAsia"/>
                <w:sz w:val="28"/>
                <w:szCs w:val="28"/>
              </w:rPr>
              <w:t>报价</w:t>
            </w:r>
          </w:p>
        </w:tc>
        <w:tc>
          <w:tcPr>
            <w:tcW w:w="750" w:type="dxa"/>
            <w:vAlign w:val="center"/>
          </w:tcPr>
          <w:p w14:paraId="781C5836">
            <w:pPr>
              <w:spacing w:line="400" w:lineRule="exact"/>
              <w:ind w:firstLine="28"/>
              <w:jc w:val="center"/>
              <w:rPr>
                <w:sz w:val="28"/>
                <w:szCs w:val="28"/>
              </w:rPr>
            </w:pPr>
            <w:r>
              <w:rPr>
                <w:rFonts w:hint="eastAsia"/>
                <w:sz w:val="28"/>
                <w:szCs w:val="28"/>
                <w:lang w:val="en-US" w:eastAsia="zh-CN"/>
              </w:rPr>
              <w:t>20</w:t>
            </w:r>
            <w:r>
              <w:rPr>
                <w:rFonts w:hint="eastAsia"/>
                <w:sz w:val="28"/>
                <w:szCs w:val="28"/>
              </w:rPr>
              <w:t>分</w:t>
            </w:r>
          </w:p>
        </w:tc>
        <w:tc>
          <w:tcPr>
            <w:tcW w:w="4394" w:type="dxa"/>
            <w:vAlign w:val="center"/>
          </w:tcPr>
          <w:p w14:paraId="03B7C92D">
            <w:pPr>
              <w:pStyle w:val="5"/>
              <w:tabs>
                <w:tab w:val="left" w:pos="600"/>
              </w:tabs>
              <w:spacing w:line="400" w:lineRule="exact"/>
              <w:ind w:firstLine="0"/>
              <w:rPr>
                <w:b w:val="0"/>
                <w:sz w:val="28"/>
                <w:szCs w:val="28"/>
              </w:rPr>
            </w:pPr>
            <w:r>
              <w:rPr>
                <w:rFonts w:hint="eastAsia"/>
                <w:b w:val="0"/>
                <w:sz w:val="28"/>
                <w:szCs w:val="28"/>
              </w:rPr>
              <w:t>在满足招标文件要求的前提下，取各投标报价的最高价作为评标基准价，满分为</w:t>
            </w:r>
            <w:r>
              <w:rPr>
                <w:rFonts w:hint="eastAsia"/>
                <w:b w:val="0"/>
                <w:sz w:val="28"/>
                <w:szCs w:val="28"/>
                <w:lang w:val="en-US" w:eastAsia="zh-CN"/>
              </w:rPr>
              <w:t>20</w:t>
            </w:r>
            <w:r>
              <w:rPr>
                <w:rFonts w:hint="eastAsia"/>
                <w:b w:val="0"/>
                <w:sz w:val="28"/>
                <w:szCs w:val="28"/>
              </w:rPr>
              <w:t>分；价格分</w:t>
            </w:r>
            <w:r>
              <w:rPr>
                <w:b w:val="0"/>
                <w:sz w:val="28"/>
                <w:szCs w:val="28"/>
              </w:rPr>
              <w:t>=</w:t>
            </w:r>
            <w:r>
              <w:rPr>
                <w:rFonts w:hint="eastAsia"/>
                <w:b w:val="0"/>
                <w:sz w:val="28"/>
                <w:szCs w:val="28"/>
              </w:rPr>
              <w:t>有效投标价÷评标基准价×</w:t>
            </w:r>
            <w:r>
              <w:rPr>
                <w:rFonts w:hint="eastAsia"/>
                <w:b w:val="0"/>
                <w:sz w:val="28"/>
                <w:szCs w:val="28"/>
                <w:lang w:val="en-US" w:eastAsia="zh-CN"/>
              </w:rPr>
              <w:t>2</w:t>
            </w:r>
            <w:r>
              <w:rPr>
                <w:rFonts w:hint="eastAsia"/>
                <w:b w:val="0"/>
                <w:sz w:val="28"/>
                <w:szCs w:val="28"/>
              </w:rPr>
              <w:t>0</w:t>
            </w:r>
          </w:p>
        </w:tc>
        <w:tc>
          <w:tcPr>
            <w:tcW w:w="2164" w:type="dxa"/>
            <w:vAlign w:val="center"/>
          </w:tcPr>
          <w:p w14:paraId="7834C5F8">
            <w:pPr>
              <w:pStyle w:val="5"/>
              <w:tabs>
                <w:tab w:val="left" w:pos="600"/>
              </w:tabs>
              <w:spacing w:line="400" w:lineRule="exact"/>
              <w:ind w:firstLine="0"/>
              <w:rPr>
                <w:b w:val="0"/>
                <w:sz w:val="28"/>
                <w:szCs w:val="28"/>
              </w:rPr>
            </w:pPr>
          </w:p>
        </w:tc>
      </w:tr>
      <w:tr w14:paraId="30CB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555" w:type="dxa"/>
            <w:vAlign w:val="center"/>
          </w:tcPr>
          <w:p w14:paraId="70938A4C">
            <w:pPr>
              <w:spacing w:line="400" w:lineRule="exact"/>
              <w:ind w:firstLine="28"/>
              <w:jc w:val="center"/>
              <w:rPr>
                <w:sz w:val="28"/>
                <w:szCs w:val="28"/>
              </w:rPr>
            </w:pPr>
            <w:r>
              <w:rPr>
                <w:rFonts w:hint="eastAsia"/>
                <w:sz w:val="28"/>
                <w:szCs w:val="28"/>
              </w:rPr>
              <w:t>2</w:t>
            </w:r>
          </w:p>
        </w:tc>
        <w:tc>
          <w:tcPr>
            <w:tcW w:w="1202" w:type="dxa"/>
            <w:vAlign w:val="center"/>
          </w:tcPr>
          <w:p w14:paraId="7BC49939">
            <w:pPr>
              <w:spacing w:line="400" w:lineRule="exact"/>
              <w:ind w:firstLine="28"/>
              <w:jc w:val="center"/>
              <w:rPr>
                <w:sz w:val="28"/>
                <w:szCs w:val="28"/>
              </w:rPr>
            </w:pPr>
            <w:r>
              <w:rPr>
                <w:rFonts w:ascii="宋体" w:hAnsi="宋体" w:eastAsia="宋体" w:cs="宋体"/>
                <w:sz w:val="24"/>
                <w:szCs w:val="24"/>
              </w:rPr>
              <w:t>餐饮安全管理 制度</w:t>
            </w:r>
          </w:p>
        </w:tc>
        <w:tc>
          <w:tcPr>
            <w:tcW w:w="750" w:type="dxa"/>
            <w:vAlign w:val="center"/>
          </w:tcPr>
          <w:p w14:paraId="647E9AEE">
            <w:pPr>
              <w:spacing w:line="400" w:lineRule="exact"/>
              <w:ind w:firstLine="28"/>
              <w:jc w:val="center"/>
              <w:rPr>
                <w:rFonts w:hint="eastAsia" w:eastAsia="仿宋_GB2312"/>
                <w:sz w:val="28"/>
                <w:szCs w:val="28"/>
                <w:lang w:val="en-US" w:eastAsia="zh-CN"/>
              </w:rPr>
            </w:pPr>
            <w:r>
              <w:rPr>
                <w:rFonts w:hint="eastAsia"/>
                <w:sz w:val="28"/>
                <w:szCs w:val="28"/>
                <w:lang w:val="en-US" w:eastAsia="zh-CN"/>
              </w:rPr>
              <w:t>18分</w:t>
            </w:r>
          </w:p>
        </w:tc>
        <w:tc>
          <w:tcPr>
            <w:tcW w:w="4394" w:type="dxa"/>
            <w:vAlign w:val="center"/>
          </w:tcPr>
          <w:p w14:paraId="26F7288D">
            <w:pPr>
              <w:pStyle w:val="5"/>
              <w:tabs>
                <w:tab w:val="left" w:pos="600"/>
              </w:tabs>
              <w:spacing w:line="400" w:lineRule="exact"/>
              <w:ind w:firstLine="0"/>
              <w:rPr>
                <w:rFonts w:hint="eastAsia" w:eastAsia="仿宋_GB2312"/>
                <w:b w:val="0"/>
                <w:sz w:val="28"/>
                <w:szCs w:val="28"/>
                <w:lang w:val="en-US" w:eastAsia="zh-CN"/>
              </w:rPr>
            </w:pPr>
            <w:r>
              <w:rPr>
                <w:rFonts w:hint="eastAsia" w:ascii="宋体" w:hAnsi="宋体" w:eastAsia="仿宋_GB2312" w:cs="Times New Roman"/>
                <w:b w:val="0"/>
                <w:kern w:val="0"/>
                <w:sz w:val="28"/>
                <w:szCs w:val="28"/>
                <w:lang w:val="en-US" w:eastAsia="zh-CN" w:bidi="ar-SA"/>
              </w:rPr>
              <w:t>根据供应商针对餐饮提供的餐饮安全管理制度进行评分：制度包括（1）食品安全管理制度；（2）安全隐患排查制度；（3）食品留样制度；（4）清洗消毒保洁制度；（5）设施设备管理维护制度；（6）员工培训制度等全部内容，且各项制 度制定完整、符合项目实际情 况，得 1</w:t>
            </w:r>
            <w:r>
              <w:rPr>
                <w:rFonts w:hint="eastAsia" w:cs="Times New Roman"/>
                <w:b w:val="0"/>
                <w:kern w:val="0"/>
                <w:sz w:val="28"/>
                <w:szCs w:val="28"/>
                <w:lang w:val="en-US" w:eastAsia="zh-CN" w:bidi="ar-SA"/>
              </w:rPr>
              <w:t>8</w:t>
            </w:r>
            <w:r>
              <w:rPr>
                <w:rFonts w:hint="eastAsia" w:ascii="宋体" w:hAnsi="宋体" w:eastAsia="仿宋_GB2312" w:cs="Times New Roman"/>
                <w:b w:val="0"/>
                <w:kern w:val="0"/>
                <w:sz w:val="28"/>
                <w:szCs w:val="28"/>
                <w:lang w:val="en-US" w:eastAsia="zh-CN" w:bidi="ar-SA"/>
              </w:rPr>
              <w:t xml:space="preserve"> 分。每缺少一项制度或有一项制度内容不完整、与项目实际情况存在偏差扣</w:t>
            </w:r>
            <w:r>
              <w:rPr>
                <w:rFonts w:hint="eastAsia" w:cs="Times New Roman"/>
                <w:b w:val="0"/>
                <w:kern w:val="0"/>
                <w:sz w:val="28"/>
                <w:szCs w:val="28"/>
                <w:lang w:val="en-US" w:eastAsia="zh-CN" w:bidi="ar-SA"/>
              </w:rPr>
              <w:t>3</w:t>
            </w:r>
            <w:r>
              <w:rPr>
                <w:rFonts w:hint="eastAsia" w:ascii="宋体" w:hAnsi="宋体" w:eastAsia="仿宋_GB2312" w:cs="Times New Roman"/>
                <w:b w:val="0"/>
                <w:kern w:val="0"/>
                <w:sz w:val="28"/>
                <w:szCs w:val="28"/>
                <w:lang w:val="en-US" w:eastAsia="zh-CN" w:bidi="ar-SA"/>
              </w:rPr>
              <w:t>分，</w:t>
            </w:r>
            <w:r>
              <w:rPr>
                <w:rFonts w:hint="eastAsia" w:cs="Times New Roman"/>
                <w:b w:val="0"/>
                <w:kern w:val="0"/>
                <w:sz w:val="28"/>
                <w:szCs w:val="28"/>
                <w:lang w:val="en-US" w:eastAsia="zh-CN" w:bidi="ar-SA"/>
              </w:rPr>
              <w:t>扣完为止。</w:t>
            </w:r>
          </w:p>
        </w:tc>
        <w:tc>
          <w:tcPr>
            <w:tcW w:w="2164" w:type="dxa"/>
            <w:vAlign w:val="center"/>
          </w:tcPr>
          <w:p w14:paraId="08307B61">
            <w:pPr>
              <w:pStyle w:val="5"/>
              <w:tabs>
                <w:tab w:val="left" w:pos="600"/>
              </w:tabs>
              <w:spacing w:line="400" w:lineRule="exact"/>
              <w:ind w:firstLine="0"/>
              <w:rPr>
                <w:b w:val="0"/>
                <w:sz w:val="28"/>
                <w:szCs w:val="28"/>
              </w:rPr>
            </w:pPr>
            <w:r>
              <w:rPr>
                <w:rFonts w:hint="eastAsia" w:ascii="宋体" w:hAnsi="宋体" w:eastAsia="仿宋_GB2312" w:cs="Times New Roman"/>
                <w:b w:val="0"/>
                <w:kern w:val="0"/>
                <w:sz w:val="28"/>
                <w:szCs w:val="28"/>
                <w:lang w:val="en-US" w:eastAsia="zh-CN" w:bidi="ar-SA"/>
              </w:rPr>
              <w:t>注：“制度内容不完整、与项目实际情况存在偏差”是指：“供应商所提供的内容存在不适用项目实际情况的情形、套用其他方案、凭空编造、逻辑漏洞、科学原理错误以及不可能实现的夸大情形等情况。”</w:t>
            </w:r>
          </w:p>
        </w:tc>
      </w:tr>
      <w:tr w14:paraId="7C76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555" w:type="dxa"/>
            <w:vAlign w:val="center"/>
          </w:tcPr>
          <w:p w14:paraId="60F07434">
            <w:pPr>
              <w:spacing w:line="400" w:lineRule="exact"/>
              <w:ind w:firstLine="28"/>
              <w:jc w:val="center"/>
              <w:rPr>
                <w:sz w:val="28"/>
                <w:szCs w:val="28"/>
              </w:rPr>
            </w:pPr>
            <w:r>
              <w:rPr>
                <w:rFonts w:hint="eastAsia"/>
                <w:sz w:val="28"/>
                <w:szCs w:val="28"/>
              </w:rPr>
              <w:t>3</w:t>
            </w:r>
          </w:p>
        </w:tc>
        <w:tc>
          <w:tcPr>
            <w:tcW w:w="1202" w:type="dxa"/>
            <w:vAlign w:val="center"/>
          </w:tcPr>
          <w:p w14:paraId="16D8954E">
            <w:pPr>
              <w:spacing w:line="400" w:lineRule="exact"/>
              <w:ind w:left="88" w:leftChars="26"/>
              <w:rPr>
                <w:sz w:val="28"/>
                <w:szCs w:val="28"/>
              </w:rPr>
            </w:pPr>
            <w:r>
              <w:rPr>
                <w:rFonts w:hint="eastAsia"/>
                <w:sz w:val="28"/>
                <w:szCs w:val="28"/>
              </w:rPr>
              <w:t>公司实力及经营情况</w:t>
            </w:r>
          </w:p>
        </w:tc>
        <w:tc>
          <w:tcPr>
            <w:tcW w:w="750" w:type="dxa"/>
            <w:vAlign w:val="center"/>
          </w:tcPr>
          <w:p w14:paraId="52DE0B56">
            <w:pPr>
              <w:spacing w:line="400" w:lineRule="exact"/>
              <w:ind w:firstLine="28"/>
              <w:jc w:val="center"/>
              <w:rPr>
                <w:rFonts w:hint="eastAsia" w:eastAsia="仿宋_GB2312"/>
                <w:sz w:val="28"/>
                <w:szCs w:val="28"/>
                <w:lang w:val="en-US" w:eastAsia="zh-CN"/>
              </w:rPr>
            </w:pPr>
            <w:r>
              <w:rPr>
                <w:rFonts w:hint="eastAsia"/>
                <w:sz w:val="28"/>
                <w:szCs w:val="28"/>
                <w:lang w:val="en-US" w:eastAsia="zh-CN"/>
              </w:rPr>
              <w:t>22分</w:t>
            </w:r>
          </w:p>
        </w:tc>
        <w:tc>
          <w:tcPr>
            <w:tcW w:w="4394" w:type="dxa"/>
            <w:vAlign w:val="center"/>
          </w:tcPr>
          <w:p w14:paraId="3FA2A2A9">
            <w:pPr>
              <w:spacing w:line="400" w:lineRule="exact"/>
              <w:rPr>
                <w:rFonts w:hint="eastAsia" w:eastAsia="仿宋_GB2312"/>
                <w:sz w:val="28"/>
                <w:szCs w:val="28"/>
                <w:lang w:val="en-US" w:eastAsia="zh-CN"/>
              </w:rPr>
            </w:pPr>
            <w:r>
              <w:rPr>
                <w:rFonts w:hint="eastAsia"/>
                <w:sz w:val="28"/>
                <w:szCs w:val="28"/>
              </w:rPr>
              <w:t>根据投标商公司规模、营业状况、人员数量、商业信誉、技术能力等</w:t>
            </w:r>
            <w:r>
              <w:rPr>
                <w:rFonts w:hint="eastAsia"/>
                <w:sz w:val="28"/>
                <w:szCs w:val="28"/>
                <w:lang w:val="en-US" w:eastAsia="zh-CN"/>
              </w:rPr>
              <w:t>由评标人自行独立</w:t>
            </w:r>
            <w:r>
              <w:rPr>
                <w:rFonts w:hint="eastAsia"/>
                <w:sz w:val="28"/>
                <w:szCs w:val="28"/>
              </w:rPr>
              <w:t>综合评分。</w:t>
            </w:r>
            <w:r>
              <w:rPr>
                <w:rFonts w:hint="eastAsia"/>
                <w:sz w:val="28"/>
                <w:szCs w:val="28"/>
                <w:lang w:val="en-US" w:eastAsia="zh-CN"/>
              </w:rPr>
              <w:t>参与投标的供应商中最优供应商得22分，良得18分，合格得14分，差得10分。</w:t>
            </w:r>
          </w:p>
        </w:tc>
        <w:tc>
          <w:tcPr>
            <w:tcW w:w="2164" w:type="dxa"/>
            <w:vAlign w:val="center"/>
          </w:tcPr>
          <w:p w14:paraId="2F9BF74D">
            <w:pPr>
              <w:spacing w:line="400" w:lineRule="exact"/>
              <w:rPr>
                <w:sz w:val="28"/>
                <w:szCs w:val="28"/>
              </w:rPr>
            </w:pPr>
            <w:r>
              <w:rPr>
                <w:rFonts w:hint="eastAsia"/>
                <w:sz w:val="28"/>
                <w:szCs w:val="28"/>
              </w:rPr>
              <w:t>根据投标商提供的资料酌情打分。</w:t>
            </w:r>
          </w:p>
        </w:tc>
      </w:tr>
      <w:tr w14:paraId="2589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555" w:type="dxa"/>
            <w:vAlign w:val="center"/>
          </w:tcPr>
          <w:p w14:paraId="3829F110">
            <w:pPr>
              <w:spacing w:line="400" w:lineRule="exact"/>
              <w:ind w:firstLine="28"/>
              <w:jc w:val="center"/>
              <w:rPr>
                <w:rFonts w:hint="eastAsia" w:eastAsia="仿宋_GB2312"/>
                <w:sz w:val="28"/>
                <w:szCs w:val="28"/>
                <w:lang w:val="en-US" w:eastAsia="zh-CN"/>
              </w:rPr>
            </w:pPr>
            <w:r>
              <w:rPr>
                <w:rFonts w:hint="eastAsia"/>
                <w:sz w:val="28"/>
                <w:szCs w:val="28"/>
                <w:lang w:val="en-US" w:eastAsia="zh-CN"/>
              </w:rPr>
              <w:t>4</w:t>
            </w:r>
          </w:p>
        </w:tc>
        <w:tc>
          <w:tcPr>
            <w:tcW w:w="1202" w:type="dxa"/>
            <w:vAlign w:val="center"/>
          </w:tcPr>
          <w:p w14:paraId="4ECAAD08">
            <w:pPr>
              <w:spacing w:line="400" w:lineRule="exact"/>
              <w:ind w:left="88" w:leftChars="26"/>
              <w:rPr>
                <w:rFonts w:hint="eastAsia" w:eastAsia="仿宋_GB2312"/>
                <w:sz w:val="28"/>
                <w:szCs w:val="28"/>
                <w:lang w:val="en-US" w:eastAsia="zh-CN"/>
              </w:rPr>
            </w:pPr>
            <w:r>
              <w:rPr>
                <w:rFonts w:hint="eastAsia"/>
                <w:sz w:val="28"/>
                <w:szCs w:val="28"/>
                <w:lang w:val="en-US" w:eastAsia="zh-CN"/>
              </w:rPr>
              <w:t>公司业绩</w:t>
            </w:r>
          </w:p>
        </w:tc>
        <w:tc>
          <w:tcPr>
            <w:tcW w:w="750" w:type="dxa"/>
            <w:vAlign w:val="center"/>
          </w:tcPr>
          <w:p w14:paraId="122EFB47">
            <w:pPr>
              <w:spacing w:line="400" w:lineRule="exact"/>
              <w:ind w:firstLine="28"/>
              <w:jc w:val="center"/>
              <w:rPr>
                <w:rFonts w:hint="eastAsia" w:eastAsia="仿宋_GB2312"/>
                <w:sz w:val="28"/>
                <w:szCs w:val="28"/>
                <w:lang w:val="en-US" w:eastAsia="zh-CN"/>
              </w:rPr>
            </w:pPr>
            <w:r>
              <w:rPr>
                <w:rFonts w:hint="eastAsia"/>
                <w:sz w:val="28"/>
                <w:szCs w:val="28"/>
                <w:lang w:val="en-US" w:eastAsia="zh-CN"/>
              </w:rPr>
              <w:t>18分</w:t>
            </w:r>
          </w:p>
        </w:tc>
        <w:tc>
          <w:tcPr>
            <w:tcW w:w="4394" w:type="dxa"/>
            <w:vAlign w:val="center"/>
          </w:tcPr>
          <w:p w14:paraId="56C426B8">
            <w:pPr>
              <w:spacing w:line="400" w:lineRule="exact"/>
              <w:rPr>
                <w:rFonts w:hint="eastAsia"/>
                <w:sz w:val="28"/>
                <w:szCs w:val="28"/>
                <w:lang w:val="en-US" w:eastAsia="zh-CN"/>
              </w:rPr>
            </w:pPr>
            <w:r>
              <w:rPr>
                <w:rFonts w:hint="eastAsia"/>
                <w:sz w:val="28"/>
                <w:szCs w:val="28"/>
                <w:lang w:val="en-US" w:eastAsia="zh-CN"/>
              </w:rPr>
              <w:t>1、提供2021</w:t>
            </w:r>
            <w:bookmarkStart w:id="3" w:name="_GoBack"/>
            <w:bookmarkEnd w:id="3"/>
            <w:r>
              <w:rPr>
                <w:rFonts w:hint="eastAsia"/>
                <w:sz w:val="28"/>
                <w:szCs w:val="28"/>
                <w:lang w:val="en-US" w:eastAsia="zh-CN"/>
              </w:rPr>
              <w:t>年以来，有医院、企事业单位的食堂、职工餐厅等类似项目的承包合同或租赁服务合同复印件（盖鲜章),每提供一个得2分，最多12分。</w:t>
            </w:r>
          </w:p>
          <w:p w14:paraId="3AC59D28">
            <w:pPr>
              <w:spacing w:line="400" w:lineRule="exact"/>
              <w:rPr>
                <w:rFonts w:hint="eastAsia"/>
                <w:sz w:val="28"/>
                <w:szCs w:val="28"/>
                <w:lang w:val="en-US" w:eastAsia="zh-CN"/>
              </w:rPr>
            </w:pPr>
            <w:r>
              <w:rPr>
                <w:rFonts w:hint="eastAsia"/>
                <w:sz w:val="28"/>
                <w:szCs w:val="28"/>
                <w:lang w:val="en-US" w:eastAsia="zh-CN"/>
              </w:rPr>
              <w:t>2、提供 2021 年以来所有服务类似项目的用户单位评价材料，每有一个评价为优的（或评分 90 分及以上的）得 1.5 分，最多得 6 分；</w:t>
            </w:r>
          </w:p>
        </w:tc>
        <w:tc>
          <w:tcPr>
            <w:tcW w:w="2164" w:type="dxa"/>
            <w:vAlign w:val="center"/>
          </w:tcPr>
          <w:p w14:paraId="05BBFA88">
            <w:pPr>
              <w:spacing w:line="400" w:lineRule="exact"/>
              <w:rPr>
                <w:rFonts w:hint="eastAsia"/>
                <w:sz w:val="28"/>
                <w:szCs w:val="28"/>
              </w:rPr>
            </w:pPr>
          </w:p>
        </w:tc>
      </w:tr>
      <w:tr w14:paraId="0F96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555" w:type="dxa"/>
            <w:vAlign w:val="center"/>
          </w:tcPr>
          <w:p w14:paraId="0DDA9CED">
            <w:pPr>
              <w:spacing w:line="400" w:lineRule="exact"/>
              <w:ind w:firstLine="28"/>
              <w:jc w:val="center"/>
              <w:rPr>
                <w:rFonts w:hint="eastAsia" w:eastAsia="仿宋_GB2312"/>
                <w:sz w:val="28"/>
                <w:szCs w:val="28"/>
                <w:lang w:eastAsia="zh-CN"/>
              </w:rPr>
            </w:pPr>
            <w:r>
              <w:rPr>
                <w:rFonts w:hint="eastAsia"/>
                <w:sz w:val="28"/>
                <w:szCs w:val="28"/>
                <w:lang w:val="en-US" w:eastAsia="zh-CN"/>
              </w:rPr>
              <w:t>5</w:t>
            </w:r>
          </w:p>
        </w:tc>
        <w:tc>
          <w:tcPr>
            <w:tcW w:w="1202" w:type="dxa"/>
            <w:vAlign w:val="center"/>
          </w:tcPr>
          <w:p w14:paraId="1BCD62F7">
            <w:pPr>
              <w:spacing w:line="400" w:lineRule="exact"/>
              <w:ind w:left="88" w:leftChars="26"/>
              <w:rPr>
                <w:rFonts w:hint="eastAsia" w:eastAsia="仿宋_GB2312"/>
                <w:sz w:val="28"/>
                <w:szCs w:val="28"/>
                <w:lang w:val="en-US" w:eastAsia="zh-CN"/>
              </w:rPr>
            </w:pPr>
            <w:r>
              <w:rPr>
                <w:rFonts w:hint="eastAsia"/>
                <w:sz w:val="28"/>
                <w:szCs w:val="28"/>
                <w:lang w:val="en-US" w:eastAsia="zh-CN"/>
              </w:rPr>
              <w:t>应急预案</w:t>
            </w:r>
          </w:p>
        </w:tc>
        <w:tc>
          <w:tcPr>
            <w:tcW w:w="750" w:type="dxa"/>
            <w:vAlign w:val="center"/>
          </w:tcPr>
          <w:p w14:paraId="73073C1E">
            <w:pPr>
              <w:spacing w:line="400" w:lineRule="exact"/>
              <w:ind w:firstLine="28"/>
              <w:jc w:val="center"/>
              <w:rPr>
                <w:sz w:val="28"/>
                <w:szCs w:val="28"/>
              </w:rPr>
            </w:pPr>
            <w:r>
              <w:rPr>
                <w:rFonts w:hint="eastAsia"/>
                <w:sz w:val="28"/>
                <w:szCs w:val="28"/>
                <w:lang w:val="en-US" w:eastAsia="zh-CN"/>
              </w:rPr>
              <w:t>10</w:t>
            </w:r>
            <w:r>
              <w:rPr>
                <w:rFonts w:hint="eastAsia"/>
                <w:sz w:val="28"/>
                <w:szCs w:val="28"/>
              </w:rPr>
              <w:t>分</w:t>
            </w:r>
          </w:p>
        </w:tc>
        <w:tc>
          <w:tcPr>
            <w:tcW w:w="4394" w:type="dxa"/>
            <w:vAlign w:val="center"/>
          </w:tcPr>
          <w:p w14:paraId="2001B98E">
            <w:pPr>
              <w:spacing w:line="400" w:lineRule="exact"/>
              <w:rPr>
                <w:sz w:val="28"/>
                <w:szCs w:val="28"/>
              </w:rPr>
            </w:pPr>
            <w:r>
              <w:rPr>
                <w:rFonts w:ascii="宋体" w:hAnsi="宋体" w:eastAsia="宋体" w:cs="宋体"/>
                <w:sz w:val="24"/>
                <w:szCs w:val="24"/>
              </w:rPr>
              <w:t>根据供应商提供的应急方案 进行评分： 应急方案包括（1）食品安全事件应急预案、（2）消防应急预案、（3）突发各类能源故障应急预案</w:t>
            </w:r>
            <w:r>
              <w:rPr>
                <w:rFonts w:hint="eastAsia" w:eastAsia="宋体" w:cs="宋体"/>
                <w:sz w:val="24"/>
                <w:szCs w:val="24"/>
                <w:lang w:val="en-US" w:eastAsia="zh-CN"/>
              </w:rPr>
              <w:t>包括</w:t>
            </w:r>
            <w:r>
              <w:rPr>
                <w:rFonts w:hint="eastAsia" w:eastAsia="宋体" w:cs="宋体"/>
                <w:sz w:val="24"/>
                <w:szCs w:val="24"/>
                <w:lang w:eastAsia="zh-CN"/>
              </w:rPr>
              <w:t>：</w:t>
            </w:r>
            <w:r>
              <w:rPr>
                <w:rFonts w:ascii="宋体" w:hAnsi="宋体" w:eastAsia="宋体" w:cs="宋体"/>
                <w:sz w:val="24"/>
                <w:szCs w:val="24"/>
              </w:rPr>
              <w:t>①突然断水、②断电、③停气的应急预案等各类应急预案，且所有预案均符合项目实际需求，得 10 分。每缺少一项预案，或有一项预案与项目实际情况存在偏差，扣 2 分，扣完为止</w:t>
            </w:r>
          </w:p>
        </w:tc>
        <w:tc>
          <w:tcPr>
            <w:tcW w:w="2164" w:type="dxa"/>
            <w:vAlign w:val="center"/>
          </w:tcPr>
          <w:p w14:paraId="4307DDDA">
            <w:pPr>
              <w:spacing w:line="400" w:lineRule="exact"/>
              <w:rPr>
                <w:sz w:val="28"/>
                <w:szCs w:val="28"/>
              </w:rPr>
            </w:pPr>
            <w:r>
              <w:rPr>
                <w:rFonts w:ascii="宋体" w:hAnsi="宋体" w:eastAsia="宋体" w:cs="宋体"/>
                <w:sz w:val="24"/>
                <w:szCs w:val="24"/>
              </w:rPr>
              <w:t>注：“预案与项目实 际情况存在偏差”是指： “供应商所提供的制 度存在不适用项目实 际情况的情形、套用其 他方案、凭空编造、逻 辑漏洞、科学原理错误 以及不可能实现的夸 大情形等情况。”</w:t>
            </w:r>
          </w:p>
        </w:tc>
      </w:tr>
      <w:tr w14:paraId="13D3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555" w:type="dxa"/>
            <w:vAlign w:val="center"/>
          </w:tcPr>
          <w:p w14:paraId="477B1FEA">
            <w:pPr>
              <w:spacing w:line="400" w:lineRule="exact"/>
              <w:ind w:firstLine="28"/>
              <w:jc w:val="center"/>
              <w:rPr>
                <w:sz w:val="28"/>
                <w:szCs w:val="28"/>
              </w:rPr>
            </w:pPr>
            <w:r>
              <w:rPr>
                <w:rFonts w:hint="eastAsia"/>
                <w:sz w:val="28"/>
                <w:szCs w:val="28"/>
              </w:rPr>
              <w:t>6</w:t>
            </w:r>
          </w:p>
        </w:tc>
        <w:tc>
          <w:tcPr>
            <w:tcW w:w="1202" w:type="dxa"/>
            <w:vAlign w:val="center"/>
          </w:tcPr>
          <w:p w14:paraId="6CE53BE8">
            <w:pPr>
              <w:spacing w:line="400" w:lineRule="exact"/>
              <w:rPr>
                <w:sz w:val="28"/>
                <w:szCs w:val="28"/>
              </w:rPr>
            </w:pPr>
            <w:r>
              <w:rPr>
                <w:rFonts w:hint="eastAsia"/>
                <w:sz w:val="28"/>
                <w:szCs w:val="28"/>
              </w:rPr>
              <w:t>环保方案</w:t>
            </w:r>
          </w:p>
        </w:tc>
        <w:tc>
          <w:tcPr>
            <w:tcW w:w="750" w:type="dxa"/>
            <w:vAlign w:val="center"/>
          </w:tcPr>
          <w:p w14:paraId="5AB4BA6C">
            <w:pPr>
              <w:spacing w:line="400" w:lineRule="exact"/>
              <w:jc w:val="center"/>
              <w:rPr>
                <w:sz w:val="28"/>
                <w:szCs w:val="28"/>
              </w:rPr>
            </w:pPr>
            <w:r>
              <w:rPr>
                <w:rFonts w:hint="eastAsia"/>
                <w:sz w:val="28"/>
                <w:szCs w:val="28"/>
              </w:rPr>
              <w:t>1</w:t>
            </w:r>
            <w:r>
              <w:rPr>
                <w:rFonts w:hint="eastAsia"/>
                <w:sz w:val="28"/>
                <w:szCs w:val="28"/>
                <w:lang w:val="en-US" w:eastAsia="zh-CN"/>
              </w:rPr>
              <w:t>2</w:t>
            </w:r>
            <w:r>
              <w:rPr>
                <w:rFonts w:hint="eastAsia"/>
                <w:sz w:val="28"/>
                <w:szCs w:val="28"/>
              </w:rPr>
              <w:t>分</w:t>
            </w:r>
          </w:p>
        </w:tc>
        <w:tc>
          <w:tcPr>
            <w:tcW w:w="4394" w:type="dxa"/>
            <w:vAlign w:val="center"/>
          </w:tcPr>
          <w:p w14:paraId="2DACFA5F">
            <w:pPr>
              <w:spacing w:line="400" w:lineRule="exact"/>
              <w:ind w:firstLine="480" w:firstLineChars="200"/>
              <w:rPr>
                <w:rFonts w:hint="eastAsia" w:eastAsia="宋体" w:cs="宋体"/>
                <w:sz w:val="24"/>
                <w:szCs w:val="24"/>
                <w:lang w:val="en-US" w:eastAsia="zh-CN"/>
              </w:rPr>
            </w:pPr>
            <w:r>
              <w:rPr>
                <w:rFonts w:ascii="宋体" w:hAnsi="宋体" w:eastAsia="宋体" w:cs="宋体"/>
                <w:sz w:val="24"/>
                <w:szCs w:val="24"/>
              </w:rPr>
              <w:t>根据供应商提供的用水、电、 气的使用管理制度进行评分： 制度内容包括（1）水使用管理制度、（2）电使用管理制度、 （3）气使用管理制度</w:t>
            </w:r>
            <w:r>
              <w:rPr>
                <w:rFonts w:hint="eastAsia" w:eastAsia="宋体" w:cs="宋体"/>
                <w:sz w:val="24"/>
                <w:szCs w:val="24"/>
                <w:lang w:eastAsia="zh-CN"/>
              </w:rPr>
              <w:t>、（</w:t>
            </w:r>
            <w:r>
              <w:rPr>
                <w:rFonts w:hint="eastAsia" w:eastAsia="宋体" w:cs="宋体"/>
                <w:sz w:val="24"/>
                <w:szCs w:val="24"/>
                <w:lang w:val="en-US" w:eastAsia="zh-CN"/>
              </w:rPr>
              <w:t>4）排烟方案。</w:t>
            </w:r>
          </w:p>
          <w:p w14:paraId="3244F64D">
            <w:pPr>
              <w:spacing w:line="400" w:lineRule="exact"/>
              <w:ind w:firstLine="480" w:firstLineChars="200"/>
              <w:rPr>
                <w:sz w:val="28"/>
                <w:szCs w:val="28"/>
              </w:rPr>
            </w:pPr>
            <w:r>
              <w:rPr>
                <w:rFonts w:hint="eastAsia" w:eastAsia="宋体" w:cs="宋体"/>
                <w:sz w:val="24"/>
                <w:szCs w:val="24"/>
                <w:lang w:val="en-US" w:eastAsia="zh-CN"/>
              </w:rPr>
              <w:t>所有制度必须符合环保要求、</w:t>
            </w:r>
            <w:r>
              <w:rPr>
                <w:rFonts w:ascii="宋体" w:hAnsi="宋体" w:eastAsia="宋体" w:cs="宋体"/>
                <w:sz w:val="24"/>
                <w:szCs w:val="24"/>
              </w:rPr>
              <w:t>符合项目实际情况</w:t>
            </w:r>
            <w:r>
              <w:rPr>
                <w:rFonts w:hint="eastAsia" w:eastAsia="宋体" w:cs="宋体"/>
                <w:sz w:val="24"/>
                <w:szCs w:val="24"/>
                <w:lang w:eastAsia="zh-CN"/>
              </w:rPr>
              <w:t>。</w:t>
            </w:r>
            <w:r>
              <w:rPr>
                <w:rFonts w:hint="eastAsia" w:eastAsia="宋体" w:cs="宋体"/>
                <w:sz w:val="24"/>
                <w:szCs w:val="24"/>
                <w:lang w:val="en-US" w:eastAsia="zh-CN"/>
              </w:rPr>
              <w:t>最优</w:t>
            </w:r>
            <w:r>
              <w:rPr>
                <w:rFonts w:ascii="宋体" w:hAnsi="宋体" w:eastAsia="宋体" w:cs="宋体"/>
                <w:sz w:val="24"/>
                <w:szCs w:val="24"/>
              </w:rPr>
              <w:t>得</w:t>
            </w:r>
            <w:r>
              <w:rPr>
                <w:rFonts w:hint="eastAsia" w:eastAsia="宋体" w:cs="宋体"/>
                <w:sz w:val="24"/>
                <w:szCs w:val="24"/>
                <w:lang w:val="en-US" w:eastAsia="zh-CN"/>
              </w:rPr>
              <w:t>12</w:t>
            </w:r>
            <w:r>
              <w:rPr>
                <w:rFonts w:ascii="宋体" w:hAnsi="宋体" w:eastAsia="宋体" w:cs="宋体"/>
                <w:sz w:val="24"/>
                <w:szCs w:val="24"/>
              </w:rPr>
              <w:t xml:space="preserve"> 分。每缺少一项制度，或有一项制度与项目实际情况存在偏 差，扣 </w:t>
            </w:r>
            <w:r>
              <w:rPr>
                <w:rFonts w:hint="eastAsia" w:eastAsia="宋体" w:cs="宋体"/>
                <w:sz w:val="24"/>
                <w:szCs w:val="24"/>
                <w:lang w:val="en-US" w:eastAsia="zh-CN"/>
              </w:rPr>
              <w:t>3</w:t>
            </w:r>
            <w:r>
              <w:rPr>
                <w:rFonts w:ascii="宋体" w:hAnsi="宋体" w:eastAsia="宋体" w:cs="宋体"/>
                <w:sz w:val="24"/>
                <w:szCs w:val="24"/>
              </w:rPr>
              <w:t>分。</w:t>
            </w:r>
          </w:p>
        </w:tc>
        <w:tc>
          <w:tcPr>
            <w:tcW w:w="2164" w:type="dxa"/>
            <w:vAlign w:val="center"/>
          </w:tcPr>
          <w:p w14:paraId="64100C51">
            <w:pPr>
              <w:spacing w:line="400" w:lineRule="exact"/>
              <w:rPr>
                <w:sz w:val="28"/>
                <w:szCs w:val="28"/>
              </w:rPr>
            </w:pPr>
            <w:r>
              <w:rPr>
                <w:rFonts w:ascii="宋体" w:hAnsi="宋体" w:eastAsia="宋体" w:cs="宋体"/>
                <w:sz w:val="24"/>
                <w:szCs w:val="24"/>
              </w:rPr>
              <w:t xml:space="preserve"> 注：“制度与项目实 际情况存在偏差”是指： “供应商所提供的制 度存在不适用项目实 际情况的情形、套用其 他方案、凭空编造、逻 辑漏洞、科学原理错误 以及不可能实现的夸 大情形等情况。”</w:t>
            </w:r>
          </w:p>
        </w:tc>
      </w:tr>
    </w:tbl>
    <w:p w14:paraId="44AD7428">
      <w:pPr>
        <w:spacing w:line="480" w:lineRule="exact"/>
        <w:jc w:val="left"/>
        <w:outlineLvl w:val="0"/>
        <w:rPr>
          <w:rFonts w:eastAsia="宋体" w:cs="宋体"/>
          <w:bCs/>
          <w:sz w:val="28"/>
          <w:szCs w:val="28"/>
        </w:rPr>
      </w:pPr>
      <w:r>
        <w:rPr>
          <w:rFonts w:hint="eastAsia" w:eastAsia="宋体" w:cs="宋体"/>
          <w:bCs/>
          <w:sz w:val="28"/>
          <w:szCs w:val="28"/>
        </w:rPr>
        <w:t>三、确定</w:t>
      </w:r>
      <w:bookmarkEnd w:id="0"/>
      <w:bookmarkEnd w:id="1"/>
      <w:bookmarkEnd w:id="2"/>
      <w:r>
        <w:rPr>
          <w:rFonts w:hint="eastAsia" w:eastAsia="宋体" w:cs="宋体"/>
          <w:bCs/>
          <w:sz w:val="28"/>
          <w:szCs w:val="28"/>
        </w:rPr>
        <w:t>承包人</w:t>
      </w:r>
    </w:p>
    <w:p w14:paraId="1654BF3B">
      <w:pPr>
        <w:tabs>
          <w:tab w:val="left" w:pos="1050"/>
        </w:tabs>
        <w:spacing w:line="480" w:lineRule="exact"/>
        <w:ind w:firstLine="560" w:firstLineChars="200"/>
        <w:rPr>
          <w:rFonts w:eastAsia="宋体" w:cs="宋体"/>
          <w:bCs/>
          <w:sz w:val="28"/>
          <w:szCs w:val="28"/>
        </w:rPr>
      </w:pPr>
      <w:r>
        <w:rPr>
          <w:rFonts w:hint="eastAsia" w:eastAsia="宋体" w:cs="宋体"/>
          <w:bCs/>
          <w:sz w:val="28"/>
          <w:szCs w:val="28"/>
        </w:rPr>
        <w:t>1.磋商小组对通过资格性检查和经磋商后符合性检查的有效响应文件，根据成交标准推荐成交候选投标商。</w:t>
      </w:r>
    </w:p>
    <w:p w14:paraId="070BD70A">
      <w:pPr>
        <w:spacing w:line="460" w:lineRule="exact"/>
        <w:ind w:firstLine="560" w:firstLineChars="200"/>
        <w:rPr>
          <w:rFonts w:eastAsia="宋体" w:cs="宋体"/>
          <w:sz w:val="28"/>
          <w:szCs w:val="28"/>
        </w:rPr>
      </w:pPr>
      <w:r>
        <w:rPr>
          <w:rFonts w:hint="eastAsia" w:eastAsia="宋体" w:cs="宋体"/>
          <w:bCs/>
          <w:sz w:val="28"/>
          <w:szCs w:val="28"/>
        </w:rPr>
        <w:t>2.</w:t>
      </w:r>
      <w:r>
        <w:rPr>
          <w:rFonts w:hint="eastAsia" w:eastAsia="宋体" w:cs="宋体"/>
          <w:sz w:val="28"/>
          <w:szCs w:val="28"/>
        </w:rPr>
        <w:t>根据采购人确定的承包人，</w:t>
      </w:r>
      <w:r>
        <w:rPr>
          <w:rFonts w:hint="eastAsia" w:eastAsia="宋体" w:cs="宋体"/>
          <w:sz w:val="28"/>
        </w:rPr>
        <w:t>三台县</w:t>
      </w:r>
      <w:r>
        <w:rPr>
          <w:rFonts w:hint="eastAsia" w:eastAsia="宋体" w:cs="宋体"/>
          <w:sz w:val="28"/>
          <w:lang w:val="en-US" w:eastAsia="zh-CN"/>
        </w:rPr>
        <w:t>中</w:t>
      </w:r>
      <w:r>
        <w:rPr>
          <w:rFonts w:hint="eastAsia" w:eastAsia="宋体" w:cs="宋体"/>
          <w:sz w:val="28"/>
        </w:rPr>
        <w:t>医院</w:t>
      </w:r>
      <w:r>
        <w:rPr>
          <w:rFonts w:hint="eastAsia" w:eastAsia="宋体" w:cs="宋体"/>
          <w:sz w:val="28"/>
          <w:szCs w:val="28"/>
        </w:rPr>
        <w:t>将在医院网站</w:t>
      </w:r>
      <w:r>
        <w:rPr>
          <w:rFonts w:hint="eastAsia" w:eastAsia="宋体" w:cs="宋体"/>
          <w:bCs/>
          <w:sz w:val="28"/>
          <w:szCs w:val="28"/>
        </w:rPr>
        <w:t>公告，</w:t>
      </w:r>
      <w:r>
        <w:rPr>
          <w:rFonts w:hint="eastAsia" w:eastAsia="宋体" w:cs="宋体"/>
          <w:sz w:val="28"/>
          <w:szCs w:val="28"/>
        </w:rPr>
        <w:t>同时向确定的承包人发出电话通知。</w:t>
      </w:r>
      <w:r>
        <w:rPr>
          <w:rFonts w:hint="eastAsia" w:eastAsia="宋体" w:cs="宋体"/>
          <w:bCs/>
          <w:sz w:val="28"/>
          <w:szCs w:val="28"/>
        </w:rPr>
        <w:t>对未成交原因不做解释</w:t>
      </w:r>
      <w:r>
        <w:rPr>
          <w:rFonts w:hint="eastAsia" w:eastAsia="宋体" w:cs="宋体"/>
          <w:sz w:val="28"/>
          <w:szCs w:val="28"/>
        </w:rPr>
        <w:t>，不退回竞磋文件和其他磋商资料。</w:t>
      </w:r>
    </w:p>
    <w:p w14:paraId="2FD682F3">
      <w:pPr>
        <w:tabs>
          <w:tab w:val="left" w:pos="0"/>
        </w:tabs>
        <w:spacing w:line="460" w:lineRule="exact"/>
        <w:ind w:firstLine="548" w:firstLineChars="196"/>
        <w:rPr>
          <w:rFonts w:eastAsia="宋体" w:cs="宋体"/>
          <w:bCs/>
          <w:sz w:val="28"/>
          <w:szCs w:val="28"/>
        </w:rPr>
      </w:pPr>
    </w:p>
    <w:p w14:paraId="5CAA9F49">
      <w:pPr>
        <w:tabs>
          <w:tab w:val="left" w:pos="315"/>
          <w:tab w:val="left" w:pos="735"/>
          <w:tab w:val="left" w:pos="1365"/>
        </w:tabs>
        <w:spacing w:line="460" w:lineRule="exact"/>
        <w:ind w:firstLine="562" w:firstLineChars="200"/>
        <w:jc w:val="center"/>
        <w:rPr>
          <w:rFonts w:eastAsia="宋体" w:cs="宋体"/>
          <w:b/>
          <w:bCs/>
          <w:sz w:val="28"/>
          <w:szCs w:val="28"/>
        </w:rPr>
      </w:pPr>
      <w:r>
        <w:rPr>
          <w:rFonts w:hint="eastAsia" w:eastAsia="宋体" w:cs="宋体"/>
          <w:b/>
          <w:bCs/>
          <w:sz w:val="28"/>
          <w:szCs w:val="28"/>
        </w:rPr>
        <w:t>第三章、项目描述及要求</w:t>
      </w:r>
    </w:p>
    <w:p w14:paraId="7A34A6A1">
      <w:pPr>
        <w:rPr>
          <w:rFonts w:cs="宋体"/>
          <w:bCs/>
          <w:color w:val="FF0000"/>
          <w:sz w:val="28"/>
          <w:szCs w:val="28"/>
        </w:rPr>
      </w:pPr>
      <w:r>
        <w:rPr>
          <w:rFonts w:hint="eastAsia" w:cs="宋体"/>
          <w:b/>
          <w:bCs/>
          <w:sz w:val="28"/>
          <w:szCs w:val="28"/>
        </w:rPr>
        <w:t>一）、项目基本条件和范围：</w:t>
      </w:r>
      <w:r>
        <w:rPr>
          <w:rFonts w:hint="eastAsia" w:cs="宋体"/>
          <w:bCs/>
          <w:sz w:val="28"/>
          <w:szCs w:val="28"/>
        </w:rPr>
        <w:t>食堂位于三台县</w:t>
      </w:r>
      <w:r>
        <w:rPr>
          <w:rFonts w:hint="eastAsia" w:cs="宋体"/>
          <w:bCs/>
          <w:sz w:val="28"/>
          <w:szCs w:val="28"/>
          <w:lang w:val="en-US" w:eastAsia="zh-CN"/>
        </w:rPr>
        <w:t>学街31号</w:t>
      </w:r>
      <w:r>
        <w:rPr>
          <w:rFonts w:hint="eastAsia" w:cs="宋体"/>
          <w:bCs/>
          <w:sz w:val="28"/>
          <w:szCs w:val="28"/>
        </w:rPr>
        <w:t>，场地面积</w:t>
      </w:r>
      <w:r>
        <w:rPr>
          <w:rFonts w:hint="eastAsia" w:cs="宋体"/>
          <w:bCs/>
          <w:sz w:val="28"/>
          <w:szCs w:val="28"/>
          <w:lang w:val="en-US" w:eastAsia="zh-CN"/>
        </w:rPr>
        <w:t>约250个</w:t>
      </w:r>
      <w:r>
        <w:rPr>
          <w:rFonts w:hint="eastAsia" w:cs="宋体"/>
          <w:bCs/>
          <w:sz w:val="28"/>
          <w:szCs w:val="28"/>
        </w:rPr>
        <w:t>平方米。水、电、气可用。基本能满足职工、病员陪伴、学生的用餐需要。</w:t>
      </w:r>
    </w:p>
    <w:p w14:paraId="146F25A8">
      <w:pPr>
        <w:spacing w:line="500" w:lineRule="exact"/>
        <w:rPr>
          <w:rFonts w:cs="宋体"/>
          <w:sz w:val="28"/>
          <w:szCs w:val="28"/>
        </w:rPr>
      </w:pPr>
      <w:r>
        <w:rPr>
          <w:rFonts w:hint="eastAsia" w:cs="宋体"/>
          <w:b/>
          <w:bCs/>
          <w:sz w:val="28"/>
          <w:szCs w:val="28"/>
        </w:rPr>
        <w:t>二）、要求：</w:t>
      </w:r>
    </w:p>
    <w:p w14:paraId="3C67B15D">
      <w:pPr>
        <w:spacing w:line="500" w:lineRule="exact"/>
        <w:ind w:firstLine="560" w:firstLineChars="200"/>
        <w:rPr>
          <w:rFonts w:cs="宋体"/>
          <w:sz w:val="28"/>
          <w:szCs w:val="28"/>
        </w:rPr>
      </w:pPr>
      <w:r>
        <w:rPr>
          <w:rFonts w:hint="eastAsia" w:cs="宋体"/>
          <w:sz w:val="28"/>
          <w:szCs w:val="28"/>
        </w:rPr>
        <w:t>1．承包人要认真查看食堂的基本现状，了解医院用餐人员的基本需求，作出相应的经营分析、经营方案、管理措施。</w:t>
      </w:r>
    </w:p>
    <w:p w14:paraId="301C28F1">
      <w:pPr>
        <w:spacing w:line="500" w:lineRule="exact"/>
        <w:ind w:firstLine="560" w:firstLineChars="200"/>
        <w:jc w:val="left"/>
        <w:rPr>
          <w:rFonts w:cs="宋体"/>
          <w:sz w:val="28"/>
          <w:szCs w:val="28"/>
        </w:rPr>
      </w:pPr>
      <w:r>
        <w:rPr>
          <w:rFonts w:hint="eastAsia" w:cs="宋体"/>
          <w:sz w:val="28"/>
          <w:szCs w:val="28"/>
        </w:rPr>
        <w:t>2．基本现状以外的一切问题都由承包人自己解决，并承担相关费用。                                                                                           3. 承包人必须在执行医院食堂管理细则的基础上，自主经营（经营模式以快餐为主）、自负盈亏。同时受相关法律法规的约束，规范操作，规范管理，保证食品安全和卫生，并做好各项记录。日常和各级卫生检查查出的问题及投诉等，将依照食堂管理细则进行处理。</w:t>
      </w:r>
    </w:p>
    <w:p w14:paraId="0F992752">
      <w:pPr>
        <w:spacing w:line="500" w:lineRule="exact"/>
        <w:ind w:firstLine="560" w:firstLineChars="200"/>
        <w:rPr>
          <w:rFonts w:cs="宋体"/>
          <w:sz w:val="28"/>
          <w:szCs w:val="28"/>
        </w:rPr>
      </w:pPr>
      <w:r>
        <w:rPr>
          <w:rFonts w:hint="eastAsia" w:cs="宋体"/>
          <w:sz w:val="28"/>
          <w:szCs w:val="28"/>
        </w:rPr>
        <w:t>4、医院将严格考核，不定期进行满意率测评，要求全年就餐满意率&gt;70%，如果食堂满意率&lt;40%，</w:t>
      </w:r>
      <w:r>
        <w:rPr>
          <w:rFonts w:hint="eastAsia" w:cs="宋体"/>
          <w:sz w:val="28"/>
          <w:szCs w:val="28"/>
          <w:lang w:val="en-US" w:eastAsia="zh-CN"/>
        </w:rPr>
        <w:t>医院有权</w:t>
      </w:r>
      <w:r>
        <w:rPr>
          <w:rFonts w:hint="eastAsia" w:cs="宋体"/>
          <w:sz w:val="28"/>
          <w:szCs w:val="28"/>
        </w:rPr>
        <w:t>立刻解除合同，取消其承包资格，由此造成的一切损失和后果由承包人自行负责，医院不负责处理承包人库存的食材和承包人自行添置的用品。</w:t>
      </w:r>
    </w:p>
    <w:p w14:paraId="5D412ACA">
      <w:pPr>
        <w:spacing w:line="500" w:lineRule="exact"/>
        <w:ind w:firstLine="560" w:firstLineChars="200"/>
        <w:rPr>
          <w:rFonts w:cs="宋体"/>
          <w:sz w:val="28"/>
          <w:szCs w:val="28"/>
        </w:rPr>
      </w:pPr>
      <w:r>
        <w:rPr>
          <w:rFonts w:hint="eastAsia" w:cs="宋体"/>
          <w:sz w:val="28"/>
          <w:szCs w:val="28"/>
          <w:lang w:val="en-US" w:eastAsia="zh-CN"/>
        </w:rPr>
        <w:t>5</w:t>
      </w:r>
      <w:r>
        <w:rPr>
          <w:rFonts w:hint="eastAsia" w:cs="宋体"/>
          <w:sz w:val="28"/>
          <w:szCs w:val="28"/>
        </w:rPr>
        <w:t>、每周提前公布下周食谱,职工、实习生及病员用餐，毛利率控制在30%左右。按30%左右毛利率每月制作样品菜.</w:t>
      </w:r>
    </w:p>
    <w:p w14:paraId="60EA2DD3">
      <w:pPr>
        <w:spacing w:line="500" w:lineRule="exact"/>
        <w:ind w:firstLine="560" w:firstLineChars="200"/>
        <w:rPr>
          <w:rFonts w:cs="宋体"/>
          <w:sz w:val="28"/>
          <w:szCs w:val="28"/>
        </w:rPr>
      </w:pPr>
      <w:r>
        <w:rPr>
          <w:rFonts w:hint="eastAsia" w:cs="宋体"/>
          <w:sz w:val="28"/>
          <w:szCs w:val="28"/>
          <w:lang w:val="en-US" w:eastAsia="zh-CN"/>
        </w:rPr>
        <w:t>6</w:t>
      </w:r>
      <w:r>
        <w:rPr>
          <w:rFonts w:hint="eastAsia" w:cs="宋体"/>
          <w:sz w:val="28"/>
          <w:szCs w:val="28"/>
        </w:rPr>
        <w:t>、不断创新菜品及小吃，要多样化，保证质量，价格公道，让职工和病人满意。</w:t>
      </w:r>
    </w:p>
    <w:p w14:paraId="43E4A73F">
      <w:pPr>
        <w:spacing w:line="500" w:lineRule="exact"/>
        <w:ind w:firstLine="560" w:firstLineChars="200"/>
        <w:rPr>
          <w:rFonts w:cs="宋体"/>
          <w:sz w:val="28"/>
          <w:szCs w:val="28"/>
        </w:rPr>
      </w:pPr>
      <w:r>
        <w:rPr>
          <w:rFonts w:hint="eastAsia" w:cs="宋体"/>
          <w:sz w:val="28"/>
          <w:szCs w:val="28"/>
          <w:lang w:val="en-US" w:eastAsia="zh-CN"/>
        </w:rPr>
        <w:t>7</w:t>
      </w:r>
      <w:r>
        <w:rPr>
          <w:rFonts w:hint="eastAsia" w:cs="宋体"/>
          <w:sz w:val="28"/>
          <w:szCs w:val="28"/>
        </w:rPr>
        <w:t>、中标后，承包方营业前将按规范准备,待医院验收合格后方可开业,承包人可根据经营需要自行添置设施，但承包期满后或合同终止后自行处理。一切经济往来只对对公账户。医院不再添置新设施、设备。</w:t>
      </w:r>
    </w:p>
    <w:p w14:paraId="1D47A98A">
      <w:pPr>
        <w:spacing w:line="500" w:lineRule="exact"/>
        <w:ind w:firstLine="565" w:firstLineChars="202"/>
        <w:rPr>
          <w:rFonts w:cs="宋体"/>
          <w:sz w:val="28"/>
          <w:szCs w:val="28"/>
        </w:rPr>
      </w:pPr>
      <w:r>
        <w:rPr>
          <w:rFonts w:hint="eastAsia" w:cs="宋体"/>
          <w:sz w:val="28"/>
          <w:szCs w:val="28"/>
          <w:lang w:val="en-US" w:eastAsia="zh-CN"/>
        </w:rPr>
        <w:t>8</w:t>
      </w:r>
      <w:r>
        <w:rPr>
          <w:rFonts w:hint="eastAsia" w:cs="宋体"/>
          <w:sz w:val="28"/>
          <w:szCs w:val="28"/>
        </w:rPr>
        <w:t>、履约保证金：签定合同前交付履约保证金人民币</w:t>
      </w:r>
      <w:r>
        <w:rPr>
          <w:rFonts w:hint="eastAsia" w:cs="宋体"/>
          <w:sz w:val="28"/>
          <w:szCs w:val="28"/>
          <w:lang w:val="en-US" w:eastAsia="zh-CN"/>
        </w:rPr>
        <w:t>叁</w:t>
      </w:r>
      <w:r>
        <w:rPr>
          <w:rFonts w:hint="eastAsia" w:cs="宋体"/>
          <w:sz w:val="28"/>
          <w:szCs w:val="28"/>
        </w:rPr>
        <w:t>万元整（不计息）。用于承包人违反国家有关法律法规和医院食堂管理细则涉及的罚款。每月清算一次，合同期满后，其履约保证金无息如数退还。</w:t>
      </w:r>
    </w:p>
    <w:p w14:paraId="42711197">
      <w:pPr>
        <w:spacing w:line="500" w:lineRule="exact"/>
        <w:ind w:firstLine="565" w:firstLineChars="202"/>
        <w:rPr>
          <w:rFonts w:cs="宋体"/>
          <w:sz w:val="28"/>
          <w:szCs w:val="28"/>
        </w:rPr>
      </w:pPr>
      <w:r>
        <w:rPr>
          <w:rFonts w:hint="eastAsia" w:cs="宋体"/>
          <w:sz w:val="28"/>
          <w:szCs w:val="28"/>
          <w:lang w:val="en-US" w:eastAsia="zh-CN"/>
        </w:rPr>
        <w:t>9</w:t>
      </w:r>
      <w:r>
        <w:rPr>
          <w:rFonts w:hint="eastAsia" w:cs="宋体"/>
          <w:sz w:val="28"/>
          <w:szCs w:val="28"/>
        </w:rPr>
        <w:t>、被委托人必须为食堂现场管理员。</w:t>
      </w:r>
    </w:p>
    <w:p w14:paraId="16EB71A6">
      <w:pPr>
        <w:spacing w:line="500" w:lineRule="exact"/>
        <w:ind w:firstLine="562" w:firstLineChars="200"/>
        <w:rPr>
          <w:rFonts w:cs="宋体"/>
          <w:sz w:val="28"/>
          <w:szCs w:val="28"/>
        </w:rPr>
      </w:pPr>
      <w:r>
        <w:rPr>
          <w:rFonts w:hint="eastAsia" w:cs="宋体"/>
          <w:b/>
          <w:bCs/>
          <w:sz w:val="28"/>
          <w:szCs w:val="28"/>
        </w:rPr>
        <w:t>三）、投标人需独立承担：</w:t>
      </w:r>
    </w:p>
    <w:p w14:paraId="2B6C3A49">
      <w:pPr>
        <w:spacing w:line="500" w:lineRule="exact"/>
        <w:ind w:firstLine="560" w:firstLineChars="200"/>
        <w:rPr>
          <w:rFonts w:cs="宋体"/>
          <w:sz w:val="28"/>
          <w:szCs w:val="28"/>
        </w:rPr>
      </w:pPr>
      <w:r>
        <w:rPr>
          <w:rFonts w:hint="eastAsia" w:cs="宋体"/>
          <w:sz w:val="28"/>
          <w:szCs w:val="28"/>
        </w:rPr>
        <w:t>1、与该食堂有关的一切法律责任,自主经营、自负盈亏。</w:t>
      </w:r>
    </w:p>
    <w:p w14:paraId="03C35770">
      <w:pPr>
        <w:spacing w:line="500" w:lineRule="exact"/>
        <w:ind w:firstLine="560" w:firstLineChars="200"/>
        <w:rPr>
          <w:rFonts w:cs="宋体"/>
          <w:sz w:val="28"/>
          <w:szCs w:val="28"/>
        </w:rPr>
      </w:pPr>
      <w:r>
        <w:rPr>
          <w:rFonts w:hint="eastAsia" w:cs="宋体"/>
          <w:sz w:val="28"/>
          <w:szCs w:val="28"/>
        </w:rPr>
        <w:t>2、食堂设施设备维修维护费，如果设备实施损坏或遗失，承包方必须照价赔偿。定期（至少每月1次）清除下水道油垢、清理排油烟机管道油污等费用。</w:t>
      </w:r>
    </w:p>
    <w:p w14:paraId="08A65F09">
      <w:pPr>
        <w:spacing w:line="500" w:lineRule="exact"/>
        <w:ind w:firstLine="560" w:firstLineChars="200"/>
        <w:rPr>
          <w:rFonts w:cs="宋体"/>
          <w:sz w:val="28"/>
          <w:szCs w:val="28"/>
        </w:rPr>
      </w:pPr>
      <w:r>
        <w:rPr>
          <w:rFonts w:hint="eastAsia" w:cs="宋体"/>
          <w:sz w:val="28"/>
          <w:szCs w:val="28"/>
        </w:rPr>
        <w:t>3、水、电、气及其它相关费用。</w:t>
      </w:r>
    </w:p>
    <w:p w14:paraId="07743A88">
      <w:pPr>
        <w:spacing w:line="500" w:lineRule="exact"/>
        <w:ind w:firstLine="560" w:firstLineChars="200"/>
        <w:rPr>
          <w:rFonts w:cs="宋体"/>
          <w:sz w:val="28"/>
          <w:szCs w:val="28"/>
        </w:rPr>
      </w:pPr>
      <w:r>
        <w:rPr>
          <w:rFonts w:hint="eastAsia" w:cs="宋体"/>
          <w:sz w:val="28"/>
          <w:szCs w:val="28"/>
        </w:rPr>
        <w:t>4、配合创建文明卫生城市及各项检查的责任和罚款。</w:t>
      </w:r>
    </w:p>
    <w:p w14:paraId="49DEC026">
      <w:pPr>
        <w:spacing w:line="500" w:lineRule="exact"/>
        <w:ind w:firstLine="560" w:firstLineChars="200"/>
        <w:rPr>
          <w:rFonts w:cs="宋体"/>
          <w:sz w:val="28"/>
          <w:szCs w:val="28"/>
        </w:rPr>
      </w:pPr>
      <w:r>
        <w:rPr>
          <w:rFonts w:hint="eastAsia" w:cs="宋体"/>
          <w:sz w:val="28"/>
          <w:szCs w:val="28"/>
        </w:rPr>
        <w:t>5、食品安全方面的法律责任和经济赔偿。</w:t>
      </w:r>
    </w:p>
    <w:p w14:paraId="56481834">
      <w:pPr>
        <w:spacing w:line="500" w:lineRule="exact"/>
        <w:ind w:firstLine="560" w:firstLineChars="200"/>
        <w:rPr>
          <w:rFonts w:cs="宋体"/>
          <w:sz w:val="28"/>
          <w:szCs w:val="28"/>
        </w:rPr>
      </w:pPr>
      <w:r>
        <w:rPr>
          <w:rFonts w:hint="eastAsia" w:cs="宋体"/>
          <w:sz w:val="28"/>
          <w:szCs w:val="28"/>
        </w:rPr>
        <w:t>6、所聘用人员的工资及五险一金等待遇和办理其他证件的费用等。</w:t>
      </w:r>
    </w:p>
    <w:p w14:paraId="4D807F95">
      <w:pPr>
        <w:spacing w:line="500" w:lineRule="exact"/>
        <w:ind w:firstLine="560" w:firstLineChars="200"/>
        <w:rPr>
          <w:rFonts w:cs="宋体"/>
          <w:sz w:val="28"/>
          <w:szCs w:val="28"/>
        </w:rPr>
      </w:pPr>
      <w:r>
        <w:rPr>
          <w:rFonts w:hint="eastAsia" w:cs="宋体"/>
          <w:sz w:val="28"/>
          <w:szCs w:val="28"/>
        </w:rPr>
        <w:t>7、依照食堂管理细则所产生的罚金。</w:t>
      </w:r>
    </w:p>
    <w:tbl>
      <w:tblPr>
        <w:tblStyle w:val="9"/>
        <w:tblpPr w:leftFromText="180" w:rightFromText="180" w:vertAnchor="text" w:horzAnchor="page" w:tblpX="2290" w:tblpY="527"/>
        <w:tblOverlap w:val="never"/>
        <w:tblW w:w="6500" w:type="dxa"/>
        <w:tblInd w:w="0" w:type="dxa"/>
        <w:tblLayout w:type="fixed"/>
        <w:tblCellMar>
          <w:top w:w="0" w:type="dxa"/>
          <w:left w:w="108" w:type="dxa"/>
          <w:bottom w:w="0" w:type="dxa"/>
          <w:right w:w="108" w:type="dxa"/>
        </w:tblCellMar>
      </w:tblPr>
      <w:tblGrid>
        <w:gridCol w:w="631"/>
        <w:gridCol w:w="3433"/>
        <w:gridCol w:w="2436"/>
      </w:tblGrid>
      <w:tr w14:paraId="75D4C7EE">
        <w:tblPrEx>
          <w:tblCellMar>
            <w:top w:w="0" w:type="dxa"/>
            <w:left w:w="108" w:type="dxa"/>
            <w:bottom w:w="0" w:type="dxa"/>
            <w:right w:w="108" w:type="dxa"/>
          </w:tblCellMar>
        </w:tblPrEx>
        <w:trPr>
          <w:trHeight w:val="615" w:hRule="atLeast"/>
        </w:trPr>
        <w:tc>
          <w:tcPr>
            <w:tcW w:w="6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A36FF1">
            <w:pPr>
              <w:widowControl/>
              <w:jc w:val="center"/>
              <w:rPr>
                <w:rFonts w:eastAsia="宋体" w:cs="宋体"/>
                <w:sz w:val="22"/>
                <w:szCs w:val="22"/>
              </w:rPr>
            </w:pPr>
            <w:r>
              <w:rPr>
                <w:rFonts w:hint="eastAsia" w:eastAsia="宋体" w:cs="宋体"/>
                <w:sz w:val="22"/>
                <w:szCs w:val="22"/>
              </w:rPr>
              <w:t>三台县</w:t>
            </w:r>
            <w:r>
              <w:rPr>
                <w:rFonts w:hint="eastAsia" w:eastAsia="宋体" w:cs="宋体"/>
                <w:sz w:val="22"/>
                <w:szCs w:val="22"/>
                <w:lang w:val="en-US" w:eastAsia="zh-CN"/>
              </w:rPr>
              <w:t>中医院</w:t>
            </w:r>
            <w:r>
              <w:rPr>
                <w:rFonts w:hint="eastAsia" w:eastAsia="宋体" w:cs="宋体"/>
                <w:sz w:val="22"/>
                <w:szCs w:val="22"/>
              </w:rPr>
              <w:t>职工食堂管理细则</w:t>
            </w:r>
          </w:p>
        </w:tc>
      </w:tr>
      <w:tr w14:paraId="227721A4">
        <w:tblPrEx>
          <w:tblCellMar>
            <w:top w:w="0" w:type="dxa"/>
            <w:left w:w="108" w:type="dxa"/>
            <w:bottom w:w="0" w:type="dxa"/>
            <w:right w:w="108" w:type="dxa"/>
          </w:tblCellMar>
        </w:tblPrEx>
        <w:trPr>
          <w:trHeight w:val="39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409D648">
            <w:pPr>
              <w:widowControl/>
              <w:jc w:val="center"/>
              <w:rPr>
                <w:rFonts w:eastAsia="宋体" w:cs="宋体"/>
                <w:sz w:val="22"/>
                <w:szCs w:val="22"/>
              </w:rPr>
            </w:pPr>
            <w:r>
              <w:rPr>
                <w:rFonts w:hint="eastAsia" w:eastAsia="宋体" w:cs="宋体"/>
                <w:sz w:val="22"/>
                <w:szCs w:val="22"/>
              </w:rPr>
              <w:t>编号</w:t>
            </w:r>
          </w:p>
        </w:tc>
        <w:tc>
          <w:tcPr>
            <w:tcW w:w="3433" w:type="dxa"/>
            <w:tcBorders>
              <w:top w:val="nil"/>
              <w:left w:val="nil"/>
              <w:bottom w:val="single" w:color="auto" w:sz="4" w:space="0"/>
              <w:right w:val="single" w:color="auto" w:sz="4" w:space="0"/>
            </w:tcBorders>
            <w:shd w:val="clear" w:color="auto" w:fill="auto"/>
            <w:vAlign w:val="center"/>
          </w:tcPr>
          <w:p w14:paraId="488A5FBF">
            <w:pPr>
              <w:widowControl/>
              <w:jc w:val="center"/>
              <w:rPr>
                <w:rFonts w:eastAsia="宋体" w:cs="宋体"/>
                <w:sz w:val="22"/>
                <w:szCs w:val="22"/>
              </w:rPr>
            </w:pPr>
            <w:r>
              <w:rPr>
                <w:rFonts w:hint="eastAsia" w:eastAsia="宋体" w:cs="宋体"/>
                <w:sz w:val="22"/>
                <w:szCs w:val="22"/>
              </w:rPr>
              <w:t>标准项目</w:t>
            </w:r>
          </w:p>
        </w:tc>
        <w:tc>
          <w:tcPr>
            <w:tcW w:w="2436" w:type="dxa"/>
            <w:tcBorders>
              <w:top w:val="nil"/>
              <w:left w:val="nil"/>
              <w:bottom w:val="single" w:color="auto" w:sz="4" w:space="0"/>
              <w:right w:val="single" w:color="auto" w:sz="4" w:space="0"/>
            </w:tcBorders>
            <w:shd w:val="clear" w:color="auto" w:fill="auto"/>
            <w:vAlign w:val="center"/>
          </w:tcPr>
          <w:p w14:paraId="66138B60">
            <w:pPr>
              <w:widowControl/>
              <w:jc w:val="center"/>
              <w:rPr>
                <w:rFonts w:eastAsia="宋体" w:cs="宋体"/>
                <w:sz w:val="22"/>
                <w:szCs w:val="22"/>
              </w:rPr>
            </w:pPr>
            <w:r>
              <w:rPr>
                <w:rFonts w:hint="eastAsia" w:eastAsia="宋体" w:cs="宋体"/>
                <w:sz w:val="22"/>
                <w:szCs w:val="22"/>
              </w:rPr>
              <w:t>标准执行不力或不执行处罚金额</w:t>
            </w:r>
          </w:p>
        </w:tc>
      </w:tr>
      <w:tr w14:paraId="350D3777">
        <w:tblPrEx>
          <w:tblCellMar>
            <w:top w:w="0" w:type="dxa"/>
            <w:left w:w="108" w:type="dxa"/>
            <w:bottom w:w="0" w:type="dxa"/>
            <w:right w:w="108" w:type="dxa"/>
          </w:tblCellMar>
        </w:tblPrEx>
        <w:trPr>
          <w:trHeight w:val="108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933B407">
            <w:pPr>
              <w:widowControl/>
              <w:jc w:val="center"/>
              <w:rPr>
                <w:rFonts w:eastAsia="宋体" w:cs="宋体"/>
                <w:sz w:val="22"/>
                <w:szCs w:val="22"/>
              </w:rPr>
            </w:pPr>
            <w:r>
              <w:rPr>
                <w:rFonts w:hint="eastAsia" w:eastAsia="宋体" w:cs="宋体"/>
                <w:sz w:val="22"/>
                <w:szCs w:val="22"/>
              </w:rPr>
              <w:t>1</w:t>
            </w:r>
          </w:p>
        </w:tc>
        <w:tc>
          <w:tcPr>
            <w:tcW w:w="3433" w:type="dxa"/>
            <w:tcBorders>
              <w:top w:val="nil"/>
              <w:left w:val="nil"/>
              <w:bottom w:val="single" w:color="auto" w:sz="4" w:space="0"/>
              <w:right w:val="single" w:color="auto" w:sz="4" w:space="0"/>
            </w:tcBorders>
            <w:shd w:val="clear" w:color="auto" w:fill="auto"/>
            <w:vAlign w:val="center"/>
          </w:tcPr>
          <w:p w14:paraId="7458810A">
            <w:pPr>
              <w:widowControl/>
              <w:jc w:val="left"/>
              <w:rPr>
                <w:rFonts w:eastAsia="宋体" w:cs="宋体"/>
                <w:sz w:val="22"/>
                <w:szCs w:val="22"/>
              </w:rPr>
            </w:pPr>
            <w:r>
              <w:rPr>
                <w:rFonts w:hint="eastAsia" w:eastAsia="宋体" w:cs="宋体"/>
                <w:sz w:val="22"/>
                <w:szCs w:val="22"/>
              </w:rPr>
              <w:t>保证所有工作间排水至医院主下水道畅通。每个月清理一次，不能外溢，发现外溢24小时之内处理完毕。</w:t>
            </w:r>
          </w:p>
        </w:tc>
        <w:tc>
          <w:tcPr>
            <w:tcW w:w="2436" w:type="dxa"/>
            <w:tcBorders>
              <w:top w:val="nil"/>
              <w:left w:val="nil"/>
              <w:bottom w:val="single" w:color="auto" w:sz="4" w:space="0"/>
              <w:right w:val="single" w:color="auto" w:sz="4" w:space="0"/>
            </w:tcBorders>
            <w:shd w:val="clear" w:color="auto" w:fill="auto"/>
            <w:vAlign w:val="center"/>
          </w:tcPr>
          <w:p w14:paraId="73F04D5E">
            <w:pPr>
              <w:widowControl/>
              <w:jc w:val="left"/>
              <w:rPr>
                <w:rFonts w:eastAsia="宋体" w:cs="宋体"/>
                <w:sz w:val="22"/>
                <w:szCs w:val="22"/>
              </w:rPr>
            </w:pPr>
            <w:r>
              <w:rPr>
                <w:rFonts w:hint="eastAsia" w:eastAsia="宋体" w:cs="宋体"/>
                <w:sz w:val="22"/>
                <w:szCs w:val="22"/>
              </w:rPr>
              <w:t>600元/次</w:t>
            </w:r>
          </w:p>
        </w:tc>
      </w:tr>
      <w:tr w14:paraId="2CB53AC9">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7F71AD8E">
            <w:pPr>
              <w:widowControl/>
              <w:jc w:val="center"/>
              <w:rPr>
                <w:rFonts w:eastAsia="宋体" w:cs="宋体"/>
                <w:sz w:val="22"/>
                <w:szCs w:val="22"/>
              </w:rPr>
            </w:pPr>
            <w:r>
              <w:rPr>
                <w:rFonts w:hint="eastAsia" w:eastAsia="宋体" w:cs="宋体"/>
                <w:sz w:val="22"/>
                <w:szCs w:val="22"/>
              </w:rPr>
              <w:t>2</w:t>
            </w:r>
          </w:p>
        </w:tc>
        <w:tc>
          <w:tcPr>
            <w:tcW w:w="3433" w:type="dxa"/>
            <w:tcBorders>
              <w:top w:val="nil"/>
              <w:left w:val="nil"/>
              <w:bottom w:val="single" w:color="auto" w:sz="4" w:space="0"/>
              <w:right w:val="single" w:color="auto" w:sz="4" w:space="0"/>
            </w:tcBorders>
            <w:shd w:val="clear" w:color="auto" w:fill="auto"/>
            <w:vAlign w:val="center"/>
          </w:tcPr>
          <w:p w14:paraId="1347C93B">
            <w:pPr>
              <w:widowControl/>
              <w:jc w:val="left"/>
              <w:rPr>
                <w:rFonts w:eastAsia="宋体" w:cs="宋体"/>
                <w:sz w:val="22"/>
                <w:szCs w:val="22"/>
              </w:rPr>
            </w:pPr>
            <w:r>
              <w:rPr>
                <w:rFonts w:hint="eastAsia" w:eastAsia="宋体" w:cs="宋体"/>
                <w:sz w:val="22"/>
                <w:szCs w:val="22"/>
              </w:rPr>
              <w:t>油烟排放管道，每个月清洗一次。</w:t>
            </w:r>
          </w:p>
        </w:tc>
        <w:tc>
          <w:tcPr>
            <w:tcW w:w="2436" w:type="dxa"/>
            <w:tcBorders>
              <w:top w:val="nil"/>
              <w:left w:val="nil"/>
              <w:bottom w:val="single" w:color="auto" w:sz="4" w:space="0"/>
              <w:right w:val="single" w:color="auto" w:sz="4" w:space="0"/>
            </w:tcBorders>
            <w:shd w:val="clear" w:color="auto" w:fill="auto"/>
            <w:vAlign w:val="center"/>
          </w:tcPr>
          <w:p w14:paraId="36C75927">
            <w:pPr>
              <w:widowControl/>
              <w:jc w:val="left"/>
              <w:rPr>
                <w:rFonts w:eastAsia="宋体" w:cs="宋体"/>
                <w:sz w:val="22"/>
                <w:szCs w:val="22"/>
              </w:rPr>
            </w:pPr>
            <w:r>
              <w:rPr>
                <w:rFonts w:hint="eastAsia" w:eastAsia="宋体" w:cs="宋体"/>
                <w:sz w:val="22"/>
                <w:szCs w:val="22"/>
              </w:rPr>
              <w:t>800元/次</w:t>
            </w:r>
          </w:p>
        </w:tc>
      </w:tr>
      <w:tr w14:paraId="083354CA">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723B5F52">
            <w:pPr>
              <w:widowControl/>
              <w:jc w:val="center"/>
              <w:rPr>
                <w:rFonts w:eastAsia="宋体" w:cs="宋体"/>
                <w:sz w:val="22"/>
                <w:szCs w:val="22"/>
              </w:rPr>
            </w:pPr>
            <w:r>
              <w:rPr>
                <w:rFonts w:hint="eastAsia" w:eastAsia="宋体" w:cs="宋体"/>
                <w:sz w:val="22"/>
                <w:szCs w:val="22"/>
              </w:rPr>
              <w:t>3</w:t>
            </w:r>
          </w:p>
        </w:tc>
        <w:tc>
          <w:tcPr>
            <w:tcW w:w="3433" w:type="dxa"/>
            <w:tcBorders>
              <w:top w:val="nil"/>
              <w:left w:val="nil"/>
              <w:bottom w:val="single" w:color="auto" w:sz="4" w:space="0"/>
              <w:right w:val="single" w:color="auto" w:sz="4" w:space="0"/>
            </w:tcBorders>
            <w:shd w:val="clear" w:color="auto" w:fill="auto"/>
            <w:vAlign w:val="center"/>
          </w:tcPr>
          <w:p w14:paraId="77DFEDAB">
            <w:pPr>
              <w:widowControl/>
              <w:jc w:val="left"/>
              <w:rPr>
                <w:rFonts w:eastAsia="宋体" w:cs="宋体"/>
                <w:sz w:val="22"/>
                <w:szCs w:val="22"/>
              </w:rPr>
            </w:pPr>
            <w:r>
              <w:rPr>
                <w:rFonts w:hint="eastAsia" w:eastAsia="宋体" w:cs="宋体"/>
                <w:sz w:val="22"/>
                <w:szCs w:val="22"/>
              </w:rPr>
              <w:t>保持场地环境卫生，每餐一打扫，每天一冲洗。</w:t>
            </w:r>
          </w:p>
        </w:tc>
        <w:tc>
          <w:tcPr>
            <w:tcW w:w="2436" w:type="dxa"/>
            <w:tcBorders>
              <w:top w:val="nil"/>
              <w:left w:val="nil"/>
              <w:bottom w:val="single" w:color="auto" w:sz="4" w:space="0"/>
              <w:right w:val="single" w:color="auto" w:sz="4" w:space="0"/>
            </w:tcBorders>
            <w:shd w:val="clear" w:color="auto" w:fill="auto"/>
            <w:vAlign w:val="center"/>
          </w:tcPr>
          <w:p w14:paraId="0532FEB7">
            <w:pPr>
              <w:widowControl/>
              <w:jc w:val="left"/>
              <w:rPr>
                <w:rFonts w:eastAsia="宋体" w:cs="宋体"/>
                <w:sz w:val="22"/>
                <w:szCs w:val="22"/>
              </w:rPr>
            </w:pPr>
            <w:r>
              <w:rPr>
                <w:rFonts w:hint="eastAsia" w:eastAsia="宋体" w:cs="宋体"/>
                <w:sz w:val="22"/>
                <w:szCs w:val="22"/>
              </w:rPr>
              <w:t>50元以上/次</w:t>
            </w:r>
          </w:p>
        </w:tc>
      </w:tr>
      <w:tr w14:paraId="34901161">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B0F9730">
            <w:pPr>
              <w:widowControl/>
              <w:jc w:val="center"/>
              <w:rPr>
                <w:rFonts w:eastAsia="宋体" w:cs="宋体"/>
                <w:sz w:val="22"/>
                <w:szCs w:val="22"/>
              </w:rPr>
            </w:pPr>
            <w:r>
              <w:rPr>
                <w:rFonts w:hint="eastAsia" w:eastAsia="宋体" w:cs="宋体"/>
                <w:sz w:val="22"/>
                <w:szCs w:val="22"/>
              </w:rPr>
              <w:t>4</w:t>
            </w:r>
          </w:p>
        </w:tc>
        <w:tc>
          <w:tcPr>
            <w:tcW w:w="3433" w:type="dxa"/>
            <w:tcBorders>
              <w:top w:val="nil"/>
              <w:left w:val="nil"/>
              <w:bottom w:val="single" w:color="auto" w:sz="4" w:space="0"/>
              <w:right w:val="single" w:color="auto" w:sz="4" w:space="0"/>
            </w:tcBorders>
            <w:shd w:val="clear" w:color="auto" w:fill="auto"/>
            <w:vAlign w:val="center"/>
          </w:tcPr>
          <w:p w14:paraId="6845321D">
            <w:pPr>
              <w:widowControl/>
              <w:jc w:val="left"/>
              <w:rPr>
                <w:rFonts w:eastAsia="宋体" w:cs="宋体"/>
                <w:sz w:val="22"/>
                <w:szCs w:val="22"/>
              </w:rPr>
            </w:pPr>
            <w:r>
              <w:rPr>
                <w:rFonts w:hint="eastAsia" w:eastAsia="宋体" w:cs="宋体"/>
                <w:sz w:val="22"/>
                <w:szCs w:val="22"/>
              </w:rPr>
              <w:t>盛装垃圾的容器应加盖，及时处理不得外溢。</w:t>
            </w:r>
          </w:p>
        </w:tc>
        <w:tc>
          <w:tcPr>
            <w:tcW w:w="2436" w:type="dxa"/>
            <w:tcBorders>
              <w:top w:val="nil"/>
              <w:left w:val="nil"/>
              <w:bottom w:val="single" w:color="auto" w:sz="4" w:space="0"/>
              <w:right w:val="single" w:color="auto" w:sz="4" w:space="0"/>
            </w:tcBorders>
            <w:shd w:val="clear" w:color="auto" w:fill="auto"/>
            <w:vAlign w:val="center"/>
          </w:tcPr>
          <w:p w14:paraId="536BD136">
            <w:pPr>
              <w:widowControl/>
              <w:jc w:val="left"/>
              <w:rPr>
                <w:rFonts w:eastAsia="宋体" w:cs="宋体"/>
                <w:sz w:val="22"/>
                <w:szCs w:val="22"/>
              </w:rPr>
            </w:pPr>
            <w:r>
              <w:rPr>
                <w:rFonts w:hint="eastAsia" w:eastAsia="宋体" w:cs="宋体"/>
                <w:sz w:val="22"/>
                <w:szCs w:val="22"/>
              </w:rPr>
              <w:t>50元以上/次</w:t>
            </w:r>
          </w:p>
        </w:tc>
      </w:tr>
      <w:tr w14:paraId="6CDF651A">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99D9B76">
            <w:pPr>
              <w:widowControl/>
              <w:jc w:val="center"/>
              <w:rPr>
                <w:rFonts w:eastAsia="宋体" w:cs="宋体"/>
                <w:sz w:val="22"/>
                <w:szCs w:val="22"/>
              </w:rPr>
            </w:pPr>
            <w:r>
              <w:rPr>
                <w:rFonts w:hint="eastAsia" w:eastAsia="宋体" w:cs="宋体"/>
                <w:sz w:val="22"/>
                <w:szCs w:val="22"/>
              </w:rPr>
              <w:t>5</w:t>
            </w:r>
          </w:p>
        </w:tc>
        <w:tc>
          <w:tcPr>
            <w:tcW w:w="3433" w:type="dxa"/>
            <w:tcBorders>
              <w:top w:val="nil"/>
              <w:left w:val="nil"/>
              <w:bottom w:val="single" w:color="auto" w:sz="4" w:space="0"/>
              <w:right w:val="single" w:color="auto" w:sz="4" w:space="0"/>
            </w:tcBorders>
            <w:shd w:val="clear" w:color="auto" w:fill="auto"/>
            <w:vAlign w:val="center"/>
          </w:tcPr>
          <w:p w14:paraId="5D59E231">
            <w:pPr>
              <w:widowControl/>
              <w:jc w:val="left"/>
              <w:rPr>
                <w:rFonts w:eastAsia="宋体" w:cs="宋体"/>
                <w:sz w:val="22"/>
                <w:szCs w:val="22"/>
              </w:rPr>
            </w:pPr>
            <w:r>
              <w:rPr>
                <w:rFonts w:hint="eastAsia" w:eastAsia="宋体" w:cs="宋体"/>
                <w:sz w:val="22"/>
                <w:szCs w:val="22"/>
              </w:rPr>
              <w:t>做到刀不锈，砧板不霉，摆放整齐。</w:t>
            </w:r>
          </w:p>
        </w:tc>
        <w:tc>
          <w:tcPr>
            <w:tcW w:w="2436" w:type="dxa"/>
            <w:tcBorders>
              <w:top w:val="nil"/>
              <w:left w:val="nil"/>
              <w:bottom w:val="single" w:color="auto" w:sz="4" w:space="0"/>
              <w:right w:val="single" w:color="auto" w:sz="4" w:space="0"/>
            </w:tcBorders>
            <w:shd w:val="clear" w:color="auto" w:fill="auto"/>
            <w:vAlign w:val="center"/>
          </w:tcPr>
          <w:p w14:paraId="5FF92C42">
            <w:pPr>
              <w:widowControl/>
              <w:jc w:val="left"/>
              <w:rPr>
                <w:rFonts w:eastAsia="宋体" w:cs="宋体"/>
                <w:sz w:val="22"/>
                <w:szCs w:val="22"/>
              </w:rPr>
            </w:pPr>
            <w:r>
              <w:rPr>
                <w:rFonts w:hint="eastAsia" w:eastAsia="宋体" w:cs="宋体"/>
                <w:sz w:val="22"/>
                <w:szCs w:val="22"/>
              </w:rPr>
              <w:t>50元以上/次</w:t>
            </w:r>
          </w:p>
        </w:tc>
      </w:tr>
      <w:tr w14:paraId="3B2177D3">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8D6AA0D">
            <w:pPr>
              <w:widowControl/>
              <w:jc w:val="center"/>
              <w:rPr>
                <w:rFonts w:eastAsia="宋体" w:cs="宋体"/>
                <w:sz w:val="22"/>
                <w:szCs w:val="22"/>
              </w:rPr>
            </w:pPr>
            <w:r>
              <w:rPr>
                <w:rFonts w:hint="eastAsia" w:eastAsia="宋体" w:cs="宋体"/>
                <w:sz w:val="22"/>
                <w:szCs w:val="22"/>
              </w:rPr>
              <w:t>6</w:t>
            </w:r>
          </w:p>
        </w:tc>
        <w:tc>
          <w:tcPr>
            <w:tcW w:w="3433" w:type="dxa"/>
            <w:tcBorders>
              <w:top w:val="nil"/>
              <w:left w:val="nil"/>
              <w:bottom w:val="single" w:color="auto" w:sz="4" w:space="0"/>
              <w:right w:val="single" w:color="auto" w:sz="4" w:space="0"/>
            </w:tcBorders>
            <w:shd w:val="clear" w:color="auto" w:fill="auto"/>
            <w:vAlign w:val="center"/>
          </w:tcPr>
          <w:p w14:paraId="35632659">
            <w:pPr>
              <w:widowControl/>
              <w:jc w:val="left"/>
              <w:rPr>
                <w:rFonts w:eastAsia="宋体" w:cs="宋体"/>
                <w:sz w:val="22"/>
                <w:szCs w:val="22"/>
              </w:rPr>
            </w:pPr>
            <w:r>
              <w:rPr>
                <w:rFonts w:hint="eastAsia" w:eastAsia="宋体" w:cs="宋体"/>
                <w:sz w:val="22"/>
                <w:szCs w:val="22"/>
              </w:rPr>
              <w:t>生食、熟食、蔬菜、肉类分开存放。</w:t>
            </w:r>
          </w:p>
        </w:tc>
        <w:tc>
          <w:tcPr>
            <w:tcW w:w="2436" w:type="dxa"/>
            <w:tcBorders>
              <w:top w:val="nil"/>
              <w:left w:val="nil"/>
              <w:bottom w:val="single" w:color="auto" w:sz="4" w:space="0"/>
              <w:right w:val="single" w:color="auto" w:sz="4" w:space="0"/>
            </w:tcBorders>
            <w:shd w:val="clear" w:color="auto" w:fill="auto"/>
            <w:vAlign w:val="center"/>
          </w:tcPr>
          <w:p w14:paraId="5B2559E6">
            <w:pPr>
              <w:widowControl/>
              <w:jc w:val="left"/>
              <w:rPr>
                <w:rFonts w:eastAsia="宋体" w:cs="宋体"/>
                <w:sz w:val="22"/>
                <w:szCs w:val="22"/>
              </w:rPr>
            </w:pPr>
            <w:r>
              <w:rPr>
                <w:rFonts w:hint="eastAsia" w:eastAsia="宋体" w:cs="宋体"/>
                <w:sz w:val="22"/>
                <w:szCs w:val="22"/>
              </w:rPr>
              <w:t>50元以上/次</w:t>
            </w:r>
          </w:p>
        </w:tc>
      </w:tr>
      <w:tr w14:paraId="48136C04">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1B5A01C2">
            <w:pPr>
              <w:widowControl/>
              <w:jc w:val="center"/>
              <w:rPr>
                <w:rFonts w:eastAsia="宋体" w:cs="宋体"/>
                <w:sz w:val="22"/>
                <w:szCs w:val="22"/>
              </w:rPr>
            </w:pPr>
            <w:r>
              <w:rPr>
                <w:rFonts w:hint="eastAsia" w:eastAsia="宋体" w:cs="宋体"/>
                <w:sz w:val="22"/>
                <w:szCs w:val="22"/>
              </w:rPr>
              <w:t>7</w:t>
            </w:r>
          </w:p>
        </w:tc>
        <w:tc>
          <w:tcPr>
            <w:tcW w:w="3433" w:type="dxa"/>
            <w:tcBorders>
              <w:top w:val="nil"/>
              <w:left w:val="nil"/>
              <w:bottom w:val="single" w:color="auto" w:sz="4" w:space="0"/>
              <w:right w:val="single" w:color="auto" w:sz="4" w:space="0"/>
            </w:tcBorders>
            <w:shd w:val="clear" w:color="auto" w:fill="auto"/>
            <w:vAlign w:val="center"/>
          </w:tcPr>
          <w:p w14:paraId="344D478A">
            <w:pPr>
              <w:widowControl/>
              <w:jc w:val="left"/>
              <w:rPr>
                <w:rFonts w:eastAsia="宋体" w:cs="宋体"/>
                <w:sz w:val="22"/>
                <w:szCs w:val="22"/>
              </w:rPr>
            </w:pPr>
            <w:r>
              <w:rPr>
                <w:rFonts w:hint="eastAsia" w:eastAsia="宋体" w:cs="宋体"/>
                <w:sz w:val="22"/>
                <w:szCs w:val="22"/>
              </w:rPr>
              <w:t>生食、熟食刀具及砧板要区分使用，并标识清楚</w:t>
            </w:r>
          </w:p>
        </w:tc>
        <w:tc>
          <w:tcPr>
            <w:tcW w:w="2436" w:type="dxa"/>
            <w:tcBorders>
              <w:top w:val="nil"/>
              <w:left w:val="nil"/>
              <w:bottom w:val="single" w:color="auto" w:sz="4" w:space="0"/>
              <w:right w:val="single" w:color="auto" w:sz="4" w:space="0"/>
            </w:tcBorders>
            <w:shd w:val="clear" w:color="auto" w:fill="auto"/>
            <w:vAlign w:val="center"/>
          </w:tcPr>
          <w:p w14:paraId="7B810E67">
            <w:pPr>
              <w:widowControl/>
              <w:jc w:val="left"/>
              <w:rPr>
                <w:rFonts w:eastAsia="宋体" w:cs="宋体"/>
                <w:sz w:val="22"/>
                <w:szCs w:val="22"/>
              </w:rPr>
            </w:pPr>
            <w:r>
              <w:rPr>
                <w:rFonts w:hint="eastAsia" w:eastAsia="宋体" w:cs="宋体"/>
                <w:sz w:val="22"/>
                <w:szCs w:val="22"/>
              </w:rPr>
              <w:t>50元以上/次</w:t>
            </w:r>
          </w:p>
        </w:tc>
      </w:tr>
      <w:tr w14:paraId="16935294">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941D1B7">
            <w:pPr>
              <w:widowControl/>
              <w:jc w:val="center"/>
              <w:rPr>
                <w:rFonts w:eastAsia="宋体" w:cs="宋体"/>
                <w:sz w:val="22"/>
                <w:szCs w:val="22"/>
              </w:rPr>
            </w:pPr>
            <w:r>
              <w:rPr>
                <w:rFonts w:hint="eastAsia" w:eastAsia="宋体" w:cs="宋体"/>
                <w:sz w:val="22"/>
                <w:szCs w:val="22"/>
              </w:rPr>
              <w:t>8</w:t>
            </w:r>
          </w:p>
        </w:tc>
        <w:tc>
          <w:tcPr>
            <w:tcW w:w="3433" w:type="dxa"/>
            <w:tcBorders>
              <w:top w:val="nil"/>
              <w:left w:val="nil"/>
              <w:bottom w:val="single" w:color="auto" w:sz="4" w:space="0"/>
              <w:right w:val="single" w:color="auto" w:sz="4" w:space="0"/>
            </w:tcBorders>
            <w:shd w:val="clear" w:color="auto" w:fill="auto"/>
            <w:vAlign w:val="center"/>
          </w:tcPr>
          <w:p w14:paraId="75F4BD11">
            <w:pPr>
              <w:widowControl/>
              <w:jc w:val="left"/>
              <w:rPr>
                <w:rFonts w:eastAsia="宋体" w:cs="宋体"/>
                <w:sz w:val="22"/>
                <w:szCs w:val="22"/>
              </w:rPr>
            </w:pPr>
            <w:r>
              <w:rPr>
                <w:rFonts w:hint="eastAsia" w:eastAsia="宋体" w:cs="宋体"/>
                <w:sz w:val="22"/>
                <w:szCs w:val="22"/>
              </w:rPr>
              <w:t>餐后工具、用具及菜品用湿纱布遮盖。</w:t>
            </w:r>
          </w:p>
        </w:tc>
        <w:tc>
          <w:tcPr>
            <w:tcW w:w="2436" w:type="dxa"/>
            <w:tcBorders>
              <w:top w:val="nil"/>
              <w:left w:val="nil"/>
              <w:bottom w:val="single" w:color="auto" w:sz="4" w:space="0"/>
              <w:right w:val="single" w:color="auto" w:sz="4" w:space="0"/>
            </w:tcBorders>
            <w:shd w:val="clear" w:color="auto" w:fill="auto"/>
            <w:vAlign w:val="center"/>
          </w:tcPr>
          <w:p w14:paraId="7CF8E035">
            <w:pPr>
              <w:widowControl/>
              <w:jc w:val="left"/>
              <w:rPr>
                <w:rFonts w:eastAsia="宋体" w:cs="宋体"/>
                <w:sz w:val="22"/>
                <w:szCs w:val="22"/>
              </w:rPr>
            </w:pPr>
            <w:r>
              <w:rPr>
                <w:rFonts w:hint="eastAsia" w:eastAsia="宋体" w:cs="宋体"/>
                <w:sz w:val="22"/>
                <w:szCs w:val="22"/>
              </w:rPr>
              <w:t>50元以上/次</w:t>
            </w:r>
          </w:p>
        </w:tc>
      </w:tr>
      <w:tr w14:paraId="6BF07CEE">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79A24A1">
            <w:pPr>
              <w:widowControl/>
              <w:jc w:val="center"/>
              <w:rPr>
                <w:rFonts w:eastAsia="宋体" w:cs="宋体"/>
                <w:sz w:val="22"/>
                <w:szCs w:val="22"/>
              </w:rPr>
            </w:pPr>
            <w:r>
              <w:rPr>
                <w:rFonts w:hint="eastAsia" w:eastAsia="宋体" w:cs="宋体"/>
                <w:sz w:val="22"/>
                <w:szCs w:val="22"/>
              </w:rPr>
              <w:t>9</w:t>
            </w:r>
          </w:p>
        </w:tc>
        <w:tc>
          <w:tcPr>
            <w:tcW w:w="3433" w:type="dxa"/>
            <w:tcBorders>
              <w:top w:val="nil"/>
              <w:left w:val="nil"/>
              <w:bottom w:val="single" w:color="auto" w:sz="4" w:space="0"/>
              <w:right w:val="single" w:color="auto" w:sz="4" w:space="0"/>
            </w:tcBorders>
            <w:shd w:val="clear" w:color="auto" w:fill="auto"/>
            <w:vAlign w:val="center"/>
          </w:tcPr>
          <w:p w14:paraId="41C88CDA">
            <w:pPr>
              <w:widowControl/>
              <w:jc w:val="left"/>
              <w:rPr>
                <w:rFonts w:eastAsia="宋体" w:cs="宋体"/>
                <w:sz w:val="22"/>
                <w:szCs w:val="22"/>
              </w:rPr>
            </w:pPr>
            <w:r>
              <w:rPr>
                <w:rFonts w:hint="eastAsia" w:eastAsia="宋体" w:cs="宋体"/>
                <w:sz w:val="22"/>
                <w:szCs w:val="22"/>
              </w:rPr>
              <w:t>水池，加工台，工具，用具，容器清洗干净。</w:t>
            </w:r>
          </w:p>
        </w:tc>
        <w:tc>
          <w:tcPr>
            <w:tcW w:w="2436" w:type="dxa"/>
            <w:tcBorders>
              <w:top w:val="nil"/>
              <w:left w:val="nil"/>
              <w:bottom w:val="single" w:color="auto" w:sz="4" w:space="0"/>
              <w:right w:val="single" w:color="auto" w:sz="4" w:space="0"/>
            </w:tcBorders>
            <w:shd w:val="clear" w:color="auto" w:fill="auto"/>
            <w:vAlign w:val="center"/>
          </w:tcPr>
          <w:p w14:paraId="0B3CE1B4">
            <w:pPr>
              <w:widowControl/>
              <w:jc w:val="left"/>
              <w:rPr>
                <w:rFonts w:eastAsia="宋体" w:cs="宋体"/>
                <w:sz w:val="22"/>
                <w:szCs w:val="22"/>
              </w:rPr>
            </w:pPr>
            <w:r>
              <w:rPr>
                <w:rFonts w:hint="eastAsia" w:eastAsia="宋体" w:cs="宋体"/>
                <w:sz w:val="22"/>
                <w:szCs w:val="22"/>
              </w:rPr>
              <w:t>50元以上/次</w:t>
            </w:r>
          </w:p>
        </w:tc>
      </w:tr>
      <w:tr w14:paraId="188D3C6D">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FF43CDD">
            <w:pPr>
              <w:widowControl/>
              <w:jc w:val="center"/>
              <w:rPr>
                <w:rFonts w:eastAsia="宋体" w:cs="宋体"/>
                <w:sz w:val="22"/>
                <w:szCs w:val="22"/>
              </w:rPr>
            </w:pPr>
            <w:r>
              <w:rPr>
                <w:rFonts w:hint="eastAsia" w:eastAsia="宋体" w:cs="宋体"/>
                <w:sz w:val="22"/>
                <w:szCs w:val="22"/>
              </w:rPr>
              <w:t>10</w:t>
            </w:r>
          </w:p>
        </w:tc>
        <w:tc>
          <w:tcPr>
            <w:tcW w:w="3433" w:type="dxa"/>
            <w:tcBorders>
              <w:top w:val="nil"/>
              <w:left w:val="nil"/>
              <w:bottom w:val="single" w:color="auto" w:sz="4" w:space="0"/>
              <w:right w:val="single" w:color="auto" w:sz="4" w:space="0"/>
            </w:tcBorders>
            <w:shd w:val="clear" w:color="auto" w:fill="auto"/>
            <w:vAlign w:val="center"/>
          </w:tcPr>
          <w:p w14:paraId="43A13C85">
            <w:pPr>
              <w:widowControl/>
              <w:jc w:val="left"/>
              <w:rPr>
                <w:rFonts w:eastAsia="宋体" w:cs="宋体"/>
                <w:sz w:val="22"/>
                <w:szCs w:val="22"/>
              </w:rPr>
            </w:pPr>
            <w:r>
              <w:rPr>
                <w:rFonts w:hint="eastAsia" w:eastAsia="宋体" w:cs="宋体"/>
                <w:sz w:val="22"/>
                <w:szCs w:val="22"/>
              </w:rPr>
              <w:t>切菜机，绞肉机要拆开清洗</w:t>
            </w:r>
          </w:p>
        </w:tc>
        <w:tc>
          <w:tcPr>
            <w:tcW w:w="2436" w:type="dxa"/>
            <w:tcBorders>
              <w:top w:val="nil"/>
              <w:left w:val="nil"/>
              <w:bottom w:val="single" w:color="auto" w:sz="4" w:space="0"/>
              <w:right w:val="single" w:color="auto" w:sz="4" w:space="0"/>
            </w:tcBorders>
            <w:shd w:val="clear" w:color="auto" w:fill="auto"/>
            <w:vAlign w:val="center"/>
          </w:tcPr>
          <w:p w14:paraId="5815FE15">
            <w:pPr>
              <w:widowControl/>
              <w:jc w:val="left"/>
              <w:rPr>
                <w:rFonts w:eastAsia="宋体" w:cs="宋体"/>
                <w:sz w:val="22"/>
                <w:szCs w:val="22"/>
              </w:rPr>
            </w:pPr>
            <w:r>
              <w:rPr>
                <w:rFonts w:hint="eastAsia" w:eastAsia="宋体" w:cs="宋体"/>
                <w:sz w:val="22"/>
                <w:szCs w:val="22"/>
              </w:rPr>
              <w:t>50元以上/次</w:t>
            </w:r>
          </w:p>
        </w:tc>
      </w:tr>
      <w:tr w14:paraId="59A92693">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15F354CB">
            <w:pPr>
              <w:widowControl/>
              <w:jc w:val="center"/>
              <w:rPr>
                <w:rFonts w:eastAsia="宋体" w:cs="宋体"/>
                <w:sz w:val="22"/>
                <w:szCs w:val="22"/>
              </w:rPr>
            </w:pPr>
            <w:r>
              <w:rPr>
                <w:rFonts w:hint="eastAsia" w:eastAsia="宋体" w:cs="宋体"/>
                <w:sz w:val="22"/>
                <w:szCs w:val="22"/>
              </w:rPr>
              <w:t>11</w:t>
            </w:r>
          </w:p>
        </w:tc>
        <w:tc>
          <w:tcPr>
            <w:tcW w:w="3433" w:type="dxa"/>
            <w:tcBorders>
              <w:top w:val="nil"/>
              <w:left w:val="nil"/>
              <w:bottom w:val="single" w:color="auto" w:sz="4" w:space="0"/>
              <w:right w:val="single" w:color="auto" w:sz="4" w:space="0"/>
            </w:tcBorders>
            <w:shd w:val="clear" w:color="auto" w:fill="auto"/>
            <w:vAlign w:val="center"/>
          </w:tcPr>
          <w:p w14:paraId="7C9F9568">
            <w:pPr>
              <w:widowControl/>
              <w:jc w:val="left"/>
              <w:rPr>
                <w:rFonts w:eastAsia="宋体" w:cs="宋体"/>
                <w:sz w:val="22"/>
                <w:szCs w:val="22"/>
              </w:rPr>
            </w:pPr>
            <w:r>
              <w:rPr>
                <w:rFonts w:hint="eastAsia" w:eastAsia="宋体" w:cs="宋体"/>
                <w:sz w:val="22"/>
                <w:szCs w:val="22"/>
              </w:rPr>
              <w:t>不得在加工清洗食品原料的水池内清洗拖布</w:t>
            </w:r>
          </w:p>
        </w:tc>
        <w:tc>
          <w:tcPr>
            <w:tcW w:w="2436" w:type="dxa"/>
            <w:tcBorders>
              <w:top w:val="nil"/>
              <w:left w:val="nil"/>
              <w:bottom w:val="single" w:color="auto" w:sz="4" w:space="0"/>
              <w:right w:val="single" w:color="auto" w:sz="4" w:space="0"/>
            </w:tcBorders>
            <w:shd w:val="clear" w:color="auto" w:fill="auto"/>
            <w:vAlign w:val="center"/>
          </w:tcPr>
          <w:p w14:paraId="3C84FC16">
            <w:pPr>
              <w:widowControl/>
              <w:jc w:val="left"/>
              <w:rPr>
                <w:rFonts w:eastAsia="宋体" w:cs="宋体"/>
                <w:sz w:val="22"/>
                <w:szCs w:val="22"/>
              </w:rPr>
            </w:pPr>
            <w:r>
              <w:rPr>
                <w:rFonts w:hint="eastAsia" w:eastAsia="宋体" w:cs="宋体"/>
                <w:sz w:val="22"/>
                <w:szCs w:val="22"/>
              </w:rPr>
              <w:t>50元以上/次</w:t>
            </w:r>
          </w:p>
        </w:tc>
      </w:tr>
      <w:tr w14:paraId="78F37DC0">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2AA284B3">
            <w:pPr>
              <w:widowControl/>
              <w:jc w:val="center"/>
              <w:rPr>
                <w:rFonts w:eastAsia="宋体" w:cs="宋体"/>
                <w:sz w:val="22"/>
                <w:szCs w:val="22"/>
              </w:rPr>
            </w:pPr>
            <w:r>
              <w:rPr>
                <w:rFonts w:hint="eastAsia" w:eastAsia="宋体" w:cs="宋体"/>
                <w:sz w:val="22"/>
                <w:szCs w:val="22"/>
              </w:rPr>
              <w:t>12</w:t>
            </w:r>
          </w:p>
        </w:tc>
        <w:tc>
          <w:tcPr>
            <w:tcW w:w="3433" w:type="dxa"/>
            <w:tcBorders>
              <w:top w:val="nil"/>
              <w:left w:val="nil"/>
              <w:bottom w:val="single" w:color="auto" w:sz="4" w:space="0"/>
              <w:right w:val="single" w:color="auto" w:sz="4" w:space="0"/>
            </w:tcBorders>
            <w:shd w:val="clear" w:color="auto" w:fill="auto"/>
            <w:vAlign w:val="center"/>
          </w:tcPr>
          <w:p w14:paraId="49FF0D41">
            <w:pPr>
              <w:widowControl/>
              <w:jc w:val="left"/>
              <w:rPr>
                <w:rFonts w:eastAsia="宋体" w:cs="宋体"/>
                <w:sz w:val="22"/>
                <w:szCs w:val="22"/>
              </w:rPr>
            </w:pPr>
            <w:r>
              <w:rPr>
                <w:rFonts w:hint="eastAsia" w:eastAsia="宋体" w:cs="宋体"/>
                <w:sz w:val="22"/>
                <w:szCs w:val="22"/>
              </w:rPr>
              <w:t>燃气灶台，油烟罩每餐清洗干净</w:t>
            </w:r>
          </w:p>
        </w:tc>
        <w:tc>
          <w:tcPr>
            <w:tcW w:w="2436" w:type="dxa"/>
            <w:tcBorders>
              <w:top w:val="nil"/>
              <w:left w:val="nil"/>
              <w:bottom w:val="single" w:color="auto" w:sz="4" w:space="0"/>
              <w:right w:val="single" w:color="auto" w:sz="4" w:space="0"/>
            </w:tcBorders>
            <w:shd w:val="clear" w:color="auto" w:fill="auto"/>
            <w:vAlign w:val="center"/>
          </w:tcPr>
          <w:p w14:paraId="5CE4451E">
            <w:pPr>
              <w:widowControl/>
              <w:jc w:val="left"/>
              <w:rPr>
                <w:rFonts w:eastAsia="宋体" w:cs="宋体"/>
                <w:sz w:val="22"/>
                <w:szCs w:val="22"/>
              </w:rPr>
            </w:pPr>
            <w:r>
              <w:rPr>
                <w:rFonts w:hint="eastAsia" w:eastAsia="宋体" w:cs="宋体"/>
                <w:sz w:val="22"/>
                <w:szCs w:val="22"/>
              </w:rPr>
              <w:t>50元以上/次</w:t>
            </w:r>
          </w:p>
        </w:tc>
      </w:tr>
      <w:tr w14:paraId="48BEECDC">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D3C5FA4">
            <w:pPr>
              <w:widowControl/>
              <w:jc w:val="center"/>
              <w:rPr>
                <w:rFonts w:eastAsia="宋体" w:cs="宋体"/>
                <w:sz w:val="22"/>
                <w:szCs w:val="22"/>
              </w:rPr>
            </w:pPr>
            <w:r>
              <w:rPr>
                <w:rFonts w:hint="eastAsia" w:eastAsia="宋体" w:cs="宋体"/>
                <w:sz w:val="22"/>
                <w:szCs w:val="22"/>
              </w:rPr>
              <w:t>13</w:t>
            </w:r>
          </w:p>
        </w:tc>
        <w:tc>
          <w:tcPr>
            <w:tcW w:w="3433" w:type="dxa"/>
            <w:tcBorders>
              <w:top w:val="nil"/>
              <w:left w:val="nil"/>
              <w:bottom w:val="single" w:color="auto" w:sz="4" w:space="0"/>
              <w:right w:val="single" w:color="auto" w:sz="4" w:space="0"/>
            </w:tcBorders>
            <w:shd w:val="clear" w:color="auto" w:fill="auto"/>
            <w:vAlign w:val="center"/>
          </w:tcPr>
          <w:p w14:paraId="3D2D9C1A">
            <w:pPr>
              <w:widowControl/>
              <w:jc w:val="left"/>
              <w:rPr>
                <w:rFonts w:eastAsia="宋体" w:cs="宋体"/>
                <w:sz w:val="22"/>
                <w:szCs w:val="22"/>
              </w:rPr>
            </w:pPr>
            <w:r>
              <w:rPr>
                <w:rFonts w:hint="eastAsia" w:eastAsia="宋体" w:cs="宋体"/>
                <w:sz w:val="22"/>
                <w:szCs w:val="22"/>
              </w:rPr>
              <w:t>调料盒加盖，摆放整齐。</w:t>
            </w:r>
          </w:p>
        </w:tc>
        <w:tc>
          <w:tcPr>
            <w:tcW w:w="2436" w:type="dxa"/>
            <w:tcBorders>
              <w:top w:val="nil"/>
              <w:left w:val="nil"/>
              <w:bottom w:val="single" w:color="auto" w:sz="4" w:space="0"/>
              <w:right w:val="single" w:color="auto" w:sz="4" w:space="0"/>
            </w:tcBorders>
            <w:shd w:val="clear" w:color="auto" w:fill="auto"/>
            <w:vAlign w:val="center"/>
          </w:tcPr>
          <w:p w14:paraId="46BCCA70">
            <w:pPr>
              <w:widowControl/>
              <w:jc w:val="left"/>
              <w:rPr>
                <w:rFonts w:eastAsia="宋体" w:cs="宋体"/>
                <w:sz w:val="22"/>
                <w:szCs w:val="22"/>
              </w:rPr>
            </w:pPr>
            <w:r>
              <w:rPr>
                <w:rFonts w:hint="eastAsia" w:eastAsia="宋体" w:cs="宋体"/>
                <w:sz w:val="22"/>
                <w:szCs w:val="22"/>
              </w:rPr>
              <w:t>50元以上/次</w:t>
            </w:r>
          </w:p>
        </w:tc>
      </w:tr>
      <w:tr w14:paraId="3E759181">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17532955">
            <w:pPr>
              <w:widowControl/>
              <w:jc w:val="center"/>
              <w:rPr>
                <w:rFonts w:eastAsia="宋体" w:cs="宋体"/>
                <w:sz w:val="22"/>
                <w:szCs w:val="22"/>
              </w:rPr>
            </w:pPr>
            <w:r>
              <w:rPr>
                <w:rFonts w:hint="eastAsia" w:eastAsia="宋体" w:cs="宋体"/>
                <w:sz w:val="22"/>
                <w:szCs w:val="22"/>
              </w:rPr>
              <w:t>14</w:t>
            </w:r>
          </w:p>
        </w:tc>
        <w:tc>
          <w:tcPr>
            <w:tcW w:w="3433" w:type="dxa"/>
            <w:tcBorders>
              <w:top w:val="nil"/>
              <w:left w:val="nil"/>
              <w:bottom w:val="single" w:color="auto" w:sz="4" w:space="0"/>
              <w:right w:val="single" w:color="auto" w:sz="4" w:space="0"/>
            </w:tcBorders>
            <w:shd w:val="clear" w:color="auto" w:fill="auto"/>
            <w:vAlign w:val="center"/>
          </w:tcPr>
          <w:p w14:paraId="3D3FA58F">
            <w:pPr>
              <w:widowControl/>
              <w:jc w:val="left"/>
              <w:rPr>
                <w:rFonts w:eastAsia="宋体" w:cs="宋体"/>
                <w:sz w:val="22"/>
                <w:szCs w:val="22"/>
              </w:rPr>
            </w:pPr>
            <w:r>
              <w:rPr>
                <w:rFonts w:hint="eastAsia" w:eastAsia="宋体" w:cs="宋体"/>
                <w:sz w:val="22"/>
                <w:szCs w:val="22"/>
              </w:rPr>
              <w:t>灶台，灶下及地面不留残渣、油垢</w:t>
            </w:r>
          </w:p>
        </w:tc>
        <w:tc>
          <w:tcPr>
            <w:tcW w:w="2436" w:type="dxa"/>
            <w:tcBorders>
              <w:top w:val="nil"/>
              <w:left w:val="nil"/>
              <w:bottom w:val="single" w:color="auto" w:sz="4" w:space="0"/>
              <w:right w:val="single" w:color="auto" w:sz="4" w:space="0"/>
            </w:tcBorders>
            <w:shd w:val="clear" w:color="auto" w:fill="auto"/>
            <w:vAlign w:val="center"/>
          </w:tcPr>
          <w:p w14:paraId="65644FE1">
            <w:pPr>
              <w:widowControl/>
              <w:jc w:val="left"/>
              <w:rPr>
                <w:rFonts w:eastAsia="宋体" w:cs="宋体"/>
                <w:sz w:val="22"/>
                <w:szCs w:val="22"/>
              </w:rPr>
            </w:pPr>
            <w:r>
              <w:rPr>
                <w:rFonts w:hint="eastAsia" w:eastAsia="宋体" w:cs="宋体"/>
                <w:sz w:val="22"/>
                <w:szCs w:val="22"/>
              </w:rPr>
              <w:t>50元以上/次</w:t>
            </w:r>
          </w:p>
        </w:tc>
      </w:tr>
      <w:tr w14:paraId="6E969294">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17D2414">
            <w:pPr>
              <w:widowControl/>
              <w:jc w:val="center"/>
              <w:rPr>
                <w:rFonts w:eastAsia="宋体" w:cs="宋体"/>
                <w:sz w:val="22"/>
                <w:szCs w:val="22"/>
              </w:rPr>
            </w:pPr>
            <w:r>
              <w:rPr>
                <w:rFonts w:hint="eastAsia" w:eastAsia="宋体" w:cs="宋体"/>
                <w:sz w:val="22"/>
                <w:szCs w:val="22"/>
              </w:rPr>
              <w:t>15</w:t>
            </w:r>
          </w:p>
        </w:tc>
        <w:tc>
          <w:tcPr>
            <w:tcW w:w="3433" w:type="dxa"/>
            <w:tcBorders>
              <w:top w:val="nil"/>
              <w:left w:val="nil"/>
              <w:bottom w:val="single" w:color="auto" w:sz="4" w:space="0"/>
              <w:right w:val="single" w:color="auto" w:sz="4" w:space="0"/>
            </w:tcBorders>
            <w:shd w:val="clear" w:color="auto" w:fill="auto"/>
            <w:vAlign w:val="center"/>
          </w:tcPr>
          <w:p w14:paraId="2A7C7ED4">
            <w:pPr>
              <w:widowControl/>
              <w:jc w:val="left"/>
              <w:rPr>
                <w:rFonts w:eastAsia="宋体" w:cs="宋体"/>
                <w:sz w:val="22"/>
                <w:szCs w:val="22"/>
              </w:rPr>
            </w:pPr>
            <w:r>
              <w:rPr>
                <w:rFonts w:hint="eastAsia" w:eastAsia="宋体" w:cs="宋体"/>
                <w:sz w:val="22"/>
                <w:szCs w:val="22"/>
              </w:rPr>
              <w:t>工作场所及库房不能有老鼠及老鼠屎</w:t>
            </w:r>
          </w:p>
        </w:tc>
        <w:tc>
          <w:tcPr>
            <w:tcW w:w="2436" w:type="dxa"/>
            <w:tcBorders>
              <w:top w:val="nil"/>
              <w:left w:val="nil"/>
              <w:bottom w:val="single" w:color="auto" w:sz="4" w:space="0"/>
              <w:right w:val="single" w:color="auto" w:sz="4" w:space="0"/>
            </w:tcBorders>
            <w:shd w:val="clear" w:color="auto" w:fill="auto"/>
            <w:vAlign w:val="center"/>
          </w:tcPr>
          <w:p w14:paraId="16EEC3DF">
            <w:pPr>
              <w:widowControl/>
              <w:jc w:val="left"/>
              <w:rPr>
                <w:rFonts w:eastAsia="宋体" w:cs="宋体"/>
                <w:sz w:val="22"/>
                <w:szCs w:val="22"/>
              </w:rPr>
            </w:pPr>
            <w:r>
              <w:rPr>
                <w:rFonts w:hint="eastAsia" w:eastAsia="宋体" w:cs="宋体"/>
                <w:sz w:val="22"/>
                <w:szCs w:val="22"/>
              </w:rPr>
              <w:t>50元以上/次</w:t>
            </w:r>
          </w:p>
        </w:tc>
      </w:tr>
      <w:tr w14:paraId="741ED326">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DBF5885">
            <w:pPr>
              <w:widowControl/>
              <w:jc w:val="center"/>
              <w:rPr>
                <w:rFonts w:eastAsia="宋体" w:cs="宋体"/>
                <w:sz w:val="22"/>
                <w:szCs w:val="22"/>
              </w:rPr>
            </w:pPr>
            <w:r>
              <w:rPr>
                <w:rFonts w:hint="eastAsia" w:eastAsia="宋体" w:cs="宋体"/>
                <w:sz w:val="22"/>
                <w:szCs w:val="22"/>
              </w:rPr>
              <w:t>16</w:t>
            </w:r>
          </w:p>
        </w:tc>
        <w:tc>
          <w:tcPr>
            <w:tcW w:w="3433" w:type="dxa"/>
            <w:tcBorders>
              <w:top w:val="nil"/>
              <w:left w:val="nil"/>
              <w:bottom w:val="single" w:color="auto" w:sz="4" w:space="0"/>
              <w:right w:val="single" w:color="auto" w:sz="4" w:space="0"/>
            </w:tcBorders>
            <w:shd w:val="clear" w:color="auto" w:fill="auto"/>
            <w:vAlign w:val="center"/>
          </w:tcPr>
          <w:p w14:paraId="0475EA10">
            <w:pPr>
              <w:widowControl/>
              <w:jc w:val="left"/>
              <w:rPr>
                <w:rFonts w:eastAsia="宋体" w:cs="宋体"/>
                <w:sz w:val="22"/>
                <w:szCs w:val="22"/>
              </w:rPr>
            </w:pPr>
            <w:r>
              <w:rPr>
                <w:rFonts w:hint="eastAsia" w:eastAsia="宋体" w:cs="宋体"/>
                <w:sz w:val="22"/>
                <w:szCs w:val="22"/>
              </w:rPr>
              <w:t>工作场所及库房不能有蟑螂及蟑螂屎</w:t>
            </w:r>
          </w:p>
        </w:tc>
        <w:tc>
          <w:tcPr>
            <w:tcW w:w="2436" w:type="dxa"/>
            <w:tcBorders>
              <w:top w:val="nil"/>
              <w:left w:val="nil"/>
              <w:bottom w:val="single" w:color="auto" w:sz="4" w:space="0"/>
              <w:right w:val="single" w:color="auto" w:sz="4" w:space="0"/>
            </w:tcBorders>
            <w:shd w:val="clear" w:color="auto" w:fill="auto"/>
            <w:vAlign w:val="center"/>
          </w:tcPr>
          <w:p w14:paraId="5343DD61">
            <w:pPr>
              <w:widowControl/>
              <w:jc w:val="left"/>
              <w:rPr>
                <w:rFonts w:eastAsia="宋体" w:cs="宋体"/>
                <w:sz w:val="22"/>
                <w:szCs w:val="22"/>
              </w:rPr>
            </w:pPr>
            <w:r>
              <w:rPr>
                <w:rFonts w:hint="eastAsia" w:eastAsia="宋体" w:cs="宋体"/>
                <w:sz w:val="22"/>
                <w:szCs w:val="22"/>
              </w:rPr>
              <w:t>50元以上/次</w:t>
            </w:r>
          </w:p>
        </w:tc>
      </w:tr>
      <w:tr w14:paraId="600839D1">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12D2F24">
            <w:pPr>
              <w:widowControl/>
              <w:jc w:val="center"/>
              <w:rPr>
                <w:rFonts w:eastAsia="宋体" w:cs="宋体"/>
                <w:sz w:val="22"/>
                <w:szCs w:val="22"/>
              </w:rPr>
            </w:pPr>
            <w:r>
              <w:rPr>
                <w:rFonts w:hint="eastAsia" w:eastAsia="宋体" w:cs="宋体"/>
                <w:sz w:val="22"/>
                <w:szCs w:val="22"/>
              </w:rPr>
              <w:t>17</w:t>
            </w:r>
          </w:p>
        </w:tc>
        <w:tc>
          <w:tcPr>
            <w:tcW w:w="3433" w:type="dxa"/>
            <w:tcBorders>
              <w:top w:val="nil"/>
              <w:left w:val="nil"/>
              <w:bottom w:val="single" w:color="auto" w:sz="4" w:space="0"/>
              <w:right w:val="single" w:color="auto" w:sz="4" w:space="0"/>
            </w:tcBorders>
            <w:shd w:val="clear" w:color="auto" w:fill="auto"/>
            <w:vAlign w:val="center"/>
          </w:tcPr>
          <w:p w14:paraId="33AFCF82">
            <w:pPr>
              <w:widowControl/>
              <w:jc w:val="left"/>
              <w:rPr>
                <w:rFonts w:eastAsia="宋体" w:cs="宋体"/>
                <w:sz w:val="22"/>
                <w:szCs w:val="22"/>
              </w:rPr>
            </w:pPr>
            <w:r>
              <w:rPr>
                <w:rFonts w:hint="eastAsia" w:eastAsia="宋体" w:cs="宋体"/>
                <w:sz w:val="22"/>
                <w:szCs w:val="22"/>
              </w:rPr>
              <w:t>工作场所及库房不能有苍蝇</w:t>
            </w:r>
          </w:p>
        </w:tc>
        <w:tc>
          <w:tcPr>
            <w:tcW w:w="2436" w:type="dxa"/>
            <w:tcBorders>
              <w:top w:val="nil"/>
              <w:left w:val="nil"/>
              <w:bottom w:val="single" w:color="auto" w:sz="4" w:space="0"/>
              <w:right w:val="single" w:color="auto" w:sz="4" w:space="0"/>
            </w:tcBorders>
            <w:shd w:val="clear" w:color="auto" w:fill="auto"/>
            <w:vAlign w:val="center"/>
          </w:tcPr>
          <w:p w14:paraId="678A0CB2">
            <w:pPr>
              <w:widowControl/>
              <w:jc w:val="left"/>
              <w:rPr>
                <w:rFonts w:eastAsia="宋体" w:cs="宋体"/>
                <w:sz w:val="22"/>
                <w:szCs w:val="22"/>
              </w:rPr>
            </w:pPr>
            <w:r>
              <w:rPr>
                <w:rFonts w:hint="eastAsia" w:eastAsia="宋体" w:cs="宋体"/>
                <w:sz w:val="22"/>
                <w:szCs w:val="22"/>
              </w:rPr>
              <w:t>5元以上/只</w:t>
            </w:r>
          </w:p>
        </w:tc>
      </w:tr>
      <w:tr w14:paraId="67D5770A">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FF46D43">
            <w:pPr>
              <w:widowControl/>
              <w:jc w:val="center"/>
              <w:rPr>
                <w:rFonts w:eastAsia="宋体" w:cs="宋体"/>
                <w:sz w:val="22"/>
                <w:szCs w:val="22"/>
              </w:rPr>
            </w:pPr>
            <w:r>
              <w:rPr>
                <w:rFonts w:hint="eastAsia" w:eastAsia="宋体" w:cs="宋体"/>
                <w:sz w:val="22"/>
                <w:szCs w:val="22"/>
              </w:rPr>
              <w:t>18</w:t>
            </w:r>
          </w:p>
        </w:tc>
        <w:tc>
          <w:tcPr>
            <w:tcW w:w="3433" w:type="dxa"/>
            <w:tcBorders>
              <w:top w:val="nil"/>
              <w:left w:val="nil"/>
              <w:bottom w:val="single" w:color="auto" w:sz="4" w:space="0"/>
              <w:right w:val="single" w:color="auto" w:sz="4" w:space="0"/>
            </w:tcBorders>
            <w:shd w:val="clear" w:color="auto" w:fill="auto"/>
            <w:vAlign w:val="center"/>
          </w:tcPr>
          <w:p w14:paraId="2F466B9D">
            <w:pPr>
              <w:widowControl/>
              <w:jc w:val="left"/>
              <w:rPr>
                <w:rFonts w:eastAsia="宋体" w:cs="宋体"/>
                <w:sz w:val="22"/>
                <w:szCs w:val="22"/>
              </w:rPr>
            </w:pPr>
            <w:r>
              <w:rPr>
                <w:rFonts w:hint="eastAsia" w:eastAsia="宋体" w:cs="宋体"/>
                <w:sz w:val="22"/>
                <w:szCs w:val="22"/>
              </w:rPr>
              <w:t>工作场所及库房不能有蜘蛛及蜘蛛网</w:t>
            </w:r>
          </w:p>
        </w:tc>
        <w:tc>
          <w:tcPr>
            <w:tcW w:w="2436" w:type="dxa"/>
            <w:tcBorders>
              <w:top w:val="nil"/>
              <w:left w:val="nil"/>
              <w:bottom w:val="single" w:color="auto" w:sz="4" w:space="0"/>
              <w:right w:val="single" w:color="auto" w:sz="4" w:space="0"/>
            </w:tcBorders>
            <w:shd w:val="clear" w:color="auto" w:fill="auto"/>
            <w:vAlign w:val="center"/>
          </w:tcPr>
          <w:p w14:paraId="1603B1BF">
            <w:pPr>
              <w:widowControl/>
              <w:jc w:val="left"/>
              <w:rPr>
                <w:rFonts w:eastAsia="宋体" w:cs="宋体"/>
                <w:sz w:val="22"/>
                <w:szCs w:val="22"/>
              </w:rPr>
            </w:pPr>
            <w:r>
              <w:rPr>
                <w:rFonts w:hint="eastAsia" w:eastAsia="宋体" w:cs="宋体"/>
                <w:sz w:val="22"/>
                <w:szCs w:val="22"/>
              </w:rPr>
              <w:t>50元以上/处</w:t>
            </w:r>
          </w:p>
        </w:tc>
      </w:tr>
      <w:tr w14:paraId="121C6BEC">
        <w:tblPrEx>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FE1793C">
            <w:pPr>
              <w:widowControl/>
              <w:jc w:val="center"/>
              <w:rPr>
                <w:rFonts w:eastAsia="宋体" w:cs="宋体"/>
                <w:sz w:val="22"/>
                <w:szCs w:val="22"/>
              </w:rPr>
            </w:pPr>
            <w:r>
              <w:rPr>
                <w:rFonts w:hint="eastAsia" w:eastAsia="宋体" w:cs="宋体"/>
                <w:sz w:val="22"/>
                <w:szCs w:val="22"/>
              </w:rPr>
              <w:t>19</w:t>
            </w:r>
          </w:p>
        </w:tc>
        <w:tc>
          <w:tcPr>
            <w:tcW w:w="3433" w:type="dxa"/>
            <w:tcBorders>
              <w:top w:val="nil"/>
              <w:left w:val="nil"/>
              <w:bottom w:val="single" w:color="auto" w:sz="4" w:space="0"/>
              <w:right w:val="single" w:color="auto" w:sz="4" w:space="0"/>
            </w:tcBorders>
            <w:shd w:val="clear" w:color="auto" w:fill="auto"/>
            <w:vAlign w:val="center"/>
          </w:tcPr>
          <w:p w14:paraId="104CF4C2">
            <w:pPr>
              <w:widowControl/>
              <w:jc w:val="left"/>
              <w:rPr>
                <w:rFonts w:eastAsia="宋体" w:cs="宋体"/>
                <w:sz w:val="22"/>
                <w:szCs w:val="22"/>
              </w:rPr>
            </w:pPr>
            <w:r>
              <w:rPr>
                <w:rFonts w:hint="eastAsia" w:eastAsia="宋体" w:cs="宋体"/>
                <w:sz w:val="22"/>
                <w:szCs w:val="22"/>
              </w:rPr>
              <w:t>采购食品及原材料，要索取经营资质《许可证》，产品检验检疫合格证一式两份</w:t>
            </w:r>
          </w:p>
        </w:tc>
        <w:tc>
          <w:tcPr>
            <w:tcW w:w="2436" w:type="dxa"/>
            <w:tcBorders>
              <w:top w:val="nil"/>
              <w:left w:val="nil"/>
              <w:bottom w:val="single" w:color="auto" w:sz="4" w:space="0"/>
              <w:right w:val="single" w:color="auto" w:sz="4" w:space="0"/>
            </w:tcBorders>
            <w:shd w:val="clear" w:color="auto" w:fill="auto"/>
            <w:vAlign w:val="center"/>
          </w:tcPr>
          <w:p w14:paraId="60F99E45">
            <w:pPr>
              <w:widowControl/>
              <w:jc w:val="left"/>
              <w:rPr>
                <w:rFonts w:eastAsia="宋体" w:cs="宋体"/>
                <w:sz w:val="22"/>
                <w:szCs w:val="22"/>
              </w:rPr>
            </w:pPr>
            <w:r>
              <w:rPr>
                <w:rFonts w:hint="eastAsia" w:eastAsia="宋体" w:cs="宋体"/>
                <w:sz w:val="22"/>
                <w:szCs w:val="22"/>
              </w:rPr>
              <w:t>50元以上/次</w:t>
            </w:r>
          </w:p>
        </w:tc>
      </w:tr>
      <w:tr w14:paraId="7581E130">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2E47ECB">
            <w:pPr>
              <w:widowControl/>
              <w:jc w:val="center"/>
              <w:rPr>
                <w:rFonts w:eastAsia="宋体" w:cs="宋体"/>
                <w:sz w:val="22"/>
                <w:szCs w:val="22"/>
              </w:rPr>
            </w:pPr>
            <w:r>
              <w:rPr>
                <w:rFonts w:hint="eastAsia" w:eastAsia="宋体" w:cs="宋体"/>
                <w:sz w:val="22"/>
                <w:szCs w:val="22"/>
              </w:rPr>
              <w:t>20</w:t>
            </w:r>
          </w:p>
        </w:tc>
        <w:tc>
          <w:tcPr>
            <w:tcW w:w="3433" w:type="dxa"/>
            <w:tcBorders>
              <w:top w:val="nil"/>
              <w:left w:val="nil"/>
              <w:bottom w:val="single" w:color="auto" w:sz="4" w:space="0"/>
              <w:right w:val="single" w:color="auto" w:sz="4" w:space="0"/>
            </w:tcBorders>
            <w:shd w:val="clear" w:color="auto" w:fill="auto"/>
            <w:vAlign w:val="center"/>
          </w:tcPr>
          <w:p w14:paraId="3C901DBF">
            <w:pPr>
              <w:widowControl/>
              <w:jc w:val="left"/>
              <w:rPr>
                <w:rFonts w:eastAsia="宋体" w:cs="宋体"/>
                <w:sz w:val="22"/>
                <w:szCs w:val="22"/>
              </w:rPr>
            </w:pPr>
            <w:r>
              <w:rPr>
                <w:rFonts w:hint="eastAsia" w:eastAsia="宋体" w:cs="宋体"/>
                <w:sz w:val="22"/>
                <w:szCs w:val="22"/>
              </w:rPr>
              <w:t>甲乙双方共同确认食品、原材料的定点供应商及价格。</w:t>
            </w:r>
          </w:p>
        </w:tc>
        <w:tc>
          <w:tcPr>
            <w:tcW w:w="2436" w:type="dxa"/>
            <w:tcBorders>
              <w:top w:val="nil"/>
              <w:left w:val="nil"/>
              <w:bottom w:val="single" w:color="auto" w:sz="4" w:space="0"/>
              <w:right w:val="single" w:color="auto" w:sz="4" w:space="0"/>
            </w:tcBorders>
            <w:shd w:val="clear" w:color="auto" w:fill="auto"/>
            <w:vAlign w:val="center"/>
          </w:tcPr>
          <w:p w14:paraId="3BF75504">
            <w:pPr>
              <w:widowControl/>
              <w:jc w:val="left"/>
              <w:rPr>
                <w:rFonts w:eastAsia="宋体" w:cs="宋体"/>
                <w:sz w:val="22"/>
                <w:szCs w:val="22"/>
              </w:rPr>
            </w:pPr>
            <w:r>
              <w:rPr>
                <w:rFonts w:hint="eastAsia" w:eastAsia="宋体" w:cs="宋体"/>
                <w:sz w:val="22"/>
                <w:szCs w:val="22"/>
              </w:rPr>
              <w:t>50元以上/次</w:t>
            </w:r>
          </w:p>
        </w:tc>
      </w:tr>
      <w:tr w14:paraId="59347289">
        <w:tblPrEx>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1D852219">
            <w:pPr>
              <w:widowControl/>
              <w:jc w:val="center"/>
              <w:rPr>
                <w:rFonts w:eastAsia="宋体" w:cs="宋体"/>
                <w:sz w:val="22"/>
                <w:szCs w:val="22"/>
              </w:rPr>
            </w:pPr>
            <w:r>
              <w:rPr>
                <w:rFonts w:hint="eastAsia" w:eastAsia="宋体" w:cs="宋体"/>
                <w:sz w:val="22"/>
                <w:szCs w:val="22"/>
              </w:rPr>
              <w:t>21</w:t>
            </w:r>
          </w:p>
        </w:tc>
        <w:tc>
          <w:tcPr>
            <w:tcW w:w="3433" w:type="dxa"/>
            <w:tcBorders>
              <w:top w:val="nil"/>
              <w:left w:val="nil"/>
              <w:bottom w:val="single" w:color="auto" w:sz="4" w:space="0"/>
              <w:right w:val="single" w:color="auto" w:sz="4" w:space="0"/>
            </w:tcBorders>
            <w:shd w:val="clear" w:color="auto" w:fill="auto"/>
            <w:vAlign w:val="center"/>
          </w:tcPr>
          <w:p w14:paraId="6EDF4163">
            <w:pPr>
              <w:widowControl/>
              <w:jc w:val="left"/>
              <w:rPr>
                <w:rFonts w:eastAsia="宋体" w:cs="宋体"/>
                <w:sz w:val="22"/>
                <w:szCs w:val="22"/>
              </w:rPr>
            </w:pPr>
            <w:r>
              <w:rPr>
                <w:rFonts w:hint="eastAsia" w:eastAsia="宋体" w:cs="宋体"/>
                <w:sz w:val="22"/>
                <w:szCs w:val="22"/>
              </w:rPr>
              <w:t>不得采购腐败变质，掺杂掺假，霉变生虫，有害有毒，质量不新鲜的食品。</w:t>
            </w:r>
          </w:p>
        </w:tc>
        <w:tc>
          <w:tcPr>
            <w:tcW w:w="2436" w:type="dxa"/>
            <w:tcBorders>
              <w:top w:val="nil"/>
              <w:left w:val="nil"/>
              <w:bottom w:val="single" w:color="auto" w:sz="4" w:space="0"/>
              <w:right w:val="single" w:color="auto" w:sz="4" w:space="0"/>
            </w:tcBorders>
            <w:shd w:val="clear" w:color="auto" w:fill="auto"/>
            <w:vAlign w:val="center"/>
          </w:tcPr>
          <w:p w14:paraId="278C3CAA">
            <w:pPr>
              <w:widowControl/>
              <w:jc w:val="left"/>
              <w:rPr>
                <w:rFonts w:eastAsia="宋体" w:cs="宋体"/>
                <w:sz w:val="22"/>
                <w:szCs w:val="22"/>
              </w:rPr>
            </w:pPr>
            <w:r>
              <w:rPr>
                <w:rFonts w:hint="eastAsia" w:eastAsia="宋体" w:cs="宋体"/>
                <w:sz w:val="22"/>
                <w:szCs w:val="22"/>
              </w:rPr>
              <w:t>100元以上/次</w:t>
            </w:r>
          </w:p>
        </w:tc>
      </w:tr>
      <w:tr w14:paraId="546130AC">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5042732">
            <w:pPr>
              <w:widowControl/>
              <w:jc w:val="center"/>
              <w:rPr>
                <w:rFonts w:eastAsia="宋体" w:cs="宋体"/>
                <w:sz w:val="22"/>
                <w:szCs w:val="22"/>
              </w:rPr>
            </w:pPr>
            <w:r>
              <w:rPr>
                <w:rFonts w:hint="eastAsia" w:eastAsia="宋体" w:cs="宋体"/>
                <w:sz w:val="22"/>
                <w:szCs w:val="22"/>
              </w:rPr>
              <w:t>22</w:t>
            </w:r>
          </w:p>
        </w:tc>
        <w:tc>
          <w:tcPr>
            <w:tcW w:w="3433" w:type="dxa"/>
            <w:tcBorders>
              <w:top w:val="nil"/>
              <w:left w:val="nil"/>
              <w:bottom w:val="single" w:color="auto" w:sz="4" w:space="0"/>
              <w:right w:val="single" w:color="auto" w:sz="4" w:space="0"/>
            </w:tcBorders>
            <w:shd w:val="clear" w:color="auto" w:fill="auto"/>
            <w:vAlign w:val="center"/>
          </w:tcPr>
          <w:p w14:paraId="1B6416EB">
            <w:pPr>
              <w:widowControl/>
              <w:jc w:val="left"/>
              <w:rPr>
                <w:rFonts w:eastAsia="宋体" w:cs="宋体"/>
                <w:sz w:val="22"/>
                <w:szCs w:val="22"/>
              </w:rPr>
            </w:pPr>
            <w:r>
              <w:rPr>
                <w:rFonts w:hint="eastAsia" w:eastAsia="宋体" w:cs="宋体"/>
                <w:sz w:val="22"/>
                <w:szCs w:val="22"/>
              </w:rPr>
              <w:t>不得在定点供应商之外购进食品（特殊情况除外）</w:t>
            </w:r>
          </w:p>
        </w:tc>
        <w:tc>
          <w:tcPr>
            <w:tcW w:w="2436" w:type="dxa"/>
            <w:tcBorders>
              <w:top w:val="nil"/>
              <w:left w:val="nil"/>
              <w:bottom w:val="single" w:color="auto" w:sz="4" w:space="0"/>
              <w:right w:val="single" w:color="auto" w:sz="4" w:space="0"/>
            </w:tcBorders>
            <w:shd w:val="clear" w:color="auto" w:fill="auto"/>
            <w:vAlign w:val="center"/>
          </w:tcPr>
          <w:p w14:paraId="5C556C46">
            <w:pPr>
              <w:widowControl/>
              <w:jc w:val="left"/>
              <w:rPr>
                <w:rFonts w:eastAsia="宋体" w:cs="宋体"/>
                <w:sz w:val="22"/>
                <w:szCs w:val="22"/>
              </w:rPr>
            </w:pPr>
            <w:r>
              <w:rPr>
                <w:rFonts w:hint="eastAsia" w:eastAsia="宋体" w:cs="宋体"/>
                <w:sz w:val="22"/>
                <w:szCs w:val="22"/>
              </w:rPr>
              <w:t>100元以上/次</w:t>
            </w:r>
          </w:p>
        </w:tc>
      </w:tr>
      <w:tr w14:paraId="5D1630E4">
        <w:tblPrEx>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1A45382B">
            <w:pPr>
              <w:widowControl/>
              <w:jc w:val="center"/>
              <w:rPr>
                <w:rFonts w:eastAsia="宋体" w:cs="宋体"/>
                <w:sz w:val="22"/>
                <w:szCs w:val="22"/>
              </w:rPr>
            </w:pPr>
            <w:r>
              <w:rPr>
                <w:rFonts w:hint="eastAsia" w:eastAsia="宋体" w:cs="宋体"/>
                <w:sz w:val="22"/>
                <w:szCs w:val="22"/>
              </w:rPr>
              <w:t>23</w:t>
            </w:r>
          </w:p>
        </w:tc>
        <w:tc>
          <w:tcPr>
            <w:tcW w:w="3433" w:type="dxa"/>
            <w:tcBorders>
              <w:top w:val="nil"/>
              <w:left w:val="nil"/>
              <w:bottom w:val="single" w:color="auto" w:sz="4" w:space="0"/>
              <w:right w:val="single" w:color="auto" w:sz="4" w:space="0"/>
            </w:tcBorders>
            <w:shd w:val="clear" w:color="auto" w:fill="auto"/>
            <w:vAlign w:val="center"/>
          </w:tcPr>
          <w:p w14:paraId="28A09C98">
            <w:pPr>
              <w:widowControl/>
              <w:jc w:val="left"/>
              <w:rPr>
                <w:rFonts w:eastAsia="宋体" w:cs="宋体"/>
                <w:sz w:val="22"/>
                <w:szCs w:val="22"/>
              </w:rPr>
            </w:pPr>
            <w:r>
              <w:rPr>
                <w:rFonts w:hint="eastAsia" w:eastAsia="宋体" w:cs="宋体"/>
                <w:sz w:val="22"/>
                <w:szCs w:val="22"/>
              </w:rPr>
              <w:t>不得采购无产地，无厂名，无生产日期和保质期，或标志不清超过保质期限的食品。</w:t>
            </w:r>
          </w:p>
        </w:tc>
        <w:tc>
          <w:tcPr>
            <w:tcW w:w="2436" w:type="dxa"/>
            <w:tcBorders>
              <w:top w:val="nil"/>
              <w:left w:val="nil"/>
              <w:bottom w:val="single" w:color="auto" w:sz="4" w:space="0"/>
              <w:right w:val="single" w:color="auto" w:sz="4" w:space="0"/>
            </w:tcBorders>
            <w:shd w:val="clear" w:color="auto" w:fill="auto"/>
            <w:vAlign w:val="center"/>
          </w:tcPr>
          <w:p w14:paraId="5E4C06FC">
            <w:pPr>
              <w:widowControl/>
              <w:jc w:val="left"/>
              <w:rPr>
                <w:rFonts w:eastAsia="宋体" w:cs="宋体"/>
                <w:sz w:val="22"/>
                <w:szCs w:val="22"/>
              </w:rPr>
            </w:pPr>
            <w:r>
              <w:rPr>
                <w:rFonts w:hint="eastAsia" w:eastAsia="宋体" w:cs="宋体"/>
                <w:sz w:val="22"/>
                <w:szCs w:val="22"/>
              </w:rPr>
              <w:t>100元以上/次</w:t>
            </w:r>
          </w:p>
        </w:tc>
      </w:tr>
      <w:tr w14:paraId="052656B4">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15D4966">
            <w:pPr>
              <w:widowControl/>
              <w:jc w:val="center"/>
              <w:rPr>
                <w:rFonts w:eastAsia="宋体" w:cs="宋体"/>
                <w:sz w:val="22"/>
                <w:szCs w:val="22"/>
              </w:rPr>
            </w:pPr>
            <w:r>
              <w:rPr>
                <w:rFonts w:hint="eastAsia" w:eastAsia="宋体" w:cs="宋体"/>
                <w:sz w:val="22"/>
                <w:szCs w:val="22"/>
              </w:rPr>
              <w:t>24</w:t>
            </w:r>
          </w:p>
        </w:tc>
        <w:tc>
          <w:tcPr>
            <w:tcW w:w="3433" w:type="dxa"/>
            <w:tcBorders>
              <w:top w:val="nil"/>
              <w:left w:val="nil"/>
              <w:bottom w:val="single" w:color="auto" w:sz="4" w:space="0"/>
              <w:right w:val="single" w:color="auto" w:sz="4" w:space="0"/>
            </w:tcBorders>
            <w:shd w:val="clear" w:color="auto" w:fill="auto"/>
            <w:vAlign w:val="center"/>
          </w:tcPr>
          <w:p w14:paraId="0A2D6762">
            <w:pPr>
              <w:widowControl/>
              <w:jc w:val="left"/>
              <w:rPr>
                <w:rFonts w:eastAsia="宋体" w:cs="宋体"/>
                <w:sz w:val="22"/>
                <w:szCs w:val="22"/>
              </w:rPr>
            </w:pPr>
            <w:r>
              <w:rPr>
                <w:rFonts w:hint="eastAsia" w:eastAsia="宋体" w:cs="宋体"/>
                <w:sz w:val="22"/>
                <w:szCs w:val="22"/>
              </w:rPr>
              <w:t>不得采购无《食品生产许可证》或《食品经营许可证》的食品</w:t>
            </w:r>
          </w:p>
        </w:tc>
        <w:tc>
          <w:tcPr>
            <w:tcW w:w="2436" w:type="dxa"/>
            <w:tcBorders>
              <w:top w:val="nil"/>
              <w:left w:val="nil"/>
              <w:bottom w:val="single" w:color="auto" w:sz="4" w:space="0"/>
              <w:right w:val="single" w:color="auto" w:sz="4" w:space="0"/>
            </w:tcBorders>
            <w:shd w:val="clear" w:color="auto" w:fill="auto"/>
            <w:vAlign w:val="center"/>
          </w:tcPr>
          <w:p w14:paraId="7D309991">
            <w:pPr>
              <w:widowControl/>
              <w:jc w:val="left"/>
              <w:rPr>
                <w:rFonts w:eastAsia="宋体" w:cs="宋体"/>
                <w:sz w:val="22"/>
                <w:szCs w:val="22"/>
              </w:rPr>
            </w:pPr>
            <w:r>
              <w:rPr>
                <w:rFonts w:hint="eastAsia" w:eastAsia="宋体" w:cs="宋体"/>
                <w:sz w:val="22"/>
                <w:szCs w:val="22"/>
              </w:rPr>
              <w:t>50元以上/次</w:t>
            </w:r>
          </w:p>
        </w:tc>
      </w:tr>
      <w:tr w14:paraId="202B903F">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61E6A7C">
            <w:pPr>
              <w:widowControl/>
              <w:jc w:val="center"/>
              <w:rPr>
                <w:rFonts w:eastAsia="宋体" w:cs="宋体"/>
                <w:sz w:val="22"/>
                <w:szCs w:val="22"/>
              </w:rPr>
            </w:pPr>
            <w:r>
              <w:rPr>
                <w:rFonts w:hint="eastAsia" w:eastAsia="宋体" w:cs="宋体"/>
                <w:sz w:val="22"/>
                <w:szCs w:val="22"/>
              </w:rPr>
              <w:t>25</w:t>
            </w:r>
          </w:p>
        </w:tc>
        <w:tc>
          <w:tcPr>
            <w:tcW w:w="3433" w:type="dxa"/>
            <w:tcBorders>
              <w:top w:val="nil"/>
              <w:left w:val="nil"/>
              <w:bottom w:val="single" w:color="auto" w:sz="4" w:space="0"/>
              <w:right w:val="single" w:color="auto" w:sz="4" w:space="0"/>
            </w:tcBorders>
            <w:shd w:val="clear" w:color="auto" w:fill="auto"/>
            <w:vAlign w:val="center"/>
          </w:tcPr>
          <w:p w14:paraId="7EA6FD00">
            <w:pPr>
              <w:widowControl/>
              <w:jc w:val="left"/>
              <w:rPr>
                <w:rFonts w:eastAsia="宋体" w:cs="宋体"/>
                <w:sz w:val="22"/>
                <w:szCs w:val="22"/>
              </w:rPr>
            </w:pPr>
            <w:r>
              <w:rPr>
                <w:rFonts w:hint="eastAsia" w:eastAsia="宋体" w:cs="宋体"/>
                <w:sz w:val="22"/>
                <w:szCs w:val="22"/>
              </w:rPr>
              <w:t>食品及原材料不得和非食品及有害物质共同存放</w:t>
            </w:r>
          </w:p>
        </w:tc>
        <w:tc>
          <w:tcPr>
            <w:tcW w:w="2436" w:type="dxa"/>
            <w:tcBorders>
              <w:top w:val="nil"/>
              <w:left w:val="nil"/>
              <w:bottom w:val="single" w:color="auto" w:sz="4" w:space="0"/>
              <w:right w:val="single" w:color="auto" w:sz="4" w:space="0"/>
            </w:tcBorders>
            <w:shd w:val="clear" w:color="auto" w:fill="auto"/>
            <w:vAlign w:val="center"/>
          </w:tcPr>
          <w:p w14:paraId="08EBBDF3">
            <w:pPr>
              <w:widowControl/>
              <w:jc w:val="left"/>
              <w:rPr>
                <w:rFonts w:eastAsia="宋体" w:cs="宋体"/>
                <w:sz w:val="22"/>
                <w:szCs w:val="22"/>
              </w:rPr>
            </w:pPr>
            <w:r>
              <w:rPr>
                <w:rFonts w:hint="eastAsia" w:eastAsia="宋体" w:cs="宋体"/>
                <w:sz w:val="22"/>
                <w:szCs w:val="22"/>
              </w:rPr>
              <w:t>50元以上/次</w:t>
            </w:r>
          </w:p>
        </w:tc>
      </w:tr>
      <w:tr w14:paraId="636E157A">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D476B5D">
            <w:pPr>
              <w:widowControl/>
              <w:jc w:val="center"/>
              <w:rPr>
                <w:rFonts w:eastAsia="宋体" w:cs="宋体"/>
                <w:sz w:val="22"/>
                <w:szCs w:val="22"/>
              </w:rPr>
            </w:pPr>
            <w:r>
              <w:rPr>
                <w:rFonts w:hint="eastAsia" w:eastAsia="宋体" w:cs="宋体"/>
                <w:sz w:val="22"/>
                <w:szCs w:val="22"/>
              </w:rPr>
              <w:t>26</w:t>
            </w:r>
          </w:p>
        </w:tc>
        <w:tc>
          <w:tcPr>
            <w:tcW w:w="3433" w:type="dxa"/>
            <w:tcBorders>
              <w:top w:val="nil"/>
              <w:left w:val="nil"/>
              <w:bottom w:val="single" w:color="auto" w:sz="4" w:space="0"/>
              <w:right w:val="single" w:color="auto" w:sz="4" w:space="0"/>
            </w:tcBorders>
            <w:shd w:val="clear" w:color="auto" w:fill="auto"/>
            <w:vAlign w:val="center"/>
          </w:tcPr>
          <w:p w14:paraId="72D6E3B7">
            <w:pPr>
              <w:widowControl/>
              <w:jc w:val="left"/>
              <w:rPr>
                <w:rFonts w:eastAsia="宋体" w:cs="宋体"/>
                <w:sz w:val="22"/>
                <w:szCs w:val="22"/>
              </w:rPr>
            </w:pPr>
            <w:r>
              <w:rPr>
                <w:rFonts w:hint="eastAsia" w:eastAsia="宋体" w:cs="宋体"/>
                <w:sz w:val="22"/>
                <w:szCs w:val="22"/>
              </w:rPr>
              <w:t>各类食品及原材料应分类分开摆放，注明标签</w:t>
            </w:r>
          </w:p>
        </w:tc>
        <w:tc>
          <w:tcPr>
            <w:tcW w:w="2436" w:type="dxa"/>
            <w:tcBorders>
              <w:top w:val="nil"/>
              <w:left w:val="nil"/>
              <w:bottom w:val="single" w:color="auto" w:sz="4" w:space="0"/>
              <w:right w:val="single" w:color="auto" w:sz="4" w:space="0"/>
            </w:tcBorders>
            <w:shd w:val="clear" w:color="auto" w:fill="auto"/>
            <w:vAlign w:val="center"/>
          </w:tcPr>
          <w:p w14:paraId="010DFEC4">
            <w:pPr>
              <w:widowControl/>
              <w:jc w:val="left"/>
              <w:rPr>
                <w:rFonts w:eastAsia="宋体" w:cs="宋体"/>
                <w:sz w:val="22"/>
                <w:szCs w:val="22"/>
              </w:rPr>
            </w:pPr>
            <w:r>
              <w:rPr>
                <w:rFonts w:hint="eastAsia" w:eastAsia="宋体" w:cs="宋体"/>
                <w:sz w:val="22"/>
                <w:szCs w:val="22"/>
              </w:rPr>
              <w:t>50元以上/次</w:t>
            </w:r>
          </w:p>
        </w:tc>
      </w:tr>
      <w:tr w14:paraId="259F2CBD">
        <w:tblPrEx>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0748939">
            <w:pPr>
              <w:widowControl/>
              <w:jc w:val="center"/>
              <w:rPr>
                <w:rFonts w:eastAsia="宋体" w:cs="宋体"/>
                <w:sz w:val="22"/>
                <w:szCs w:val="22"/>
              </w:rPr>
            </w:pPr>
            <w:r>
              <w:rPr>
                <w:rFonts w:hint="eastAsia" w:eastAsia="宋体" w:cs="宋体"/>
                <w:sz w:val="22"/>
                <w:szCs w:val="22"/>
              </w:rPr>
              <w:t>27</w:t>
            </w:r>
          </w:p>
        </w:tc>
        <w:tc>
          <w:tcPr>
            <w:tcW w:w="3433" w:type="dxa"/>
            <w:tcBorders>
              <w:top w:val="nil"/>
              <w:left w:val="nil"/>
              <w:bottom w:val="single" w:color="auto" w:sz="4" w:space="0"/>
              <w:right w:val="single" w:color="auto" w:sz="4" w:space="0"/>
            </w:tcBorders>
            <w:shd w:val="clear" w:color="auto" w:fill="auto"/>
            <w:vAlign w:val="center"/>
          </w:tcPr>
          <w:p w14:paraId="558EF305">
            <w:pPr>
              <w:widowControl/>
              <w:jc w:val="left"/>
              <w:rPr>
                <w:rFonts w:eastAsia="宋体" w:cs="宋体"/>
                <w:sz w:val="22"/>
                <w:szCs w:val="22"/>
              </w:rPr>
            </w:pPr>
            <w:r>
              <w:rPr>
                <w:rFonts w:hint="eastAsia" w:eastAsia="宋体" w:cs="宋体"/>
                <w:sz w:val="22"/>
                <w:szCs w:val="22"/>
              </w:rPr>
              <w:t>食品原材料做到离地面10厘米，离墙面15厘米存放于货柜或货架上</w:t>
            </w:r>
          </w:p>
        </w:tc>
        <w:tc>
          <w:tcPr>
            <w:tcW w:w="2436" w:type="dxa"/>
            <w:tcBorders>
              <w:top w:val="nil"/>
              <w:left w:val="nil"/>
              <w:bottom w:val="single" w:color="auto" w:sz="4" w:space="0"/>
              <w:right w:val="single" w:color="auto" w:sz="4" w:space="0"/>
            </w:tcBorders>
            <w:shd w:val="clear" w:color="auto" w:fill="auto"/>
            <w:vAlign w:val="center"/>
          </w:tcPr>
          <w:p w14:paraId="19DED2F3">
            <w:pPr>
              <w:widowControl/>
              <w:jc w:val="left"/>
              <w:rPr>
                <w:rFonts w:eastAsia="宋体" w:cs="宋体"/>
                <w:sz w:val="22"/>
                <w:szCs w:val="22"/>
              </w:rPr>
            </w:pPr>
            <w:r>
              <w:rPr>
                <w:rFonts w:hint="eastAsia" w:eastAsia="宋体" w:cs="宋体"/>
                <w:sz w:val="22"/>
                <w:szCs w:val="22"/>
              </w:rPr>
              <w:t>50元以上/次</w:t>
            </w:r>
          </w:p>
        </w:tc>
      </w:tr>
      <w:tr w14:paraId="7DD96420">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3004C47">
            <w:pPr>
              <w:widowControl/>
              <w:jc w:val="center"/>
              <w:rPr>
                <w:rFonts w:eastAsia="宋体" w:cs="宋体"/>
                <w:sz w:val="22"/>
                <w:szCs w:val="22"/>
              </w:rPr>
            </w:pPr>
            <w:r>
              <w:rPr>
                <w:rFonts w:hint="eastAsia" w:eastAsia="宋体" w:cs="宋体"/>
                <w:sz w:val="22"/>
                <w:szCs w:val="22"/>
              </w:rPr>
              <w:t>28</w:t>
            </w:r>
          </w:p>
        </w:tc>
        <w:tc>
          <w:tcPr>
            <w:tcW w:w="3433" w:type="dxa"/>
            <w:tcBorders>
              <w:top w:val="nil"/>
              <w:left w:val="nil"/>
              <w:bottom w:val="single" w:color="auto" w:sz="4" w:space="0"/>
              <w:right w:val="single" w:color="auto" w:sz="4" w:space="0"/>
            </w:tcBorders>
            <w:shd w:val="clear" w:color="auto" w:fill="auto"/>
            <w:vAlign w:val="center"/>
          </w:tcPr>
          <w:p w14:paraId="36087415">
            <w:pPr>
              <w:widowControl/>
              <w:jc w:val="left"/>
              <w:rPr>
                <w:rFonts w:eastAsia="宋体" w:cs="宋体"/>
                <w:sz w:val="22"/>
                <w:szCs w:val="22"/>
              </w:rPr>
            </w:pPr>
            <w:r>
              <w:rPr>
                <w:rFonts w:hint="eastAsia" w:eastAsia="宋体" w:cs="宋体"/>
                <w:sz w:val="22"/>
                <w:szCs w:val="22"/>
              </w:rPr>
              <w:t>散装食品盛装于容器内，加盖密封并张贴标识</w:t>
            </w:r>
          </w:p>
        </w:tc>
        <w:tc>
          <w:tcPr>
            <w:tcW w:w="2436" w:type="dxa"/>
            <w:tcBorders>
              <w:top w:val="nil"/>
              <w:left w:val="nil"/>
              <w:bottom w:val="single" w:color="auto" w:sz="4" w:space="0"/>
              <w:right w:val="single" w:color="auto" w:sz="4" w:space="0"/>
            </w:tcBorders>
            <w:shd w:val="clear" w:color="auto" w:fill="auto"/>
            <w:vAlign w:val="center"/>
          </w:tcPr>
          <w:p w14:paraId="2D0A7A06">
            <w:pPr>
              <w:widowControl/>
              <w:jc w:val="left"/>
              <w:rPr>
                <w:rFonts w:eastAsia="宋体" w:cs="宋体"/>
                <w:sz w:val="22"/>
                <w:szCs w:val="22"/>
              </w:rPr>
            </w:pPr>
            <w:r>
              <w:rPr>
                <w:rFonts w:hint="eastAsia" w:eastAsia="宋体" w:cs="宋体"/>
                <w:sz w:val="22"/>
                <w:szCs w:val="22"/>
              </w:rPr>
              <w:t>50元以上/次</w:t>
            </w:r>
          </w:p>
        </w:tc>
      </w:tr>
      <w:tr w14:paraId="29166554">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7C56F696">
            <w:pPr>
              <w:widowControl/>
              <w:jc w:val="center"/>
              <w:rPr>
                <w:rFonts w:eastAsia="宋体" w:cs="宋体"/>
                <w:sz w:val="22"/>
                <w:szCs w:val="22"/>
              </w:rPr>
            </w:pPr>
            <w:r>
              <w:rPr>
                <w:rFonts w:hint="eastAsia" w:eastAsia="宋体" w:cs="宋体"/>
                <w:sz w:val="22"/>
                <w:szCs w:val="22"/>
              </w:rPr>
              <w:t>29</w:t>
            </w:r>
          </w:p>
        </w:tc>
        <w:tc>
          <w:tcPr>
            <w:tcW w:w="3433" w:type="dxa"/>
            <w:tcBorders>
              <w:top w:val="nil"/>
              <w:left w:val="nil"/>
              <w:bottom w:val="single" w:color="auto" w:sz="4" w:space="0"/>
              <w:right w:val="single" w:color="auto" w:sz="4" w:space="0"/>
            </w:tcBorders>
            <w:shd w:val="clear" w:color="auto" w:fill="auto"/>
            <w:vAlign w:val="center"/>
          </w:tcPr>
          <w:p w14:paraId="50D6DE56">
            <w:pPr>
              <w:widowControl/>
              <w:jc w:val="left"/>
              <w:rPr>
                <w:rFonts w:eastAsia="宋体" w:cs="宋体"/>
                <w:sz w:val="22"/>
                <w:szCs w:val="22"/>
              </w:rPr>
            </w:pPr>
            <w:r>
              <w:rPr>
                <w:rFonts w:hint="eastAsia" w:eastAsia="宋体" w:cs="宋体"/>
                <w:sz w:val="22"/>
                <w:szCs w:val="22"/>
              </w:rPr>
              <w:t>建立健全采购、验收、入库、发放登记记录</w:t>
            </w:r>
          </w:p>
        </w:tc>
        <w:tc>
          <w:tcPr>
            <w:tcW w:w="2436" w:type="dxa"/>
            <w:tcBorders>
              <w:top w:val="nil"/>
              <w:left w:val="nil"/>
              <w:bottom w:val="single" w:color="auto" w:sz="4" w:space="0"/>
              <w:right w:val="single" w:color="auto" w:sz="4" w:space="0"/>
            </w:tcBorders>
            <w:shd w:val="clear" w:color="auto" w:fill="auto"/>
            <w:vAlign w:val="center"/>
          </w:tcPr>
          <w:p w14:paraId="4ACED36F">
            <w:pPr>
              <w:widowControl/>
              <w:jc w:val="left"/>
              <w:rPr>
                <w:rFonts w:eastAsia="宋体" w:cs="宋体"/>
                <w:sz w:val="22"/>
                <w:szCs w:val="22"/>
              </w:rPr>
            </w:pPr>
            <w:r>
              <w:rPr>
                <w:rFonts w:hint="eastAsia" w:eastAsia="宋体" w:cs="宋体"/>
                <w:sz w:val="22"/>
                <w:szCs w:val="22"/>
              </w:rPr>
              <w:t>50元以上/每单项</w:t>
            </w:r>
          </w:p>
        </w:tc>
      </w:tr>
      <w:tr w14:paraId="05EB551F">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BBB1578">
            <w:pPr>
              <w:widowControl/>
              <w:jc w:val="center"/>
              <w:rPr>
                <w:rFonts w:eastAsia="宋体" w:cs="宋体"/>
                <w:sz w:val="22"/>
                <w:szCs w:val="22"/>
              </w:rPr>
            </w:pPr>
            <w:r>
              <w:rPr>
                <w:rFonts w:hint="eastAsia" w:eastAsia="宋体" w:cs="宋体"/>
                <w:sz w:val="22"/>
                <w:szCs w:val="22"/>
              </w:rPr>
              <w:t>30</w:t>
            </w:r>
          </w:p>
        </w:tc>
        <w:tc>
          <w:tcPr>
            <w:tcW w:w="3433" w:type="dxa"/>
            <w:tcBorders>
              <w:top w:val="nil"/>
              <w:left w:val="nil"/>
              <w:bottom w:val="single" w:color="auto" w:sz="4" w:space="0"/>
              <w:right w:val="single" w:color="auto" w:sz="4" w:space="0"/>
            </w:tcBorders>
            <w:shd w:val="clear" w:color="auto" w:fill="auto"/>
            <w:vAlign w:val="center"/>
          </w:tcPr>
          <w:p w14:paraId="73B8572C">
            <w:pPr>
              <w:widowControl/>
              <w:jc w:val="left"/>
              <w:rPr>
                <w:rFonts w:eastAsia="宋体" w:cs="宋体"/>
                <w:sz w:val="22"/>
                <w:szCs w:val="22"/>
              </w:rPr>
            </w:pPr>
            <w:r>
              <w:rPr>
                <w:rFonts w:hint="eastAsia" w:eastAsia="宋体" w:cs="宋体"/>
                <w:sz w:val="22"/>
                <w:szCs w:val="22"/>
              </w:rPr>
              <w:t>每月定期培训员工一次，并做好记录。</w:t>
            </w:r>
          </w:p>
        </w:tc>
        <w:tc>
          <w:tcPr>
            <w:tcW w:w="2436" w:type="dxa"/>
            <w:tcBorders>
              <w:top w:val="nil"/>
              <w:left w:val="nil"/>
              <w:bottom w:val="single" w:color="auto" w:sz="4" w:space="0"/>
              <w:right w:val="single" w:color="auto" w:sz="4" w:space="0"/>
            </w:tcBorders>
            <w:shd w:val="clear" w:color="auto" w:fill="auto"/>
            <w:vAlign w:val="center"/>
          </w:tcPr>
          <w:p w14:paraId="1B63D27D">
            <w:pPr>
              <w:widowControl/>
              <w:jc w:val="left"/>
              <w:rPr>
                <w:rFonts w:eastAsia="宋体" w:cs="宋体"/>
                <w:sz w:val="22"/>
                <w:szCs w:val="22"/>
              </w:rPr>
            </w:pPr>
            <w:r>
              <w:rPr>
                <w:rFonts w:hint="eastAsia" w:eastAsia="宋体" w:cs="宋体"/>
                <w:sz w:val="22"/>
                <w:szCs w:val="22"/>
              </w:rPr>
              <w:t>100元以上/次</w:t>
            </w:r>
          </w:p>
        </w:tc>
      </w:tr>
      <w:tr w14:paraId="545EC8FF">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6C9B287">
            <w:pPr>
              <w:widowControl/>
              <w:jc w:val="center"/>
              <w:rPr>
                <w:rFonts w:eastAsia="宋体" w:cs="宋体"/>
                <w:sz w:val="22"/>
                <w:szCs w:val="22"/>
              </w:rPr>
            </w:pPr>
            <w:r>
              <w:rPr>
                <w:rFonts w:hint="eastAsia" w:eastAsia="宋体" w:cs="宋体"/>
                <w:sz w:val="22"/>
                <w:szCs w:val="22"/>
              </w:rPr>
              <w:t>31</w:t>
            </w:r>
          </w:p>
        </w:tc>
        <w:tc>
          <w:tcPr>
            <w:tcW w:w="3433" w:type="dxa"/>
            <w:tcBorders>
              <w:top w:val="nil"/>
              <w:left w:val="nil"/>
              <w:bottom w:val="single" w:color="auto" w:sz="4" w:space="0"/>
              <w:right w:val="single" w:color="auto" w:sz="4" w:space="0"/>
            </w:tcBorders>
            <w:shd w:val="clear" w:color="auto" w:fill="auto"/>
            <w:vAlign w:val="center"/>
          </w:tcPr>
          <w:p w14:paraId="5204BB43">
            <w:pPr>
              <w:widowControl/>
              <w:jc w:val="left"/>
              <w:rPr>
                <w:rFonts w:eastAsia="宋体" w:cs="宋体"/>
                <w:sz w:val="22"/>
                <w:szCs w:val="22"/>
              </w:rPr>
            </w:pPr>
            <w:r>
              <w:rPr>
                <w:rFonts w:hint="eastAsia" w:eastAsia="宋体" w:cs="宋体"/>
                <w:sz w:val="22"/>
                <w:szCs w:val="22"/>
              </w:rPr>
              <w:t>坚持食品留样，并按规范做好记录和标识。</w:t>
            </w:r>
          </w:p>
        </w:tc>
        <w:tc>
          <w:tcPr>
            <w:tcW w:w="2436" w:type="dxa"/>
            <w:tcBorders>
              <w:top w:val="nil"/>
              <w:left w:val="nil"/>
              <w:bottom w:val="single" w:color="auto" w:sz="4" w:space="0"/>
              <w:right w:val="single" w:color="auto" w:sz="4" w:space="0"/>
            </w:tcBorders>
            <w:shd w:val="clear" w:color="auto" w:fill="auto"/>
            <w:vAlign w:val="center"/>
          </w:tcPr>
          <w:p w14:paraId="5A72D22F">
            <w:pPr>
              <w:widowControl/>
              <w:jc w:val="left"/>
              <w:rPr>
                <w:rFonts w:eastAsia="宋体" w:cs="宋体"/>
                <w:sz w:val="22"/>
                <w:szCs w:val="22"/>
              </w:rPr>
            </w:pPr>
            <w:r>
              <w:rPr>
                <w:rFonts w:hint="eastAsia" w:eastAsia="宋体" w:cs="宋体"/>
                <w:sz w:val="22"/>
                <w:szCs w:val="22"/>
              </w:rPr>
              <w:t>50元以上/次</w:t>
            </w:r>
          </w:p>
        </w:tc>
      </w:tr>
      <w:tr w14:paraId="51EC96A3">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2684943">
            <w:pPr>
              <w:widowControl/>
              <w:jc w:val="center"/>
              <w:rPr>
                <w:rFonts w:eastAsia="宋体" w:cs="宋体"/>
                <w:sz w:val="22"/>
                <w:szCs w:val="22"/>
              </w:rPr>
            </w:pPr>
            <w:r>
              <w:rPr>
                <w:rFonts w:hint="eastAsia" w:eastAsia="宋体" w:cs="宋体"/>
                <w:sz w:val="22"/>
                <w:szCs w:val="22"/>
              </w:rPr>
              <w:t>32</w:t>
            </w:r>
          </w:p>
        </w:tc>
        <w:tc>
          <w:tcPr>
            <w:tcW w:w="3433" w:type="dxa"/>
            <w:tcBorders>
              <w:top w:val="nil"/>
              <w:left w:val="nil"/>
              <w:bottom w:val="single" w:color="auto" w:sz="4" w:space="0"/>
              <w:right w:val="single" w:color="auto" w:sz="4" w:space="0"/>
            </w:tcBorders>
            <w:shd w:val="clear" w:color="auto" w:fill="auto"/>
            <w:vAlign w:val="center"/>
          </w:tcPr>
          <w:p w14:paraId="43B53B8F">
            <w:pPr>
              <w:widowControl/>
              <w:jc w:val="left"/>
              <w:rPr>
                <w:rFonts w:eastAsia="宋体" w:cs="宋体"/>
                <w:sz w:val="22"/>
                <w:szCs w:val="22"/>
              </w:rPr>
            </w:pPr>
            <w:r>
              <w:rPr>
                <w:rFonts w:hint="eastAsia" w:eastAsia="宋体" w:cs="宋体"/>
                <w:sz w:val="22"/>
                <w:szCs w:val="22"/>
              </w:rPr>
              <w:t>供给职工，学生，病员及陪伴的用餐，毛利率控制在30%左右</w:t>
            </w:r>
          </w:p>
        </w:tc>
        <w:tc>
          <w:tcPr>
            <w:tcW w:w="2436" w:type="dxa"/>
            <w:tcBorders>
              <w:top w:val="nil"/>
              <w:left w:val="nil"/>
              <w:bottom w:val="single" w:color="auto" w:sz="4" w:space="0"/>
              <w:right w:val="single" w:color="auto" w:sz="4" w:space="0"/>
            </w:tcBorders>
            <w:shd w:val="clear" w:color="auto" w:fill="auto"/>
            <w:vAlign w:val="center"/>
          </w:tcPr>
          <w:p w14:paraId="172D1B9E">
            <w:pPr>
              <w:widowControl/>
              <w:jc w:val="left"/>
              <w:rPr>
                <w:rFonts w:eastAsia="宋体" w:cs="宋体"/>
                <w:sz w:val="22"/>
                <w:szCs w:val="22"/>
              </w:rPr>
            </w:pPr>
            <w:r>
              <w:rPr>
                <w:rFonts w:hint="eastAsia" w:eastAsia="宋体" w:cs="宋体"/>
                <w:sz w:val="22"/>
                <w:szCs w:val="22"/>
              </w:rPr>
              <w:t>每月按照该毛利率制作样品菜。</w:t>
            </w:r>
          </w:p>
        </w:tc>
      </w:tr>
      <w:tr w14:paraId="66EA8D77">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7EA4B63">
            <w:pPr>
              <w:widowControl/>
              <w:jc w:val="center"/>
              <w:rPr>
                <w:rFonts w:eastAsia="宋体" w:cs="宋体"/>
                <w:sz w:val="22"/>
                <w:szCs w:val="22"/>
              </w:rPr>
            </w:pPr>
            <w:r>
              <w:rPr>
                <w:rFonts w:hint="eastAsia" w:eastAsia="宋体" w:cs="宋体"/>
                <w:sz w:val="22"/>
                <w:szCs w:val="22"/>
              </w:rPr>
              <w:t>33</w:t>
            </w:r>
          </w:p>
        </w:tc>
        <w:tc>
          <w:tcPr>
            <w:tcW w:w="3433" w:type="dxa"/>
            <w:tcBorders>
              <w:top w:val="nil"/>
              <w:left w:val="nil"/>
              <w:bottom w:val="single" w:color="auto" w:sz="4" w:space="0"/>
              <w:right w:val="single" w:color="auto" w:sz="4" w:space="0"/>
            </w:tcBorders>
            <w:shd w:val="clear" w:color="auto" w:fill="auto"/>
            <w:vAlign w:val="center"/>
          </w:tcPr>
          <w:p w14:paraId="54314C52">
            <w:pPr>
              <w:widowControl/>
              <w:jc w:val="left"/>
              <w:rPr>
                <w:rFonts w:eastAsia="宋体" w:cs="宋体"/>
                <w:sz w:val="22"/>
                <w:szCs w:val="22"/>
              </w:rPr>
            </w:pPr>
            <w:r>
              <w:rPr>
                <w:rFonts w:hint="eastAsia" w:eastAsia="宋体" w:cs="宋体"/>
                <w:sz w:val="22"/>
                <w:szCs w:val="22"/>
              </w:rPr>
              <w:t>所有从业人员必须提供健康检查单和办理健康证。</w:t>
            </w:r>
          </w:p>
        </w:tc>
        <w:tc>
          <w:tcPr>
            <w:tcW w:w="2436" w:type="dxa"/>
            <w:tcBorders>
              <w:top w:val="nil"/>
              <w:left w:val="nil"/>
              <w:bottom w:val="single" w:color="auto" w:sz="4" w:space="0"/>
              <w:right w:val="single" w:color="auto" w:sz="4" w:space="0"/>
            </w:tcBorders>
            <w:shd w:val="clear" w:color="auto" w:fill="auto"/>
            <w:vAlign w:val="center"/>
          </w:tcPr>
          <w:p w14:paraId="33921033">
            <w:pPr>
              <w:widowControl/>
              <w:jc w:val="left"/>
              <w:rPr>
                <w:rFonts w:eastAsia="宋体" w:cs="宋体"/>
                <w:sz w:val="22"/>
                <w:szCs w:val="22"/>
              </w:rPr>
            </w:pPr>
            <w:r>
              <w:rPr>
                <w:rFonts w:hint="eastAsia" w:eastAsia="宋体" w:cs="宋体"/>
                <w:sz w:val="22"/>
                <w:szCs w:val="22"/>
              </w:rPr>
              <w:t>50元以上/人次</w:t>
            </w:r>
          </w:p>
        </w:tc>
      </w:tr>
      <w:tr w14:paraId="2AE39963">
        <w:tblPrEx>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9F8C449">
            <w:pPr>
              <w:widowControl/>
              <w:jc w:val="center"/>
              <w:rPr>
                <w:rFonts w:eastAsia="宋体" w:cs="宋体"/>
                <w:sz w:val="22"/>
                <w:szCs w:val="22"/>
              </w:rPr>
            </w:pPr>
            <w:r>
              <w:rPr>
                <w:rFonts w:hint="eastAsia" w:eastAsia="宋体" w:cs="宋体"/>
                <w:sz w:val="22"/>
                <w:szCs w:val="22"/>
              </w:rPr>
              <w:t>34</w:t>
            </w:r>
          </w:p>
        </w:tc>
        <w:tc>
          <w:tcPr>
            <w:tcW w:w="3433" w:type="dxa"/>
            <w:tcBorders>
              <w:top w:val="nil"/>
              <w:left w:val="nil"/>
              <w:bottom w:val="single" w:color="auto" w:sz="4" w:space="0"/>
              <w:right w:val="single" w:color="auto" w:sz="4" w:space="0"/>
            </w:tcBorders>
            <w:shd w:val="clear" w:color="auto" w:fill="auto"/>
            <w:vAlign w:val="center"/>
          </w:tcPr>
          <w:p w14:paraId="5EE17B34">
            <w:pPr>
              <w:widowControl/>
              <w:jc w:val="left"/>
              <w:rPr>
                <w:rFonts w:eastAsia="宋体" w:cs="宋体"/>
                <w:sz w:val="22"/>
                <w:szCs w:val="22"/>
              </w:rPr>
            </w:pPr>
            <w:r>
              <w:rPr>
                <w:rFonts w:hint="eastAsia" w:eastAsia="宋体" w:cs="宋体"/>
                <w:sz w:val="22"/>
                <w:szCs w:val="22"/>
              </w:rPr>
              <w:t>所有从业人员必须经过食品安全培训合格，并在后勤保障科备案后方可上岗</w:t>
            </w:r>
          </w:p>
        </w:tc>
        <w:tc>
          <w:tcPr>
            <w:tcW w:w="2436" w:type="dxa"/>
            <w:tcBorders>
              <w:top w:val="nil"/>
              <w:left w:val="nil"/>
              <w:bottom w:val="single" w:color="auto" w:sz="4" w:space="0"/>
              <w:right w:val="single" w:color="auto" w:sz="4" w:space="0"/>
            </w:tcBorders>
            <w:shd w:val="clear" w:color="auto" w:fill="auto"/>
            <w:vAlign w:val="center"/>
          </w:tcPr>
          <w:p w14:paraId="38602ADB">
            <w:pPr>
              <w:widowControl/>
              <w:jc w:val="left"/>
              <w:rPr>
                <w:rFonts w:eastAsia="宋体" w:cs="宋体"/>
                <w:sz w:val="22"/>
                <w:szCs w:val="22"/>
              </w:rPr>
            </w:pPr>
            <w:r>
              <w:rPr>
                <w:rFonts w:hint="eastAsia" w:eastAsia="宋体" w:cs="宋体"/>
                <w:sz w:val="22"/>
                <w:szCs w:val="22"/>
              </w:rPr>
              <w:t>50元以上/人次</w:t>
            </w:r>
          </w:p>
        </w:tc>
      </w:tr>
      <w:tr w14:paraId="71576C3E">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B1EF668">
            <w:pPr>
              <w:widowControl/>
              <w:jc w:val="center"/>
              <w:rPr>
                <w:rFonts w:eastAsia="宋体" w:cs="宋体"/>
                <w:sz w:val="22"/>
                <w:szCs w:val="22"/>
              </w:rPr>
            </w:pPr>
            <w:r>
              <w:rPr>
                <w:rFonts w:hint="eastAsia" w:eastAsia="宋体" w:cs="宋体"/>
                <w:sz w:val="22"/>
                <w:szCs w:val="22"/>
              </w:rPr>
              <w:t>35</w:t>
            </w:r>
          </w:p>
        </w:tc>
        <w:tc>
          <w:tcPr>
            <w:tcW w:w="3433" w:type="dxa"/>
            <w:tcBorders>
              <w:top w:val="nil"/>
              <w:left w:val="nil"/>
              <w:bottom w:val="single" w:color="auto" w:sz="4" w:space="0"/>
              <w:right w:val="single" w:color="auto" w:sz="4" w:space="0"/>
            </w:tcBorders>
            <w:shd w:val="clear" w:color="auto" w:fill="auto"/>
            <w:vAlign w:val="center"/>
          </w:tcPr>
          <w:p w14:paraId="68FD1A85">
            <w:pPr>
              <w:widowControl/>
              <w:jc w:val="left"/>
              <w:rPr>
                <w:rFonts w:eastAsia="宋体" w:cs="宋体"/>
                <w:sz w:val="22"/>
                <w:szCs w:val="22"/>
              </w:rPr>
            </w:pPr>
            <w:r>
              <w:rPr>
                <w:rFonts w:hint="eastAsia" w:eastAsia="宋体" w:cs="宋体"/>
                <w:sz w:val="22"/>
                <w:szCs w:val="22"/>
              </w:rPr>
              <w:t>直接从事入口食品的工作人员每年必须体检一次</w:t>
            </w:r>
          </w:p>
        </w:tc>
        <w:tc>
          <w:tcPr>
            <w:tcW w:w="2436" w:type="dxa"/>
            <w:tcBorders>
              <w:top w:val="nil"/>
              <w:left w:val="nil"/>
              <w:bottom w:val="single" w:color="auto" w:sz="4" w:space="0"/>
              <w:right w:val="single" w:color="auto" w:sz="4" w:space="0"/>
            </w:tcBorders>
            <w:shd w:val="clear" w:color="auto" w:fill="auto"/>
            <w:vAlign w:val="center"/>
          </w:tcPr>
          <w:p w14:paraId="3130904B">
            <w:pPr>
              <w:widowControl/>
              <w:jc w:val="left"/>
              <w:rPr>
                <w:rFonts w:eastAsia="宋体" w:cs="宋体"/>
                <w:sz w:val="22"/>
                <w:szCs w:val="22"/>
              </w:rPr>
            </w:pPr>
            <w:r>
              <w:rPr>
                <w:rFonts w:hint="eastAsia" w:eastAsia="宋体" w:cs="宋体"/>
                <w:sz w:val="22"/>
                <w:szCs w:val="22"/>
              </w:rPr>
              <w:t>100元以上/人次</w:t>
            </w:r>
          </w:p>
        </w:tc>
      </w:tr>
      <w:tr w14:paraId="745664FA">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77871E9">
            <w:pPr>
              <w:widowControl/>
              <w:jc w:val="center"/>
              <w:rPr>
                <w:rFonts w:eastAsia="宋体" w:cs="宋体"/>
                <w:sz w:val="22"/>
                <w:szCs w:val="22"/>
              </w:rPr>
            </w:pPr>
            <w:r>
              <w:rPr>
                <w:rFonts w:hint="eastAsia" w:eastAsia="宋体" w:cs="宋体"/>
                <w:sz w:val="22"/>
                <w:szCs w:val="22"/>
              </w:rPr>
              <w:t>36</w:t>
            </w:r>
          </w:p>
        </w:tc>
        <w:tc>
          <w:tcPr>
            <w:tcW w:w="3433" w:type="dxa"/>
            <w:tcBorders>
              <w:top w:val="nil"/>
              <w:left w:val="nil"/>
              <w:bottom w:val="single" w:color="auto" w:sz="4" w:space="0"/>
              <w:right w:val="single" w:color="auto" w:sz="4" w:space="0"/>
            </w:tcBorders>
            <w:shd w:val="clear" w:color="auto" w:fill="auto"/>
            <w:vAlign w:val="center"/>
          </w:tcPr>
          <w:p w14:paraId="1A4225E4">
            <w:pPr>
              <w:widowControl/>
              <w:jc w:val="left"/>
              <w:rPr>
                <w:rFonts w:eastAsia="宋体" w:cs="宋体"/>
                <w:sz w:val="22"/>
                <w:szCs w:val="22"/>
              </w:rPr>
            </w:pPr>
            <w:r>
              <w:rPr>
                <w:rFonts w:hint="eastAsia" w:eastAsia="宋体" w:cs="宋体"/>
                <w:sz w:val="22"/>
                <w:szCs w:val="22"/>
              </w:rPr>
              <w:t>从业人员必须懂得正确的洗手方法《七步洗手法》</w:t>
            </w:r>
          </w:p>
        </w:tc>
        <w:tc>
          <w:tcPr>
            <w:tcW w:w="2436" w:type="dxa"/>
            <w:tcBorders>
              <w:top w:val="nil"/>
              <w:left w:val="nil"/>
              <w:bottom w:val="single" w:color="auto" w:sz="4" w:space="0"/>
              <w:right w:val="single" w:color="auto" w:sz="4" w:space="0"/>
            </w:tcBorders>
            <w:shd w:val="clear" w:color="auto" w:fill="auto"/>
            <w:vAlign w:val="center"/>
          </w:tcPr>
          <w:p w14:paraId="6F7A32BC">
            <w:pPr>
              <w:widowControl/>
              <w:jc w:val="left"/>
              <w:rPr>
                <w:rFonts w:eastAsia="宋体" w:cs="宋体"/>
                <w:sz w:val="22"/>
                <w:szCs w:val="22"/>
              </w:rPr>
            </w:pPr>
            <w:r>
              <w:rPr>
                <w:rFonts w:hint="eastAsia" w:eastAsia="宋体" w:cs="宋体"/>
                <w:sz w:val="22"/>
                <w:szCs w:val="22"/>
              </w:rPr>
              <w:t>培训后如果不按方法做的，10元以上/人次</w:t>
            </w:r>
          </w:p>
        </w:tc>
      </w:tr>
      <w:tr w14:paraId="14A6D294">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F8C53CB">
            <w:pPr>
              <w:widowControl/>
              <w:jc w:val="center"/>
              <w:rPr>
                <w:rFonts w:eastAsia="宋体" w:cs="宋体"/>
                <w:sz w:val="22"/>
                <w:szCs w:val="22"/>
              </w:rPr>
            </w:pPr>
            <w:r>
              <w:rPr>
                <w:rFonts w:hint="eastAsia" w:eastAsia="宋体" w:cs="宋体"/>
                <w:sz w:val="22"/>
                <w:szCs w:val="22"/>
              </w:rPr>
              <w:t>37</w:t>
            </w:r>
          </w:p>
        </w:tc>
        <w:tc>
          <w:tcPr>
            <w:tcW w:w="3433" w:type="dxa"/>
            <w:tcBorders>
              <w:top w:val="nil"/>
              <w:left w:val="nil"/>
              <w:bottom w:val="single" w:color="auto" w:sz="4" w:space="0"/>
              <w:right w:val="single" w:color="auto" w:sz="4" w:space="0"/>
            </w:tcBorders>
            <w:shd w:val="clear" w:color="auto" w:fill="auto"/>
            <w:vAlign w:val="center"/>
          </w:tcPr>
          <w:p w14:paraId="3CC11C96">
            <w:pPr>
              <w:widowControl/>
              <w:jc w:val="left"/>
              <w:rPr>
                <w:rFonts w:eastAsia="宋体" w:cs="宋体"/>
                <w:sz w:val="22"/>
                <w:szCs w:val="22"/>
              </w:rPr>
            </w:pPr>
            <w:r>
              <w:rPr>
                <w:rFonts w:hint="eastAsia" w:eastAsia="宋体" w:cs="宋体"/>
                <w:sz w:val="22"/>
                <w:szCs w:val="22"/>
              </w:rPr>
              <w:t>从业人员不能留过长的指甲、涂指甲油、戴戒指。</w:t>
            </w:r>
          </w:p>
        </w:tc>
        <w:tc>
          <w:tcPr>
            <w:tcW w:w="2436" w:type="dxa"/>
            <w:tcBorders>
              <w:top w:val="nil"/>
              <w:left w:val="nil"/>
              <w:bottom w:val="single" w:color="auto" w:sz="4" w:space="0"/>
              <w:right w:val="single" w:color="auto" w:sz="4" w:space="0"/>
            </w:tcBorders>
            <w:shd w:val="clear" w:color="auto" w:fill="auto"/>
            <w:vAlign w:val="center"/>
          </w:tcPr>
          <w:p w14:paraId="0894C59A">
            <w:pPr>
              <w:widowControl/>
              <w:jc w:val="left"/>
              <w:rPr>
                <w:rFonts w:eastAsia="宋体" w:cs="宋体"/>
                <w:sz w:val="22"/>
                <w:szCs w:val="22"/>
              </w:rPr>
            </w:pPr>
            <w:r>
              <w:rPr>
                <w:rFonts w:hint="eastAsia" w:eastAsia="宋体" w:cs="宋体"/>
                <w:sz w:val="22"/>
                <w:szCs w:val="22"/>
              </w:rPr>
              <w:t>每单指或单项，5元以上/次</w:t>
            </w:r>
          </w:p>
        </w:tc>
      </w:tr>
      <w:tr w14:paraId="79F0F679">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F870D5C">
            <w:pPr>
              <w:widowControl/>
              <w:jc w:val="center"/>
              <w:rPr>
                <w:rFonts w:eastAsia="宋体" w:cs="宋体"/>
                <w:sz w:val="22"/>
                <w:szCs w:val="22"/>
              </w:rPr>
            </w:pPr>
            <w:r>
              <w:rPr>
                <w:rFonts w:hint="eastAsia" w:eastAsia="宋体" w:cs="宋体"/>
                <w:sz w:val="22"/>
                <w:szCs w:val="22"/>
              </w:rPr>
              <w:t>38</w:t>
            </w:r>
          </w:p>
        </w:tc>
        <w:tc>
          <w:tcPr>
            <w:tcW w:w="3433" w:type="dxa"/>
            <w:tcBorders>
              <w:top w:val="nil"/>
              <w:left w:val="nil"/>
              <w:bottom w:val="single" w:color="auto" w:sz="4" w:space="0"/>
              <w:right w:val="single" w:color="auto" w:sz="4" w:space="0"/>
            </w:tcBorders>
            <w:shd w:val="clear" w:color="auto" w:fill="auto"/>
            <w:vAlign w:val="center"/>
          </w:tcPr>
          <w:p w14:paraId="423FF118">
            <w:pPr>
              <w:widowControl/>
              <w:jc w:val="left"/>
              <w:rPr>
                <w:rFonts w:eastAsia="宋体" w:cs="宋体"/>
                <w:sz w:val="22"/>
                <w:szCs w:val="22"/>
              </w:rPr>
            </w:pPr>
            <w:r>
              <w:rPr>
                <w:rFonts w:hint="eastAsia" w:eastAsia="宋体" w:cs="宋体"/>
                <w:sz w:val="22"/>
                <w:szCs w:val="22"/>
              </w:rPr>
              <w:t>便后及做食品无关的活动后，要用流水洗手</w:t>
            </w:r>
          </w:p>
        </w:tc>
        <w:tc>
          <w:tcPr>
            <w:tcW w:w="2436" w:type="dxa"/>
            <w:tcBorders>
              <w:top w:val="nil"/>
              <w:left w:val="nil"/>
              <w:bottom w:val="single" w:color="auto" w:sz="4" w:space="0"/>
              <w:right w:val="single" w:color="auto" w:sz="4" w:space="0"/>
            </w:tcBorders>
            <w:shd w:val="clear" w:color="auto" w:fill="auto"/>
            <w:vAlign w:val="center"/>
          </w:tcPr>
          <w:p w14:paraId="494E8D36">
            <w:pPr>
              <w:widowControl/>
              <w:jc w:val="left"/>
              <w:rPr>
                <w:rFonts w:eastAsia="宋体" w:cs="宋体"/>
                <w:sz w:val="22"/>
                <w:szCs w:val="22"/>
              </w:rPr>
            </w:pPr>
            <w:r>
              <w:rPr>
                <w:rFonts w:hint="eastAsia" w:eastAsia="宋体" w:cs="宋体"/>
                <w:sz w:val="22"/>
                <w:szCs w:val="22"/>
              </w:rPr>
              <w:t>50元以上/人次</w:t>
            </w:r>
          </w:p>
        </w:tc>
      </w:tr>
      <w:tr w14:paraId="174142F4">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2929C109">
            <w:pPr>
              <w:widowControl/>
              <w:jc w:val="center"/>
              <w:rPr>
                <w:rFonts w:eastAsia="宋体" w:cs="宋体"/>
                <w:sz w:val="22"/>
                <w:szCs w:val="22"/>
              </w:rPr>
            </w:pPr>
            <w:r>
              <w:rPr>
                <w:rFonts w:hint="eastAsia" w:eastAsia="宋体" w:cs="宋体"/>
                <w:sz w:val="22"/>
                <w:szCs w:val="22"/>
              </w:rPr>
              <w:t>39</w:t>
            </w:r>
          </w:p>
        </w:tc>
        <w:tc>
          <w:tcPr>
            <w:tcW w:w="3433" w:type="dxa"/>
            <w:tcBorders>
              <w:top w:val="nil"/>
              <w:left w:val="nil"/>
              <w:bottom w:val="single" w:color="auto" w:sz="4" w:space="0"/>
              <w:right w:val="single" w:color="auto" w:sz="4" w:space="0"/>
            </w:tcBorders>
            <w:shd w:val="clear" w:color="auto" w:fill="auto"/>
            <w:vAlign w:val="center"/>
          </w:tcPr>
          <w:p w14:paraId="6CE34E1F">
            <w:pPr>
              <w:widowControl/>
              <w:jc w:val="left"/>
              <w:rPr>
                <w:rFonts w:eastAsia="宋体" w:cs="宋体"/>
                <w:sz w:val="22"/>
                <w:szCs w:val="22"/>
              </w:rPr>
            </w:pPr>
            <w:r>
              <w:rPr>
                <w:rFonts w:hint="eastAsia" w:eastAsia="宋体" w:cs="宋体"/>
                <w:sz w:val="22"/>
                <w:szCs w:val="22"/>
              </w:rPr>
              <w:t>不得在工作区域吸烟，随地吐痰</w:t>
            </w:r>
          </w:p>
        </w:tc>
        <w:tc>
          <w:tcPr>
            <w:tcW w:w="2436" w:type="dxa"/>
            <w:tcBorders>
              <w:top w:val="nil"/>
              <w:left w:val="nil"/>
              <w:bottom w:val="single" w:color="auto" w:sz="4" w:space="0"/>
              <w:right w:val="single" w:color="auto" w:sz="4" w:space="0"/>
            </w:tcBorders>
            <w:shd w:val="clear" w:color="auto" w:fill="auto"/>
            <w:vAlign w:val="center"/>
          </w:tcPr>
          <w:p w14:paraId="509ABB1E">
            <w:pPr>
              <w:widowControl/>
              <w:jc w:val="left"/>
              <w:rPr>
                <w:rFonts w:eastAsia="宋体" w:cs="宋体"/>
                <w:sz w:val="22"/>
                <w:szCs w:val="22"/>
              </w:rPr>
            </w:pPr>
            <w:r>
              <w:rPr>
                <w:rFonts w:hint="eastAsia" w:eastAsia="宋体" w:cs="宋体"/>
                <w:sz w:val="22"/>
                <w:szCs w:val="22"/>
              </w:rPr>
              <w:t>每单项50元以上/次</w:t>
            </w:r>
          </w:p>
        </w:tc>
      </w:tr>
      <w:tr w14:paraId="728CC151">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ED92744">
            <w:pPr>
              <w:widowControl/>
              <w:jc w:val="center"/>
              <w:rPr>
                <w:rFonts w:eastAsia="宋体" w:cs="宋体"/>
                <w:sz w:val="22"/>
                <w:szCs w:val="22"/>
              </w:rPr>
            </w:pPr>
            <w:r>
              <w:rPr>
                <w:rFonts w:hint="eastAsia" w:eastAsia="宋体" w:cs="宋体"/>
                <w:sz w:val="22"/>
                <w:szCs w:val="22"/>
              </w:rPr>
              <w:t>40</w:t>
            </w:r>
          </w:p>
        </w:tc>
        <w:tc>
          <w:tcPr>
            <w:tcW w:w="3433" w:type="dxa"/>
            <w:tcBorders>
              <w:top w:val="nil"/>
              <w:left w:val="nil"/>
              <w:bottom w:val="single" w:color="auto" w:sz="4" w:space="0"/>
              <w:right w:val="single" w:color="auto" w:sz="4" w:space="0"/>
            </w:tcBorders>
            <w:shd w:val="clear" w:color="auto" w:fill="auto"/>
            <w:vAlign w:val="center"/>
          </w:tcPr>
          <w:p w14:paraId="5F3DB1CE">
            <w:pPr>
              <w:widowControl/>
              <w:jc w:val="left"/>
              <w:rPr>
                <w:rFonts w:eastAsia="宋体" w:cs="宋体"/>
                <w:sz w:val="22"/>
                <w:szCs w:val="22"/>
              </w:rPr>
            </w:pPr>
            <w:r>
              <w:rPr>
                <w:rFonts w:hint="eastAsia" w:eastAsia="宋体" w:cs="宋体"/>
                <w:sz w:val="22"/>
                <w:szCs w:val="22"/>
              </w:rPr>
              <w:t>不得穿工作服入厕</w:t>
            </w:r>
          </w:p>
        </w:tc>
        <w:tc>
          <w:tcPr>
            <w:tcW w:w="2436" w:type="dxa"/>
            <w:tcBorders>
              <w:top w:val="nil"/>
              <w:left w:val="nil"/>
              <w:bottom w:val="single" w:color="auto" w:sz="4" w:space="0"/>
              <w:right w:val="single" w:color="auto" w:sz="4" w:space="0"/>
            </w:tcBorders>
            <w:shd w:val="clear" w:color="auto" w:fill="auto"/>
            <w:vAlign w:val="center"/>
          </w:tcPr>
          <w:p w14:paraId="16EBC494">
            <w:pPr>
              <w:widowControl/>
              <w:jc w:val="left"/>
              <w:rPr>
                <w:rFonts w:eastAsia="宋体" w:cs="宋体"/>
                <w:sz w:val="22"/>
                <w:szCs w:val="22"/>
              </w:rPr>
            </w:pPr>
            <w:r>
              <w:rPr>
                <w:rFonts w:hint="eastAsia" w:eastAsia="宋体" w:cs="宋体"/>
                <w:sz w:val="22"/>
                <w:szCs w:val="22"/>
              </w:rPr>
              <w:t>50元以上/次</w:t>
            </w:r>
          </w:p>
        </w:tc>
      </w:tr>
      <w:tr w14:paraId="64C93397">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21031B3">
            <w:pPr>
              <w:widowControl/>
              <w:jc w:val="center"/>
              <w:rPr>
                <w:rFonts w:eastAsia="宋体" w:cs="宋体"/>
                <w:sz w:val="22"/>
                <w:szCs w:val="22"/>
              </w:rPr>
            </w:pPr>
            <w:r>
              <w:rPr>
                <w:rFonts w:hint="eastAsia" w:eastAsia="宋体" w:cs="宋体"/>
                <w:sz w:val="22"/>
                <w:szCs w:val="22"/>
              </w:rPr>
              <w:t>41</w:t>
            </w:r>
          </w:p>
        </w:tc>
        <w:tc>
          <w:tcPr>
            <w:tcW w:w="3433" w:type="dxa"/>
            <w:tcBorders>
              <w:top w:val="nil"/>
              <w:left w:val="nil"/>
              <w:bottom w:val="single" w:color="auto" w:sz="4" w:space="0"/>
              <w:right w:val="single" w:color="auto" w:sz="4" w:space="0"/>
            </w:tcBorders>
            <w:shd w:val="clear" w:color="auto" w:fill="auto"/>
            <w:vAlign w:val="center"/>
          </w:tcPr>
          <w:p w14:paraId="1AD5EDF9">
            <w:pPr>
              <w:widowControl/>
              <w:jc w:val="left"/>
              <w:rPr>
                <w:rFonts w:eastAsia="宋体" w:cs="宋体"/>
                <w:sz w:val="22"/>
                <w:szCs w:val="22"/>
              </w:rPr>
            </w:pPr>
            <w:r>
              <w:rPr>
                <w:rFonts w:hint="eastAsia" w:eastAsia="宋体" w:cs="宋体"/>
                <w:sz w:val="22"/>
                <w:szCs w:val="22"/>
              </w:rPr>
              <w:t>不得面对食品打喷嚏、咳嗽及其他不卫生行为。</w:t>
            </w:r>
          </w:p>
        </w:tc>
        <w:tc>
          <w:tcPr>
            <w:tcW w:w="2436" w:type="dxa"/>
            <w:tcBorders>
              <w:top w:val="nil"/>
              <w:left w:val="nil"/>
              <w:bottom w:val="single" w:color="auto" w:sz="4" w:space="0"/>
              <w:right w:val="single" w:color="auto" w:sz="4" w:space="0"/>
            </w:tcBorders>
            <w:shd w:val="clear" w:color="auto" w:fill="auto"/>
            <w:vAlign w:val="center"/>
          </w:tcPr>
          <w:p w14:paraId="62BF1011">
            <w:pPr>
              <w:widowControl/>
              <w:jc w:val="left"/>
              <w:rPr>
                <w:rFonts w:eastAsia="宋体" w:cs="宋体"/>
                <w:sz w:val="22"/>
                <w:szCs w:val="22"/>
              </w:rPr>
            </w:pPr>
            <w:r>
              <w:rPr>
                <w:rFonts w:hint="eastAsia" w:eastAsia="宋体" w:cs="宋体"/>
                <w:sz w:val="22"/>
                <w:szCs w:val="22"/>
              </w:rPr>
              <w:t>每单项50元以上/次</w:t>
            </w:r>
          </w:p>
        </w:tc>
      </w:tr>
      <w:tr w14:paraId="51191DB6">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3B2D987">
            <w:pPr>
              <w:widowControl/>
              <w:jc w:val="center"/>
              <w:rPr>
                <w:rFonts w:eastAsia="宋体" w:cs="宋体"/>
                <w:sz w:val="22"/>
                <w:szCs w:val="22"/>
              </w:rPr>
            </w:pPr>
            <w:r>
              <w:rPr>
                <w:rFonts w:hint="eastAsia" w:eastAsia="宋体" w:cs="宋体"/>
                <w:sz w:val="22"/>
                <w:szCs w:val="22"/>
              </w:rPr>
              <w:t>42</w:t>
            </w:r>
          </w:p>
        </w:tc>
        <w:tc>
          <w:tcPr>
            <w:tcW w:w="3433" w:type="dxa"/>
            <w:tcBorders>
              <w:top w:val="nil"/>
              <w:left w:val="nil"/>
              <w:bottom w:val="single" w:color="auto" w:sz="4" w:space="0"/>
              <w:right w:val="single" w:color="auto" w:sz="4" w:space="0"/>
            </w:tcBorders>
            <w:shd w:val="clear" w:color="auto" w:fill="auto"/>
            <w:vAlign w:val="center"/>
          </w:tcPr>
          <w:p w14:paraId="7A3A0FD3">
            <w:pPr>
              <w:widowControl/>
              <w:jc w:val="left"/>
              <w:rPr>
                <w:rFonts w:eastAsia="宋体" w:cs="宋体"/>
                <w:sz w:val="22"/>
                <w:szCs w:val="22"/>
              </w:rPr>
            </w:pPr>
            <w:r>
              <w:rPr>
                <w:rFonts w:hint="eastAsia" w:eastAsia="宋体" w:cs="宋体"/>
                <w:sz w:val="22"/>
                <w:szCs w:val="22"/>
              </w:rPr>
              <w:t>不得用手抓取直接入口食品。</w:t>
            </w:r>
          </w:p>
        </w:tc>
        <w:tc>
          <w:tcPr>
            <w:tcW w:w="2436" w:type="dxa"/>
            <w:tcBorders>
              <w:top w:val="nil"/>
              <w:left w:val="nil"/>
              <w:bottom w:val="single" w:color="auto" w:sz="4" w:space="0"/>
              <w:right w:val="single" w:color="auto" w:sz="4" w:space="0"/>
            </w:tcBorders>
            <w:shd w:val="clear" w:color="auto" w:fill="auto"/>
            <w:vAlign w:val="center"/>
          </w:tcPr>
          <w:p w14:paraId="2EEBA4E0">
            <w:pPr>
              <w:widowControl/>
              <w:jc w:val="left"/>
              <w:rPr>
                <w:rFonts w:eastAsia="宋体" w:cs="宋体"/>
                <w:sz w:val="22"/>
                <w:szCs w:val="22"/>
              </w:rPr>
            </w:pPr>
            <w:r>
              <w:rPr>
                <w:rFonts w:hint="eastAsia" w:eastAsia="宋体" w:cs="宋体"/>
                <w:sz w:val="22"/>
                <w:szCs w:val="22"/>
              </w:rPr>
              <w:t>50元以上/次</w:t>
            </w:r>
          </w:p>
        </w:tc>
      </w:tr>
      <w:tr w14:paraId="5445AA74">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8649CC4">
            <w:pPr>
              <w:widowControl/>
              <w:jc w:val="center"/>
              <w:rPr>
                <w:rFonts w:eastAsia="宋体" w:cs="宋体"/>
                <w:sz w:val="22"/>
                <w:szCs w:val="22"/>
              </w:rPr>
            </w:pPr>
            <w:r>
              <w:rPr>
                <w:rFonts w:hint="eastAsia" w:eastAsia="宋体" w:cs="宋体"/>
                <w:sz w:val="22"/>
                <w:szCs w:val="22"/>
              </w:rPr>
              <w:t>43</w:t>
            </w:r>
          </w:p>
        </w:tc>
        <w:tc>
          <w:tcPr>
            <w:tcW w:w="3433" w:type="dxa"/>
            <w:tcBorders>
              <w:top w:val="nil"/>
              <w:left w:val="nil"/>
              <w:bottom w:val="single" w:color="auto" w:sz="4" w:space="0"/>
              <w:right w:val="single" w:color="auto" w:sz="4" w:space="0"/>
            </w:tcBorders>
            <w:shd w:val="clear" w:color="auto" w:fill="auto"/>
            <w:vAlign w:val="center"/>
          </w:tcPr>
          <w:p w14:paraId="5CA082BF">
            <w:pPr>
              <w:widowControl/>
              <w:jc w:val="left"/>
              <w:rPr>
                <w:rFonts w:eastAsia="宋体" w:cs="宋体"/>
                <w:sz w:val="22"/>
                <w:szCs w:val="22"/>
              </w:rPr>
            </w:pPr>
            <w:r>
              <w:rPr>
                <w:rFonts w:hint="eastAsia" w:eastAsia="宋体" w:cs="宋体"/>
                <w:sz w:val="22"/>
                <w:szCs w:val="22"/>
              </w:rPr>
              <w:t>不得用勺直接品尝味道</w:t>
            </w:r>
          </w:p>
        </w:tc>
        <w:tc>
          <w:tcPr>
            <w:tcW w:w="2436" w:type="dxa"/>
            <w:tcBorders>
              <w:top w:val="nil"/>
              <w:left w:val="nil"/>
              <w:bottom w:val="single" w:color="auto" w:sz="4" w:space="0"/>
              <w:right w:val="single" w:color="auto" w:sz="4" w:space="0"/>
            </w:tcBorders>
            <w:shd w:val="clear" w:color="auto" w:fill="auto"/>
            <w:vAlign w:val="center"/>
          </w:tcPr>
          <w:p w14:paraId="117A7CA8">
            <w:pPr>
              <w:widowControl/>
              <w:jc w:val="left"/>
              <w:rPr>
                <w:rFonts w:eastAsia="宋体" w:cs="宋体"/>
                <w:sz w:val="22"/>
                <w:szCs w:val="22"/>
              </w:rPr>
            </w:pPr>
            <w:r>
              <w:rPr>
                <w:rFonts w:hint="eastAsia" w:eastAsia="宋体" w:cs="宋体"/>
                <w:sz w:val="22"/>
                <w:szCs w:val="22"/>
              </w:rPr>
              <w:t>50元以上/次</w:t>
            </w:r>
          </w:p>
        </w:tc>
      </w:tr>
      <w:tr w14:paraId="61233BBD">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3B22C54">
            <w:pPr>
              <w:widowControl/>
              <w:jc w:val="center"/>
              <w:rPr>
                <w:rFonts w:eastAsia="宋体" w:cs="宋体"/>
                <w:sz w:val="22"/>
                <w:szCs w:val="22"/>
              </w:rPr>
            </w:pPr>
            <w:r>
              <w:rPr>
                <w:rFonts w:hint="eastAsia" w:eastAsia="宋体" w:cs="宋体"/>
                <w:sz w:val="22"/>
                <w:szCs w:val="22"/>
              </w:rPr>
              <w:t>44</w:t>
            </w:r>
          </w:p>
        </w:tc>
        <w:tc>
          <w:tcPr>
            <w:tcW w:w="3433" w:type="dxa"/>
            <w:tcBorders>
              <w:top w:val="nil"/>
              <w:left w:val="nil"/>
              <w:bottom w:val="single" w:color="auto" w:sz="4" w:space="0"/>
              <w:right w:val="single" w:color="auto" w:sz="4" w:space="0"/>
            </w:tcBorders>
            <w:shd w:val="clear" w:color="auto" w:fill="auto"/>
            <w:vAlign w:val="center"/>
          </w:tcPr>
          <w:p w14:paraId="34679F79">
            <w:pPr>
              <w:widowControl/>
              <w:jc w:val="left"/>
              <w:rPr>
                <w:rFonts w:eastAsia="宋体" w:cs="宋体"/>
                <w:sz w:val="22"/>
                <w:szCs w:val="22"/>
              </w:rPr>
            </w:pPr>
            <w:r>
              <w:rPr>
                <w:rFonts w:hint="eastAsia" w:eastAsia="宋体" w:cs="宋体"/>
                <w:sz w:val="22"/>
                <w:szCs w:val="22"/>
              </w:rPr>
              <w:t>工作时要穿戴整洁的工作衣帽，头发梳理整齐置于帽后</w:t>
            </w:r>
          </w:p>
        </w:tc>
        <w:tc>
          <w:tcPr>
            <w:tcW w:w="2436" w:type="dxa"/>
            <w:tcBorders>
              <w:top w:val="nil"/>
              <w:left w:val="nil"/>
              <w:bottom w:val="single" w:color="auto" w:sz="4" w:space="0"/>
              <w:right w:val="single" w:color="auto" w:sz="4" w:space="0"/>
            </w:tcBorders>
            <w:shd w:val="clear" w:color="auto" w:fill="auto"/>
            <w:vAlign w:val="center"/>
          </w:tcPr>
          <w:p w14:paraId="754C68DD">
            <w:pPr>
              <w:widowControl/>
              <w:jc w:val="left"/>
              <w:rPr>
                <w:rFonts w:eastAsia="宋体" w:cs="宋体"/>
                <w:sz w:val="22"/>
                <w:szCs w:val="22"/>
              </w:rPr>
            </w:pPr>
            <w:r>
              <w:rPr>
                <w:rFonts w:hint="eastAsia" w:eastAsia="宋体" w:cs="宋体"/>
                <w:sz w:val="22"/>
                <w:szCs w:val="22"/>
              </w:rPr>
              <w:t>50元以上/人次</w:t>
            </w:r>
          </w:p>
        </w:tc>
      </w:tr>
      <w:tr w14:paraId="660315E3">
        <w:tblPrEx>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7E5FE1C9">
            <w:pPr>
              <w:widowControl/>
              <w:jc w:val="center"/>
              <w:rPr>
                <w:rFonts w:eastAsia="宋体" w:cs="宋体"/>
                <w:sz w:val="22"/>
                <w:szCs w:val="22"/>
              </w:rPr>
            </w:pPr>
            <w:r>
              <w:rPr>
                <w:rFonts w:hint="eastAsia" w:eastAsia="宋体" w:cs="宋体"/>
                <w:sz w:val="22"/>
                <w:szCs w:val="22"/>
              </w:rPr>
              <w:t>45</w:t>
            </w:r>
          </w:p>
        </w:tc>
        <w:tc>
          <w:tcPr>
            <w:tcW w:w="3433" w:type="dxa"/>
            <w:tcBorders>
              <w:top w:val="nil"/>
              <w:left w:val="nil"/>
              <w:bottom w:val="single" w:color="auto" w:sz="4" w:space="0"/>
              <w:right w:val="single" w:color="auto" w:sz="4" w:space="0"/>
            </w:tcBorders>
            <w:shd w:val="clear" w:color="auto" w:fill="auto"/>
            <w:vAlign w:val="center"/>
          </w:tcPr>
          <w:p w14:paraId="0DCAE9BB">
            <w:pPr>
              <w:widowControl/>
              <w:jc w:val="left"/>
              <w:rPr>
                <w:rFonts w:eastAsia="宋体" w:cs="宋体"/>
                <w:sz w:val="22"/>
                <w:szCs w:val="22"/>
              </w:rPr>
            </w:pPr>
            <w:r>
              <w:rPr>
                <w:rFonts w:hint="eastAsia" w:eastAsia="宋体" w:cs="宋体"/>
                <w:sz w:val="22"/>
                <w:szCs w:val="22"/>
              </w:rPr>
              <w:t>从事入口食品的工作人员要穿戴整洁的工作衣帽，头发梳理整齐置于帽后，并佩戴手套及口罩。</w:t>
            </w:r>
          </w:p>
        </w:tc>
        <w:tc>
          <w:tcPr>
            <w:tcW w:w="2436" w:type="dxa"/>
            <w:tcBorders>
              <w:top w:val="nil"/>
              <w:left w:val="nil"/>
              <w:bottom w:val="single" w:color="auto" w:sz="4" w:space="0"/>
              <w:right w:val="single" w:color="auto" w:sz="4" w:space="0"/>
            </w:tcBorders>
            <w:shd w:val="clear" w:color="auto" w:fill="auto"/>
            <w:vAlign w:val="center"/>
          </w:tcPr>
          <w:p w14:paraId="4D2DFC8C">
            <w:pPr>
              <w:widowControl/>
              <w:jc w:val="left"/>
              <w:rPr>
                <w:rFonts w:eastAsia="宋体" w:cs="宋体"/>
                <w:sz w:val="22"/>
                <w:szCs w:val="22"/>
              </w:rPr>
            </w:pPr>
            <w:r>
              <w:rPr>
                <w:rFonts w:hint="eastAsia" w:eastAsia="宋体" w:cs="宋体"/>
                <w:sz w:val="22"/>
                <w:szCs w:val="22"/>
              </w:rPr>
              <w:t>每单项50元以上/人次</w:t>
            </w:r>
          </w:p>
        </w:tc>
      </w:tr>
      <w:tr w14:paraId="55C3C5C9">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E5FC0AE">
            <w:pPr>
              <w:widowControl/>
              <w:jc w:val="center"/>
              <w:rPr>
                <w:rFonts w:eastAsia="宋体" w:cs="宋体"/>
                <w:sz w:val="22"/>
                <w:szCs w:val="22"/>
              </w:rPr>
            </w:pPr>
            <w:r>
              <w:rPr>
                <w:rFonts w:hint="eastAsia" w:eastAsia="宋体" w:cs="宋体"/>
                <w:sz w:val="22"/>
                <w:szCs w:val="22"/>
              </w:rPr>
              <w:t>46</w:t>
            </w:r>
          </w:p>
        </w:tc>
        <w:tc>
          <w:tcPr>
            <w:tcW w:w="3433" w:type="dxa"/>
            <w:tcBorders>
              <w:top w:val="nil"/>
              <w:left w:val="nil"/>
              <w:bottom w:val="single" w:color="auto" w:sz="4" w:space="0"/>
              <w:right w:val="single" w:color="auto" w:sz="4" w:space="0"/>
            </w:tcBorders>
            <w:shd w:val="clear" w:color="auto" w:fill="auto"/>
            <w:vAlign w:val="center"/>
          </w:tcPr>
          <w:p w14:paraId="30ED0EA1">
            <w:pPr>
              <w:widowControl/>
              <w:jc w:val="left"/>
              <w:rPr>
                <w:rFonts w:eastAsia="宋体" w:cs="宋体"/>
                <w:sz w:val="22"/>
                <w:szCs w:val="22"/>
              </w:rPr>
            </w:pPr>
            <w:r>
              <w:rPr>
                <w:rFonts w:hint="eastAsia" w:eastAsia="宋体" w:cs="宋体"/>
                <w:sz w:val="22"/>
                <w:szCs w:val="22"/>
              </w:rPr>
              <w:t>每人必须按季节配置工作衣帽两套以上</w:t>
            </w:r>
          </w:p>
        </w:tc>
        <w:tc>
          <w:tcPr>
            <w:tcW w:w="2436" w:type="dxa"/>
            <w:tcBorders>
              <w:top w:val="nil"/>
              <w:left w:val="nil"/>
              <w:bottom w:val="single" w:color="auto" w:sz="4" w:space="0"/>
              <w:right w:val="single" w:color="auto" w:sz="4" w:space="0"/>
            </w:tcBorders>
            <w:shd w:val="clear" w:color="auto" w:fill="auto"/>
            <w:vAlign w:val="center"/>
          </w:tcPr>
          <w:p w14:paraId="50FEB4F5">
            <w:pPr>
              <w:widowControl/>
              <w:jc w:val="left"/>
              <w:rPr>
                <w:rFonts w:eastAsia="宋体" w:cs="宋体"/>
                <w:sz w:val="22"/>
                <w:szCs w:val="22"/>
              </w:rPr>
            </w:pPr>
            <w:r>
              <w:rPr>
                <w:rFonts w:hint="eastAsia" w:eastAsia="宋体" w:cs="宋体"/>
                <w:sz w:val="22"/>
                <w:szCs w:val="22"/>
              </w:rPr>
              <w:t>按从业人员计算，人均缺一套30元以上/次</w:t>
            </w:r>
          </w:p>
        </w:tc>
      </w:tr>
      <w:tr w14:paraId="66F6A55D">
        <w:tblPrEx>
          <w:tblCellMar>
            <w:top w:w="0" w:type="dxa"/>
            <w:left w:w="108" w:type="dxa"/>
            <w:bottom w:w="0" w:type="dxa"/>
            <w:right w:w="108" w:type="dxa"/>
          </w:tblCellMar>
        </w:tblPrEx>
        <w:trPr>
          <w:trHeight w:val="108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E6CAA92">
            <w:pPr>
              <w:widowControl/>
              <w:jc w:val="center"/>
              <w:rPr>
                <w:rFonts w:eastAsia="宋体" w:cs="宋体"/>
                <w:sz w:val="22"/>
                <w:szCs w:val="22"/>
              </w:rPr>
            </w:pPr>
            <w:r>
              <w:rPr>
                <w:rFonts w:hint="eastAsia" w:eastAsia="宋体" w:cs="宋体"/>
                <w:sz w:val="22"/>
                <w:szCs w:val="22"/>
              </w:rPr>
              <w:t>47</w:t>
            </w:r>
          </w:p>
        </w:tc>
        <w:tc>
          <w:tcPr>
            <w:tcW w:w="3433" w:type="dxa"/>
            <w:tcBorders>
              <w:top w:val="nil"/>
              <w:left w:val="nil"/>
              <w:bottom w:val="single" w:color="auto" w:sz="4" w:space="0"/>
              <w:right w:val="single" w:color="auto" w:sz="4" w:space="0"/>
            </w:tcBorders>
            <w:shd w:val="clear" w:color="auto" w:fill="auto"/>
            <w:vAlign w:val="center"/>
          </w:tcPr>
          <w:p w14:paraId="34780922">
            <w:pPr>
              <w:widowControl/>
              <w:jc w:val="left"/>
              <w:rPr>
                <w:rFonts w:eastAsia="宋体" w:cs="宋体"/>
                <w:sz w:val="22"/>
                <w:szCs w:val="22"/>
              </w:rPr>
            </w:pPr>
            <w:r>
              <w:rPr>
                <w:rFonts w:hint="eastAsia" w:eastAsia="宋体" w:cs="宋体"/>
                <w:sz w:val="22"/>
                <w:szCs w:val="22"/>
              </w:rPr>
              <w:t>有发热、腹泻、皮肤伤口感染、咽部咽症等有碍食品安全的症状，立即脱离工作岗位，并报告相关部门</w:t>
            </w:r>
          </w:p>
        </w:tc>
        <w:tc>
          <w:tcPr>
            <w:tcW w:w="2436" w:type="dxa"/>
            <w:tcBorders>
              <w:top w:val="nil"/>
              <w:left w:val="nil"/>
              <w:bottom w:val="single" w:color="auto" w:sz="4" w:space="0"/>
              <w:right w:val="single" w:color="auto" w:sz="4" w:space="0"/>
            </w:tcBorders>
            <w:shd w:val="clear" w:color="auto" w:fill="auto"/>
            <w:vAlign w:val="center"/>
          </w:tcPr>
          <w:p w14:paraId="69E21421">
            <w:pPr>
              <w:widowControl/>
              <w:jc w:val="left"/>
              <w:rPr>
                <w:rFonts w:eastAsia="宋体" w:cs="宋体"/>
                <w:sz w:val="22"/>
                <w:szCs w:val="22"/>
              </w:rPr>
            </w:pPr>
            <w:r>
              <w:rPr>
                <w:rFonts w:hint="eastAsia" w:eastAsia="宋体" w:cs="宋体"/>
                <w:sz w:val="22"/>
                <w:szCs w:val="22"/>
              </w:rPr>
              <w:t>50元以上/人次</w:t>
            </w:r>
          </w:p>
        </w:tc>
      </w:tr>
      <w:tr w14:paraId="29A9ABB7">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1645FD6D">
            <w:pPr>
              <w:widowControl/>
              <w:jc w:val="center"/>
              <w:rPr>
                <w:rFonts w:eastAsia="宋体" w:cs="宋体"/>
                <w:sz w:val="22"/>
                <w:szCs w:val="22"/>
              </w:rPr>
            </w:pPr>
            <w:r>
              <w:rPr>
                <w:rFonts w:hint="eastAsia" w:eastAsia="宋体" w:cs="宋体"/>
                <w:sz w:val="22"/>
                <w:szCs w:val="22"/>
              </w:rPr>
              <w:t>48</w:t>
            </w:r>
          </w:p>
        </w:tc>
        <w:tc>
          <w:tcPr>
            <w:tcW w:w="3433" w:type="dxa"/>
            <w:tcBorders>
              <w:top w:val="nil"/>
              <w:left w:val="nil"/>
              <w:bottom w:val="single" w:color="auto" w:sz="4" w:space="0"/>
              <w:right w:val="single" w:color="auto" w:sz="4" w:space="0"/>
            </w:tcBorders>
            <w:shd w:val="clear" w:color="auto" w:fill="auto"/>
            <w:vAlign w:val="center"/>
          </w:tcPr>
          <w:p w14:paraId="0A852ADD">
            <w:pPr>
              <w:widowControl/>
              <w:jc w:val="left"/>
              <w:rPr>
                <w:rFonts w:eastAsia="宋体" w:cs="宋体"/>
                <w:sz w:val="22"/>
                <w:szCs w:val="22"/>
              </w:rPr>
            </w:pPr>
            <w:r>
              <w:rPr>
                <w:rFonts w:hint="eastAsia" w:eastAsia="宋体" w:cs="宋体"/>
                <w:sz w:val="22"/>
                <w:szCs w:val="22"/>
              </w:rPr>
              <w:t>工作人员必须文明用语，礼貌待人，不得吵架斗殴。</w:t>
            </w:r>
          </w:p>
        </w:tc>
        <w:tc>
          <w:tcPr>
            <w:tcW w:w="2436" w:type="dxa"/>
            <w:tcBorders>
              <w:top w:val="nil"/>
              <w:left w:val="nil"/>
              <w:bottom w:val="single" w:color="auto" w:sz="4" w:space="0"/>
              <w:right w:val="single" w:color="auto" w:sz="4" w:space="0"/>
            </w:tcBorders>
            <w:shd w:val="clear" w:color="auto" w:fill="auto"/>
            <w:vAlign w:val="center"/>
          </w:tcPr>
          <w:p w14:paraId="23C95222">
            <w:pPr>
              <w:widowControl/>
              <w:jc w:val="left"/>
              <w:rPr>
                <w:rFonts w:eastAsia="宋体" w:cs="宋体"/>
                <w:sz w:val="22"/>
                <w:szCs w:val="22"/>
              </w:rPr>
            </w:pPr>
            <w:r>
              <w:rPr>
                <w:rFonts w:hint="eastAsia" w:eastAsia="宋体" w:cs="宋体"/>
                <w:sz w:val="22"/>
                <w:szCs w:val="22"/>
              </w:rPr>
              <w:t>50元以上/人次</w:t>
            </w:r>
          </w:p>
        </w:tc>
      </w:tr>
      <w:tr w14:paraId="777B0E4C">
        <w:tblPrEx>
          <w:tblCellMar>
            <w:top w:w="0" w:type="dxa"/>
            <w:left w:w="108" w:type="dxa"/>
            <w:bottom w:w="0" w:type="dxa"/>
            <w:right w:w="108" w:type="dxa"/>
          </w:tblCellMar>
        </w:tblPrEx>
        <w:trPr>
          <w:trHeight w:val="885"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A3D1205">
            <w:pPr>
              <w:widowControl/>
              <w:jc w:val="center"/>
              <w:rPr>
                <w:rFonts w:eastAsia="宋体" w:cs="宋体"/>
                <w:sz w:val="22"/>
                <w:szCs w:val="22"/>
              </w:rPr>
            </w:pPr>
            <w:r>
              <w:rPr>
                <w:rFonts w:hint="eastAsia" w:eastAsia="宋体" w:cs="宋体"/>
                <w:sz w:val="22"/>
                <w:szCs w:val="22"/>
              </w:rPr>
              <w:t>49</w:t>
            </w:r>
          </w:p>
        </w:tc>
        <w:tc>
          <w:tcPr>
            <w:tcW w:w="3433" w:type="dxa"/>
            <w:tcBorders>
              <w:top w:val="nil"/>
              <w:left w:val="nil"/>
              <w:bottom w:val="single" w:color="auto" w:sz="4" w:space="0"/>
              <w:right w:val="single" w:color="auto" w:sz="4" w:space="0"/>
            </w:tcBorders>
            <w:shd w:val="clear" w:color="auto" w:fill="auto"/>
            <w:vAlign w:val="center"/>
          </w:tcPr>
          <w:p w14:paraId="3F876091">
            <w:pPr>
              <w:widowControl/>
              <w:jc w:val="left"/>
              <w:rPr>
                <w:rFonts w:eastAsia="宋体" w:cs="宋体"/>
                <w:sz w:val="22"/>
                <w:szCs w:val="22"/>
              </w:rPr>
            </w:pPr>
            <w:r>
              <w:rPr>
                <w:rFonts w:hint="eastAsia" w:eastAsia="宋体" w:cs="宋体"/>
                <w:sz w:val="22"/>
                <w:szCs w:val="22"/>
              </w:rPr>
              <w:t>如果发生任何形式的群体食物中毒事件</w:t>
            </w:r>
          </w:p>
        </w:tc>
        <w:tc>
          <w:tcPr>
            <w:tcW w:w="2436" w:type="dxa"/>
            <w:tcBorders>
              <w:top w:val="nil"/>
              <w:left w:val="nil"/>
              <w:bottom w:val="single" w:color="auto" w:sz="4" w:space="0"/>
              <w:right w:val="single" w:color="auto" w:sz="4" w:space="0"/>
            </w:tcBorders>
            <w:shd w:val="clear" w:color="auto" w:fill="auto"/>
            <w:vAlign w:val="center"/>
          </w:tcPr>
          <w:p w14:paraId="5F9DDD12">
            <w:pPr>
              <w:widowControl/>
              <w:jc w:val="left"/>
              <w:rPr>
                <w:rFonts w:eastAsia="宋体" w:cs="宋体"/>
                <w:sz w:val="22"/>
                <w:szCs w:val="22"/>
              </w:rPr>
            </w:pPr>
            <w:r>
              <w:rPr>
                <w:rFonts w:hint="eastAsia" w:eastAsia="宋体" w:cs="宋体"/>
                <w:sz w:val="22"/>
                <w:szCs w:val="22"/>
              </w:rPr>
              <w:t>1、承担所有的经济损失和法律责任；2、立刻终止合同。</w:t>
            </w:r>
          </w:p>
        </w:tc>
      </w:tr>
      <w:tr w14:paraId="5865473C">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A6DFDA1">
            <w:pPr>
              <w:widowControl/>
              <w:jc w:val="center"/>
              <w:rPr>
                <w:rFonts w:eastAsia="宋体" w:cs="宋体"/>
                <w:sz w:val="22"/>
                <w:szCs w:val="22"/>
              </w:rPr>
            </w:pPr>
            <w:r>
              <w:rPr>
                <w:rFonts w:hint="eastAsia" w:eastAsia="宋体" w:cs="宋体"/>
                <w:sz w:val="22"/>
                <w:szCs w:val="22"/>
              </w:rPr>
              <w:t>50</w:t>
            </w:r>
          </w:p>
        </w:tc>
        <w:tc>
          <w:tcPr>
            <w:tcW w:w="3433" w:type="dxa"/>
            <w:tcBorders>
              <w:top w:val="nil"/>
              <w:left w:val="nil"/>
              <w:bottom w:val="single" w:color="auto" w:sz="4" w:space="0"/>
              <w:right w:val="single" w:color="auto" w:sz="4" w:space="0"/>
            </w:tcBorders>
            <w:shd w:val="clear" w:color="auto" w:fill="auto"/>
            <w:vAlign w:val="center"/>
          </w:tcPr>
          <w:p w14:paraId="18ABB576">
            <w:pPr>
              <w:widowControl/>
              <w:jc w:val="left"/>
              <w:rPr>
                <w:rFonts w:eastAsia="宋体" w:cs="宋体"/>
                <w:sz w:val="22"/>
                <w:szCs w:val="22"/>
              </w:rPr>
            </w:pPr>
            <w:r>
              <w:rPr>
                <w:rFonts w:hint="eastAsia" w:eastAsia="宋体" w:cs="宋体"/>
                <w:sz w:val="22"/>
                <w:szCs w:val="22"/>
              </w:rPr>
              <w:t>严禁存放和使用剧毒类灭“四害”药剂</w:t>
            </w:r>
          </w:p>
        </w:tc>
        <w:tc>
          <w:tcPr>
            <w:tcW w:w="2436" w:type="dxa"/>
            <w:tcBorders>
              <w:top w:val="nil"/>
              <w:left w:val="nil"/>
              <w:bottom w:val="single" w:color="auto" w:sz="4" w:space="0"/>
              <w:right w:val="single" w:color="auto" w:sz="4" w:space="0"/>
            </w:tcBorders>
            <w:shd w:val="clear" w:color="auto" w:fill="auto"/>
            <w:vAlign w:val="center"/>
          </w:tcPr>
          <w:p w14:paraId="3BAFCBA1">
            <w:pPr>
              <w:widowControl/>
              <w:jc w:val="left"/>
              <w:rPr>
                <w:rFonts w:eastAsia="宋体" w:cs="宋体"/>
                <w:sz w:val="22"/>
                <w:szCs w:val="22"/>
              </w:rPr>
            </w:pPr>
            <w:r>
              <w:rPr>
                <w:rFonts w:hint="eastAsia" w:eastAsia="宋体" w:cs="宋体"/>
                <w:sz w:val="22"/>
                <w:szCs w:val="22"/>
              </w:rPr>
              <w:t>100元/次</w:t>
            </w:r>
          </w:p>
        </w:tc>
      </w:tr>
      <w:tr w14:paraId="745EF723">
        <w:tblPrEx>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3CBD5DA1">
            <w:pPr>
              <w:widowControl/>
              <w:jc w:val="center"/>
              <w:rPr>
                <w:rFonts w:eastAsia="宋体" w:cs="宋体"/>
                <w:sz w:val="22"/>
                <w:szCs w:val="22"/>
              </w:rPr>
            </w:pPr>
            <w:r>
              <w:rPr>
                <w:rFonts w:hint="eastAsia" w:eastAsia="宋体" w:cs="宋体"/>
                <w:sz w:val="22"/>
                <w:szCs w:val="22"/>
              </w:rPr>
              <w:t>51</w:t>
            </w:r>
          </w:p>
        </w:tc>
        <w:tc>
          <w:tcPr>
            <w:tcW w:w="3433" w:type="dxa"/>
            <w:tcBorders>
              <w:top w:val="nil"/>
              <w:left w:val="nil"/>
              <w:bottom w:val="single" w:color="auto" w:sz="4" w:space="0"/>
              <w:right w:val="single" w:color="auto" w:sz="4" w:space="0"/>
            </w:tcBorders>
            <w:shd w:val="clear" w:color="auto" w:fill="auto"/>
            <w:vAlign w:val="center"/>
          </w:tcPr>
          <w:p w14:paraId="30EA4283">
            <w:pPr>
              <w:widowControl/>
              <w:jc w:val="left"/>
              <w:rPr>
                <w:rFonts w:eastAsia="宋体" w:cs="宋体"/>
                <w:sz w:val="22"/>
                <w:szCs w:val="22"/>
              </w:rPr>
            </w:pPr>
            <w:r>
              <w:rPr>
                <w:rFonts w:hint="eastAsia" w:eastAsia="宋体" w:cs="宋体"/>
                <w:sz w:val="22"/>
                <w:szCs w:val="22"/>
              </w:rPr>
              <w:t>现场管理员必须严格现场管理，并做好工作日志</w:t>
            </w:r>
          </w:p>
        </w:tc>
        <w:tc>
          <w:tcPr>
            <w:tcW w:w="2436" w:type="dxa"/>
            <w:tcBorders>
              <w:top w:val="nil"/>
              <w:left w:val="nil"/>
              <w:bottom w:val="single" w:color="auto" w:sz="4" w:space="0"/>
              <w:right w:val="single" w:color="auto" w:sz="4" w:space="0"/>
            </w:tcBorders>
            <w:shd w:val="clear" w:color="auto" w:fill="auto"/>
            <w:vAlign w:val="center"/>
          </w:tcPr>
          <w:p w14:paraId="1F858FB0">
            <w:pPr>
              <w:widowControl/>
              <w:jc w:val="left"/>
              <w:rPr>
                <w:rFonts w:eastAsia="宋体" w:cs="宋体"/>
                <w:sz w:val="22"/>
                <w:szCs w:val="22"/>
              </w:rPr>
            </w:pPr>
            <w:r>
              <w:rPr>
                <w:rFonts w:hint="eastAsia" w:eastAsia="宋体" w:cs="宋体"/>
                <w:sz w:val="22"/>
                <w:szCs w:val="22"/>
              </w:rPr>
              <w:t>20元/次</w:t>
            </w:r>
          </w:p>
        </w:tc>
      </w:tr>
      <w:tr w14:paraId="0677DCE1">
        <w:tblPrEx>
          <w:tblCellMar>
            <w:top w:w="0" w:type="dxa"/>
            <w:left w:w="108" w:type="dxa"/>
            <w:bottom w:w="0" w:type="dxa"/>
            <w:right w:w="108" w:type="dxa"/>
          </w:tblCellMar>
        </w:tblPrEx>
        <w:trPr>
          <w:trHeight w:val="270" w:hRule="atLeast"/>
        </w:trPr>
        <w:tc>
          <w:tcPr>
            <w:tcW w:w="631" w:type="dxa"/>
            <w:tcBorders>
              <w:top w:val="nil"/>
              <w:left w:val="single" w:color="auto" w:sz="4" w:space="0"/>
              <w:bottom w:val="nil"/>
              <w:right w:val="single" w:color="auto" w:sz="4" w:space="0"/>
            </w:tcBorders>
            <w:shd w:val="clear" w:color="auto" w:fill="auto"/>
            <w:vAlign w:val="center"/>
          </w:tcPr>
          <w:p w14:paraId="5C8DE080">
            <w:pPr>
              <w:widowControl/>
              <w:jc w:val="center"/>
              <w:rPr>
                <w:rFonts w:eastAsia="宋体" w:cs="宋体"/>
                <w:sz w:val="22"/>
                <w:szCs w:val="22"/>
              </w:rPr>
            </w:pPr>
            <w:r>
              <w:rPr>
                <w:rFonts w:hint="eastAsia" w:eastAsia="宋体" w:cs="宋体"/>
                <w:sz w:val="22"/>
                <w:szCs w:val="22"/>
              </w:rPr>
              <w:t>52</w:t>
            </w:r>
          </w:p>
        </w:tc>
        <w:tc>
          <w:tcPr>
            <w:tcW w:w="3433" w:type="dxa"/>
            <w:tcBorders>
              <w:top w:val="nil"/>
              <w:left w:val="nil"/>
              <w:bottom w:val="nil"/>
              <w:right w:val="single" w:color="auto" w:sz="4" w:space="0"/>
            </w:tcBorders>
            <w:shd w:val="clear" w:color="auto" w:fill="auto"/>
            <w:vAlign w:val="center"/>
          </w:tcPr>
          <w:p w14:paraId="4CA45E9A">
            <w:pPr>
              <w:widowControl/>
              <w:jc w:val="left"/>
              <w:rPr>
                <w:rFonts w:eastAsia="宋体" w:cs="宋体"/>
                <w:sz w:val="22"/>
                <w:szCs w:val="22"/>
              </w:rPr>
            </w:pPr>
            <w:r>
              <w:rPr>
                <w:rFonts w:hint="eastAsia" w:eastAsia="宋体" w:cs="宋体"/>
                <w:sz w:val="22"/>
                <w:szCs w:val="22"/>
              </w:rPr>
              <w:t>满意率</w:t>
            </w:r>
          </w:p>
        </w:tc>
        <w:tc>
          <w:tcPr>
            <w:tcW w:w="2436" w:type="dxa"/>
            <w:tcBorders>
              <w:top w:val="nil"/>
              <w:left w:val="nil"/>
              <w:bottom w:val="nil"/>
              <w:right w:val="single" w:color="auto" w:sz="4" w:space="0"/>
            </w:tcBorders>
            <w:shd w:val="clear" w:color="auto" w:fill="auto"/>
            <w:vAlign w:val="center"/>
          </w:tcPr>
          <w:p w14:paraId="060479A9">
            <w:pPr>
              <w:widowControl/>
              <w:jc w:val="left"/>
              <w:rPr>
                <w:rFonts w:eastAsia="宋体" w:cs="宋体"/>
                <w:sz w:val="22"/>
                <w:szCs w:val="22"/>
              </w:rPr>
            </w:pPr>
            <w:r>
              <w:rPr>
                <w:rFonts w:hint="eastAsia" w:eastAsia="宋体" w:cs="宋体"/>
                <w:sz w:val="22"/>
                <w:szCs w:val="22"/>
              </w:rPr>
              <w:t>60%-70%持续改进，低于60%，每低5个百分点，罚款100元；低于40%，终止合同。</w:t>
            </w:r>
          </w:p>
        </w:tc>
      </w:tr>
      <w:tr w14:paraId="387110D4">
        <w:tblPrEx>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3422C49">
            <w:pPr>
              <w:widowControl/>
              <w:rPr>
                <w:rFonts w:eastAsia="宋体" w:cs="宋体"/>
                <w:sz w:val="22"/>
                <w:szCs w:val="22"/>
              </w:rPr>
            </w:pPr>
          </w:p>
        </w:tc>
        <w:tc>
          <w:tcPr>
            <w:tcW w:w="3433" w:type="dxa"/>
            <w:tcBorders>
              <w:top w:val="nil"/>
              <w:left w:val="nil"/>
              <w:bottom w:val="single" w:color="auto" w:sz="4" w:space="0"/>
              <w:right w:val="single" w:color="auto" w:sz="4" w:space="0"/>
            </w:tcBorders>
            <w:shd w:val="clear" w:color="auto" w:fill="auto"/>
            <w:vAlign w:val="center"/>
          </w:tcPr>
          <w:p w14:paraId="1F8AD763">
            <w:pPr>
              <w:widowControl/>
              <w:jc w:val="left"/>
              <w:rPr>
                <w:rFonts w:eastAsia="宋体" w:cs="宋体"/>
                <w:sz w:val="22"/>
                <w:szCs w:val="22"/>
              </w:rPr>
            </w:pPr>
          </w:p>
        </w:tc>
        <w:tc>
          <w:tcPr>
            <w:tcW w:w="2436" w:type="dxa"/>
            <w:tcBorders>
              <w:top w:val="nil"/>
              <w:left w:val="nil"/>
              <w:bottom w:val="single" w:color="auto" w:sz="4" w:space="0"/>
              <w:right w:val="single" w:color="auto" w:sz="4" w:space="0"/>
            </w:tcBorders>
            <w:shd w:val="clear" w:color="auto" w:fill="auto"/>
            <w:vAlign w:val="center"/>
          </w:tcPr>
          <w:p w14:paraId="46CDCC87">
            <w:pPr>
              <w:widowControl/>
              <w:jc w:val="left"/>
              <w:rPr>
                <w:rFonts w:eastAsia="宋体" w:cs="宋体"/>
                <w:sz w:val="22"/>
                <w:szCs w:val="22"/>
              </w:rPr>
            </w:pPr>
          </w:p>
        </w:tc>
      </w:tr>
    </w:tbl>
    <w:p w14:paraId="4AA5F806"/>
    <w:sectPr>
      <w:footerReference r:id="rId12" w:type="first"/>
      <w:headerReference r:id="rId9" w:type="default"/>
      <w:footerReference r:id="rId10" w:type="default"/>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234">
    <w:pPr>
      <w:pStyle w:val="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0003">
    <w:pPr>
      <w:pStyle w:val="6"/>
      <w:framePr w:wrap="around" w:vAnchor="text" w:hAnchor="margin" w:xAlign="center" w:y="1"/>
      <w:tabs>
        <w:tab w:val="clear" w:pos="4153"/>
        <w:tab w:val="clear" w:pos="8306"/>
      </w:tabs>
      <w:rPr>
        <w:rStyle w:val="11"/>
      </w:rPr>
    </w:pPr>
    <w:r>
      <w:fldChar w:fldCharType="begin"/>
    </w:r>
    <w:r>
      <w:rPr>
        <w:rStyle w:val="11"/>
      </w:rPr>
      <w:instrText xml:space="preserve">PAGE  </w:instrText>
    </w:r>
    <w:r>
      <w:fldChar w:fldCharType="separate"/>
    </w:r>
    <w:r>
      <w:rPr>
        <w:rStyle w:val="11"/>
      </w:rPr>
      <w:t xml:space="preserve"> </w:t>
    </w:r>
    <w:r>
      <w:fldChar w:fldCharType="end"/>
    </w:r>
  </w:p>
  <w:p w14:paraId="38CC7B2E">
    <w:pPr>
      <w:pStyle w:val="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3AE0">
    <w:pPr>
      <w:pStyle w:val="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B592">
    <w:pPr>
      <w:pStyle w:val="6"/>
      <w:tabs>
        <w:tab w:val="clear" w:pos="4153"/>
        <w:tab w:val="clear" w:pos="8306"/>
      </w:tabs>
      <w:ind w:right="360"/>
      <w:jc w:val="both"/>
    </w:pPr>
    <w:r>
      <w:pict>
        <v:shape id="_x0000_s1025" o:spid="_x0000_s1025" o:spt="202" type="#_x0000_t202" style="position:absolute;left:0pt;margin-top:0pt;height:11.65pt;width:3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00F63F7">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w:t>
                </w:r>
              </w:p>
            </w:txbxContent>
          </v:textbox>
        </v:shape>
      </w:pict>
    </w:r>
    <w:r>
      <w:rPr>
        <w:rFonts w:hint="eastAsia"/>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AC34">
    <w:pPr>
      <w:pStyle w:val="6"/>
      <w:framePr w:wrap="around" w:vAnchor="text" w:hAnchor="margin" w:xAlign="center" w:y="1"/>
      <w:tabs>
        <w:tab w:val="clear" w:pos="4153"/>
        <w:tab w:val="clear" w:pos="8306"/>
      </w:tabs>
      <w:rPr>
        <w:rStyle w:val="11"/>
      </w:rPr>
    </w:pPr>
    <w:r>
      <w:fldChar w:fldCharType="begin"/>
    </w:r>
    <w:r>
      <w:rPr>
        <w:rStyle w:val="11"/>
      </w:rPr>
      <w:instrText xml:space="preserve">PAGE  </w:instrText>
    </w:r>
    <w:r>
      <w:fldChar w:fldCharType="separate"/>
    </w:r>
    <w:r>
      <w:rPr>
        <w:rStyle w:val="11"/>
      </w:rPr>
      <w:t>7</w:t>
    </w:r>
    <w:r>
      <w:fldChar w:fldCharType="end"/>
    </w:r>
  </w:p>
  <w:p w14:paraId="1F76122B">
    <w:pPr>
      <w:pStyle w:val="6"/>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1808">
    <w:pPr>
      <w:pStyle w:val="6"/>
      <w:tabs>
        <w:tab w:val="left" w:pos="2893"/>
        <w:tab w:val="clear" w:pos="4153"/>
        <w:tab w:val="clear" w:pos="8306"/>
      </w:tabs>
    </w:pPr>
    <w:r>
      <w:pict>
        <v:shape id="_x0000_s1026" o:spid="_x0000_s1026" o:spt="202" type="#_x0000_t202" style="position:absolute;left:0pt;margin-top:0pt;height:11.65pt;width:31.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5BC6C2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BCC8">
    <w:pPr>
      <w:pStyle w:val="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140F">
    <w:pPr>
      <w:pStyle w:val="7"/>
      <w:tabs>
        <w:tab w:val="clear" w:pos="4153"/>
        <w:tab w:val="clear" w:pos="8306"/>
      </w:tabs>
    </w:pPr>
    <w:r>
      <w:rPr>
        <w:rFonts w:hint="eastAsia"/>
      </w:rPr>
      <w:t>四川省工商行政管理局数据中心建设项目政府采购—磋商文件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04B7">
    <w:pPr>
      <w:pStyle w:val="7"/>
      <w:tabs>
        <w:tab w:val="left" w:pos="1400"/>
        <w:tab w:val="clear" w:pos="4153"/>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C1BA">
    <w:pPr>
      <w:pStyle w:val="7"/>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EA18E"/>
    <w:multiLevelType w:val="multilevel"/>
    <w:tmpl w:val="9F2EA18E"/>
    <w:lvl w:ilvl="0" w:tentative="0">
      <w:start w:val="1"/>
      <w:numFmt w:val="chineseCountingThousand"/>
      <w:lvlText w:val="%1、"/>
      <w:lvlJc w:val="left"/>
      <w:pPr>
        <w:tabs>
          <w:tab w:val="left" w:pos="1085"/>
        </w:tabs>
        <w:ind w:left="1085" w:hanging="545"/>
      </w:pPr>
      <w:rPr>
        <w:rFonts w:hint="default" w:cs="宋体"/>
        <w:b/>
        <w:i w:val="0"/>
        <w:sz w:val="27"/>
        <w:szCs w:val="27"/>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333D935E"/>
    <w:multiLevelType w:val="singleLevel"/>
    <w:tmpl w:val="333D935E"/>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3C2B"/>
    <w:rsid w:val="00026E57"/>
    <w:rsid w:val="00034C0B"/>
    <w:rsid w:val="00040645"/>
    <w:rsid w:val="00054C51"/>
    <w:rsid w:val="00057E4D"/>
    <w:rsid w:val="000E041C"/>
    <w:rsid w:val="000F22F5"/>
    <w:rsid w:val="00175F7A"/>
    <w:rsid w:val="001A1ED9"/>
    <w:rsid w:val="001A2A58"/>
    <w:rsid w:val="001B3998"/>
    <w:rsid w:val="001D57E1"/>
    <w:rsid w:val="001F14BA"/>
    <w:rsid w:val="002111B0"/>
    <w:rsid w:val="00217A40"/>
    <w:rsid w:val="00260943"/>
    <w:rsid w:val="00267F55"/>
    <w:rsid w:val="00275F9E"/>
    <w:rsid w:val="002832EA"/>
    <w:rsid w:val="00286F39"/>
    <w:rsid w:val="00314EC5"/>
    <w:rsid w:val="00344760"/>
    <w:rsid w:val="00347319"/>
    <w:rsid w:val="00363676"/>
    <w:rsid w:val="00373C2B"/>
    <w:rsid w:val="00397643"/>
    <w:rsid w:val="003B0F76"/>
    <w:rsid w:val="003B15A5"/>
    <w:rsid w:val="003B6325"/>
    <w:rsid w:val="003D051D"/>
    <w:rsid w:val="003F35DA"/>
    <w:rsid w:val="003F508D"/>
    <w:rsid w:val="00410D15"/>
    <w:rsid w:val="004115DD"/>
    <w:rsid w:val="00424EDF"/>
    <w:rsid w:val="00452F6F"/>
    <w:rsid w:val="00455D16"/>
    <w:rsid w:val="0047225E"/>
    <w:rsid w:val="00484F8F"/>
    <w:rsid w:val="004B032B"/>
    <w:rsid w:val="004B07C9"/>
    <w:rsid w:val="004B32E7"/>
    <w:rsid w:val="004E5817"/>
    <w:rsid w:val="00514AC1"/>
    <w:rsid w:val="005225D8"/>
    <w:rsid w:val="00525886"/>
    <w:rsid w:val="00527053"/>
    <w:rsid w:val="00534D17"/>
    <w:rsid w:val="00543139"/>
    <w:rsid w:val="0057272E"/>
    <w:rsid w:val="00584BF6"/>
    <w:rsid w:val="00590DA0"/>
    <w:rsid w:val="00592C48"/>
    <w:rsid w:val="005A3368"/>
    <w:rsid w:val="005A613B"/>
    <w:rsid w:val="005C3E15"/>
    <w:rsid w:val="005D3A6B"/>
    <w:rsid w:val="00616BF2"/>
    <w:rsid w:val="00647F24"/>
    <w:rsid w:val="00657476"/>
    <w:rsid w:val="0066041F"/>
    <w:rsid w:val="00690806"/>
    <w:rsid w:val="006B6641"/>
    <w:rsid w:val="006D31B8"/>
    <w:rsid w:val="00705BE9"/>
    <w:rsid w:val="0071544E"/>
    <w:rsid w:val="00752882"/>
    <w:rsid w:val="00772264"/>
    <w:rsid w:val="007816AC"/>
    <w:rsid w:val="007D78BF"/>
    <w:rsid w:val="007E6B6D"/>
    <w:rsid w:val="0081090A"/>
    <w:rsid w:val="00830DBD"/>
    <w:rsid w:val="008335FB"/>
    <w:rsid w:val="008534EB"/>
    <w:rsid w:val="008623E6"/>
    <w:rsid w:val="00862CB6"/>
    <w:rsid w:val="00873C19"/>
    <w:rsid w:val="00901328"/>
    <w:rsid w:val="009135C0"/>
    <w:rsid w:val="00964E95"/>
    <w:rsid w:val="009830B4"/>
    <w:rsid w:val="009C20C5"/>
    <w:rsid w:val="009C7AEF"/>
    <w:rsid w:val="009D1621"/>
    <w:rsid w:val="009E0529"/>
    <w:rsid w:val="00A025CF"/>
    <w:rsid w:val="00A80016"/>
    <w:rsid w:val="00A865B1"/>
    <w:rsid w:val="00A8734B"/>
    <w:rsid w:val="00AA441C"/>
    <w:rsid w:val="00AB285A"/>
    <w:rsid w:val="00AC004E"/>
    <w:rsid w:val="00AD3163"/>
    <w:rsid w:val="00B27EEF"/>
    <w:rsid w:val="00B43CD5"/>
    <w:rsid w:val="00B92BBC"/>
    <w:rsid w:val="00B9585A"/>
    <w:rsid w:val="00BD5C35"/>
    <w:rsid w:val="00BE28ED"/>
    <w:rsid w:val="00BF0293"/>
    <w:rsid w:val="00BF43B2"/>
    <w:rsid w:val="00BF793E"/>
    <w:rsid w:val="00C465DA"/>
    <w:rsid w:val="00C72349"/>
    <w:rsid w:val="00D0321E"/>
    <w:rsid w:val="00D371D6"/>
    <w:rsid w:val="00D868FF"/>
    <w:rsid w:val="00D92897"/>
    <w:rsid w:val="00D93B4A"/>
    <w:rsid w:val="00DA0AA2"/>
    <w:rsid w:val="00DF0BF8"/>
    <w:rsid w:val="00E20D38"/>
    <w:rsid w:val="00E32E10"/>
    <w:rsid w:val="00E40563"/>
    <w:rsid w:val="00E60CEB"/>
    <w:rsid w:val="00E83EC7"/>
    <w:rsid w:val="00E86CAB"/>
    <w:rsid w:val="00E87FE8"/>
    <w:rsid w:val="00E91C39"/>
    <w:rsid w:val="00EA2F74"/>
    <w:rsid w:val="00EA65E0"/>
    <w:rsid w:val="00F4103F"/>
    <w:rsid w:val="00F5048A"/>
    <w:rsid w:val="00F56BB2"/>
    <w:rsid w:val="00F60A4B"/>
    <w:rsid w:val="00F647B5"/>
    <w:rsid w:val="00F741D9"/>
    <w:rsid w:val="00F87027"/>
    <w:rsid w:val="00F87CE1"/>
    <w:rsid w:val="00F90137"/>
    <w:rsid w:val="00F92B93"/>
    <w:rsid w:val="00F95155"/>
    <w:rsid w:val="00FA7902"/>
    <w:rsid w:val="00FC18CC"/>
    <w:rsid w:val="00FC5905"/>
    <w:rsid w:val="00FD4E43"/>
    <w:rsid w:val="01AC4FCB"/>
    <w:rsid w:val="0E0A1AD8"/>
    <w:rsid w:val="14C55BF4"/>
    <w:rsid w:val="23155F71"/>
    <w:rsid w:val="309F7D5E"/>
    <w:rsid w:val="47C37800"/>
    <w:rsid w:val="4A077655"/>
    <w:rsid w:val="6C95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0"/>
      <w:sz w:val="34"/>
      <w:szCs w:val="20"/>
      <w:lang w:val="en-US" w:eastAsia="zh-CN" w:bidi="ar-SA"/>
    </w:rPr>
  </w:style>
  <w:style w:type="paragraph" w:styleId="2">
    <w:name w:val="heading 2"/>
    <w:basedOn w:val="1"/>
    <w:next w:val="1"/>
    <w:link w:val="13"/>
    <w:qFormat/>
    <w:uiPriority w:val="0"/>
    <w:pPr>
      <w:keepNext/>
      <w:jc w:val="center"/>
      <w:outlineLvl w:val="1"/>
    </w:pPr>
    <w:rPr>
      <w:rFonts w:ascii="楷体_GB2312" w:eastAsia="楷体_GB2312"/>
      <w:b/>
      <w:bCs/>
      <w:sz w:val="1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eastAsia="宋体"/>
      <w:kern w:val="2"/>
      <w:sz w:val="21"/>
    </w:rPr>
  </w:style>
  <w:style w:type="paragraph" w:styleId="4">
    <w:name w:val="annotation text"/>
    <w:next w:val="1"/>
    <w:link w:val="14"/>
    <w:qFormat/>
    <w:uiPriority w:val="0"/>
    <w:pPr>
      <w:widowControl w:val="0"/>
    </w:pPr>
    <w:rPr>
      <w:rFonts w:ascii="Times New Roman" w:hAnsi="Times New Roman" w:eastAsia="宋体" w:cs="Times New Roman"/>
      <w:kern w:val="2"/>
      <w:sz w:val="21"/>
      <w:szCs w:val="24"/>
      <w:lang w:val="en-US" w:eastAsia="zh-CN" w:bidi="ar-SA"/>
    </w:rPr>
  </w:style>
  <w:style w:type="paragraph" w:styleId="5">
    <w:name w:val="Body Text Indent"/>
    <w:basedOn w:val="1"/>
    <w:link w:val="18"/>
    <w:uiPriority w:val="0"/>
    <w:pPr>
      <w:ind w:firstLine="576"/>
    </w:pPr>
    <w:rPr>
      <w:b/>
      <w:sz w:val="30"/>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link w:val="21"/>
    <w:semiHidden/>
    <w:unhideWhenUsed/>
    <w:uiPriority w:val="99"/>
    <w:pPr>
      <w:spacing w:after="120"/>
      <w:ind w:left="420" w:leftChars="200"/>
    </w:pPr>
    <w:rPr>
      <w:sz w:val="16"/>
      <w:szCs w:val="16"/>
    </w:rPr>
  </w:style>
  <w:style w:type="character" w:styleId="11">
    <w:name w:val="page number"/>
    <w:uiPriority w:val="0"/>
  </w:style>
  <w:style w:type="character" w:styleId="12">
    <w:name w:val="Hyperlink"/>
    <w:qFormat/>
    <w:uiPriority w:val="0"/>
    <w:rPr>
      <w:color w:val="auto"/>
      <w:u w:val="none"/>
    </w:rPr>
  </w:style>
  <w:style w:type="character" w:customStyle="1" w:styleId="13">
    <w:name w:val="标题 2 Char"/>
    <w:basedOn w:val="10"/>
    <w:link w:val="2"/>
    <w:uiPriority w:val="0"/>
    <w:rPr>
      <w:rFonts w:ascii="楷体_GB2312" w:hAnsi="宋体" w:eastAsia="楷体_GB2312" w:cs="Times New Roman"/>
      <w:b/>
      <w:bCs/>
      <w:kern w:val="0"/>
      <w:sz w:val="18"/>
      <w:szCs w:val="20"/>
    </w:rPr>
  </w:style>
  <w:style w:type="character" w:customStyle="1" w:styleId="14">
    <w:name w:val="批注文字 Char"/>
    <w:basedOn w:val="10"/>
    <w:link w:val="4"/>
    <w:qFormat/>
    <w:uiPriority w:val="0"/>
    <w:rPr>
      <w:rFonts w:ascii="Times New Roman" w:hAnsi="Times New Roman" w:eastAsia="宋体" w:cs="Times New Roman"/>
      <w:szCs w:val="24"/>
    </w:rPr>
  </w:style>
  <w:style w:type="paragraph" w:customStyle="1" w:styleId="15">
    <w:name w:val="正文1"/>
    <w:qFormat/>
    <w:uiPriority w:val="0"/>
    <w:pPr>
      <w:widowControl w:val="0"/>
      <w:adjustRightInd w:val="0"/>
      <w:spacing w:line="312" w:lineRule="atLeast"/>
      <w:jc w:val="both"/>
      <w:textAlignment w:val="baseline"/>
    </w:pPr>
    <w:rPr>
      <w:rFonts w:ascii="宋体" w:hAnsi="宋体" w:eastAsia="仿宋_GB2312" w:cs="Times New Roman"/>
      <w:kern w:val="0"/>
      <w:sz w:val="34"/>
      <w:szCs w:val="20"/>
      <w:lang w:val="en-US" w:eastAsia="zh-CN" w:bidi="ar-SA"/>
    </w:rPr>
  </w:style>
  <w:style w:type="character" w:customStyle="1" w:styleId="16">
    <w:name w:val="页眉 Char"/>
    <w:basedOn w:val="10"/>
    <w:link w:val="7"/>
    <w:uiPriority w:val="0"/>
    <w:rPr>
      <w:rFonts w:ascii="宋体" w:hAnsi="宋体" w:eastAsia="仿宋_GB2312" w:cs="Times New Roman"/>
      <w:kern w:val="0"/>
      <w:sz w:val="18"/>
      <w:szCs w:val="20"/>
    </w:rPr>
  </w:style>
  <w:style w:type="character" w:customStyle="1" w:styleId="17">
    <w:name w:val="页脚 Char"/>
    <w:basedOn w:val="10"/>
    <w:link w:val="6"/>
    <w:uiPriority w:val="0"/>
    <w:rPr>
      <w:rFonts w:ascii="宋体" w:hAnsi="宋体" w:eastAsia="仿宋_GB2312" w:cs="Times New Roman"/>
      <w:kern w:val="0"/>
      <w:sz w:val="18"/>
      <w:szCs w:val="20"/>
    </w:rPr>
  </w:style>
  <w:style w:type="character" w:customStyle="1" w:styleId="18">
    <w:name w:val="正文文本缩进 Char"/>
    <w:basedOn w:val="10"/>
    <w:link w:val="5"/>
    <w:qFormat/>
    <w:uiPriority w:val="0"/>
    <w:rPr>
      <w:rFonts w:ascii="宋体" w:hAnsi="宋体" w:eastAsia="仿宋_GB2312" w:cs="Times New Roman"/>
      <w:b/>
      <w:kern w:val="0"/>
      <w:sz w:val="30"/>
      <w:szCs w:val="20"/>
    </w:rPr>
  </w:style>
  <w:style w:type="paragraph" w:customStyle="1" w:styleId="19">
    <w:name w:val="样式"/>
    <w:qFormat/>
    <w:uiPriority w:val="0"/>
    <w:pPr>
      <w:widowControl w:val="0"/>
      <w:autoSpaceDE w:val="0"/>
      <w:autoSpaceDN w:val="0"/>
      <w:adjustRightInd w:val="0"/>
    </w:pPr>
    <w:rPr>
      <w:rFonts w:ascii="宋体" w:hAnsi="Times New Roman" w:eastAsia="宋体" w:cs="Times New Roman"/>
      <w:kern w:val="0"/>
      <w:sz w:val="24"/>
      <w:szCs w:val="20"/>
      <w:lang w:val="en-US" w:eastAsia="zh-CN" w:bidi="ar-SA"/>
    </w:rPr>
  </w:style>
  <w:style w:type="paragraph" w:customStyle="1" w:styleId="20">
    <w:name w:val="正文首行缩进两字符"/>
    <w:next w:val="8"/>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1">
    <w:name w:val="正文文本缩进 3 Char"/>
    <w:basedOn w:val="10"/>
    <w:link w:val="8"/>
    <w:semiHidden/>
    <w:uiPriority w:val="99"/>
    <w:rPr>
      <w:rFonts w:ascii="宋体" w:hAnsi="宋体" w:eastAsia="仿宋_GB2312" w:cs="Times New Roman"/>
      <w:kern w:val="0"/>
      <w:sz w:val="16"/>
      <w:szCs w:val="16"/>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BCA18-B2D3-46E5-9563-15544FC25021}">
  <ds:schemaRefs/>
</ds:datastoreItem>
</file>

<file path=docProps/app.xml><?xml version="1.0" encoding="utf-8"?>
<Properties xmlns="http://schemas.openxmlformats.org/officeDocument/2006/extended-properties" xmlns:vt="http://schemas.openxmlformats.org/officeDocument/2006/docPropsVTypes">
  <Template>Normal</Template>
  <Pages>11</Pages>
  <Words>5762</Words>
  <Characters>5965</Characters>
  <Lines>35</Lines>
  <Paragraphs>9</Paragraphs>
  <TotalTime>237</TotalTime>
  <ScaleCrop>false</ScaleCrop>
  <LinksUpToDate>false</LinksUpToDate>
  <CharactersWithSpaces>6179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2017-06-20T03:23:00Z</dcterms:created>
  <dc:creator>lenovo</dc:creator>
  <cp:lastModifiedBy>WPS_1496997110</cp:lastModifiedBy>
  <cp:lastPrinted>2017-06-26T08:41:00Z</cp:lastPrinted>
  <dcterms:modified xsi:type="dcterms:W3CDTF">2025-03-10T06:30:16Z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254CE9C3600C40968C8DCB3060D8B2D1</vt:lpwstr>
  </property>
  <property fmtid="{D5CDD505-2E9C-101B-9397-08002B2CF9AE}" pid="4" name="KSOTemplateDocerSaveRecord">
    <vt:lpwstr>eyJoZGlkIjoiMzFmMzk5ZDE3MzEwY2Q5NzFlM2U3Y2Q0NjJlZjc0MGEiLCJ1c2VySWQiOiIyODQ2ODg3MDEifQ==</vt:lpwstr>
  </property>
</Properties>
</file>