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sz w:val="32"/>
          <w:szCs w:val="32"/>
        </w:rPr>
      </w:pPr>
      <w:bookmarkStart w:id="0" w:name="_Toc52036320"/>
    </w:p>
    <w:p>
      <w:pPr>
        <w:pStyle w:val="2"/>
        <w:spacing w:before="0" w:after="0" w:line="360" w:lineRule="auto"/>
        <w:jc w:val="left"/>
        <w:rPr>
          <w:rFonts w:hint="eastAsia" w:ascii="Times New Roman" w:hAnsi="Times New Roman" w:eastAsia="宋体"/>
          <w:sz w:val="36"/>
          <w:szCs w:val="36"/>
          <w:lang w:eastAsia="zh-CN"/>
        </w:rPr>
      </w:pPr>
      <w:r>
        <w:rPr>
          <w:rFonts w:hint="eastAsia" w:ascii="Times New Roman" w:hAnsi="Times New Roman"/>
          <w:sz w:val="36"/>
          <w:szCs w:val="36"/>
        </w:rPr>
        <w:t>附件</w:t>
      </w:r>
      <w:r>
        <w:rPr>
          <w:rFonts w:hint="eastAsia" w:ascii="Times New Roman" w:hAnsi="Times New Roman"/>
          <w:sz w:val="36"/>
          <w:szCs w:val="36"/>
          <w:lang w:eastAsia="zh-CN"/>
        </w:rPr>
        <w:t>：</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三台县</w:t>
      </w:r>
      <w:r>
        <w:rPr>
          <w:rFonts w:hint="eastAsia" w:ascii="Times New Roman" w:hAnsi="Times New Roman"/>
          <w:sz w:val="32"/>
          <w:szCs w:val="32"/>
          <w:lang w:eastAsia="zh-CN"/>
        </w:rPr>
        <w:t>中医院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val="en-US" w:eastAsia="zh-CN"/>
        </w:rPr>
        <w:t>视频喉镜</w:t>
      </w:r>
      <w:r>
        <w:rPr>
          <w:rFonts w:hint="eastAsia" w:ascii="Times New Roman" w:hAnsi="Times New Roman"/>
          <w:sz w:val="32"/>
          <w:szCs w:val="32"/>
        </w:rPr>
        <w:t>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各潜在比选申请人：</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经医院研究，决定</w:t>
      </w:r>
      <w:r>
        <w:rPr>
          <w:rFonts w:hint="eastAsia" w:ascii="仿宋_GB2312" w:hAnsi="仿宋_GB2312" w:eastAsia="仿宋_GB2312" w:cs="仿宋_GB2312"/>
          <w:sz w:val="24"/>
          <w:szCs w:val="24"/>
        </w:rPr>
        <w:t>采购</w:t>
      </w:r>
      <w:r>
        <w:rPr>
          <w:rFonts w:hint="eastAsia" w:ascii="仿宋_GB2312" w:hAnsi="仿宋_GB2312" w:eastAsia="仿宋_GB2312" w:cs="仿宋_GB2312"/>
          <w:color w:val="000000"/>
          <w:sz w:val="24"/>
          <w:szCs w:val="24"/>
          <w:lang w:val="en-US" w:eastAsia="zh-CN"/>
        </w:rPr>
        <w:t>视频喉镜1套，</w:t>
      </w:r>
      <w:r>
        <w:rPr>
          <w:rFonts w:hint="eastAsia" w:ascii="仿宋_GB2312" w:hAnsi="仿宋_GB2312" w:eastAsia="仿宋_GB2312" w:cs="仿宋_GB2312"/>
          <w:sz w:val="24"/>
          <w:szCs w:val="24"/>
          <w:lang w:val="en-US" w:eastAsia="zh-CN"/>
        </w:rPr>
        <w:t>现以公</w:t>
      </w:r>
      <w:r>
        <w:rPr>
          <w:rFonts w:hint="eastAsia" w:ascii="仿宋_GB2312" w:hAnsi="仿宋_GB2312" w:eastAsia="仿宋_GB2312" w:cs="仿宋_GB2312"/>
          <w:sz w:val="24"/>
          <w:szCs w:val="24"/>
        </w:rPr>
        <w:t>告方式邀请符合要求的供应商参加比选。</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一、项目名称：</w:t>
      </w:r>
      <w:r>
        <w:rPr>
          <w:rFonts w:hint="eastAsia" w:ascii="仿宋_GB2312" w:hAnsi="仿宋_GB2312" w:eastAsia="仿宋_GB2312" w:cs="仿宋_GB2312"/>
          <w:color w:val="000000"/>
          <w:sz w:val="24"/>
          <w:szCs w:val="24"/>
          <w:lang w:val="en-US" w:eastAsia="zh-CN"/>
        </w:rPr>
        <w:t>视频喉镜</w:t>
      </w:r>
      <w:r>
        <w:rPr>
          <w:rFonts w:hint="eastAsia" w:ascii="仿宋_GB2312" w:hAnsi="仿宋_GB2312" w:eastAsia="仿宋_GB2312" w:cs="仿宋_GB2312"/>
          <w:color w:val="000000"/>
          <w:sz w:val="24"/>
          <w:szCs w:val="24"/>
        </w:rPr>
        <w:t>。</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val="en-US" w:eastAsia="zh-CN"/>
        </w:rPr>
        <w:t>采购数量：1套；最高限价：4.3万元。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三、合格比选申请人资格要求</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3、具备履行合同所必需的设备和专业技术能力；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4、具有依法缴纳税收和社会保障资金的良好记录；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8、法定代表人授权委托书；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D0D0D"/>
          <w:kern w:val="0"/>
          <w:sz w:val="24"/>
          <w:szCs w:val="24"/>
          <w:lang w:val="zh-CN"/>
        </w:rPr>
        <w:t>9、</w:t>
      </w:r>
      <w:r>
        <w:rPr>
          <w:rFonts w:hint="eastAsia" w:ascii="仿宋_GB2312" w:hAnsi="仿宋_GB2312" w:eastAsia="仿宋_GB2312" w:cs="仿宋_GB2312"/>
          <w:sz w:val="24"/>
          <w:szCs w:val="24"/>
        </w:rPr>
        <w:t>提供产品的医疗器械产品注册证或备案凭证</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361" w:hanging="361" w:hangingChars="150"/>
        <w:contextualSpacing/>
        <w:textAlignment w:val="auto"/>
        <w:outlineLvl w:val="9"/>
        <w:rPr>
          <w:rFonts w:hint="eastAsia" w:ascii="仿宋_GB2312" w:hAnsi="仿宋_GB2312" w:eastAsia="仿宋_GB2312" w:cs="仿宋_GB2312"/>
          <w:b/>
          <w:color w:val="0D0D0D"/>
          <w:kern w:val="0"/>
          <w:sz w:val="24"/>
          <w:szCs w:val="24"/>
          <w:lang w:val="zh-CN"/>
        </w:rPr>
      </w:pPr>
      <w:r>
        <w:rPr>
          <w:rFonts w:hint="eastAsia" w:ascii="仿宋_GB2312" w:hAnsi="仿宋_GB2312" w:eastAsia="仿宋_GB2312" w:cs="仿宋_GB2312"/>
          <w:b/>
          <w:color w:val="0D0D0D"/>
          <w:kern w:val="0"/>
          <w:sz w:val="24"/>
          <w:szCs w:val="24"/>
          <w:lang w:val="zh-CN"/>
        </w:rPr>
        <w:t>四、比选申请人资格证明文件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2、提供具有良好的商业信誉承诺书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注：可提供承诺函。</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7、提供医疗器械经营许可证或医疗器械经营备案凭证复印件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8、法定代表人/单位负责人授权委托书（法定代表人/单位负责人或自然人直接参与投标的除外）。</w:t>
      </w:r>
    </w:p>
    <w:p>
      <w:pPr>
        <w:keepNext w:val="0"/>
        <w:keepLines w:val="0"/>
        <w:pageBreakBefore w:val="0"/>
        <w:widowControl w:val="0"/>
        <w:numPr>
          <w:ilvl w:val="0"/>
          <w:numId w:val="0"/>
        </w:numPr>
        <w:kinsoku/>
        <w:wordWrap/>
        <w:overflowPunct/>
        <w:topLinePunct w:val="0"/>
        <w:bidi w:val="0"/>
        <w:snapToGrid/>
        <w:spacing w:line="400" w:lineRule="exact"/>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9、提供产品的医疗器械产品注册证或备案凭证复印件。</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kern w:val="0"/>
          <w:sz w:val="24"/>
          <w:szCs w:val="24"/>
          <w:lang w:val="zh-CN"/>
        </w:rPr>
        <w:t>五、</w:t>
      </w:r>
      <w:r>
        <w:rPr>
          <w:rFonts w:hint="eastAsia" w:ascii="仿宋_GB2312" w:hAnsi="仿宋_GB2312" w:eastAsia="仿宋_GB2312" w:cs="仿宋_GB2312"/>
          <w:b/>
          <w:bCs/>
          <w:sz w:val="24"/>
          <w:szCs w:val="24"/>
        </w:rPr>
        <w:t>报名方式及截止时间：</w:t>
      </w:r>
      <w:r>
        <w:rPr>
          <w:rFonts w:hint="eastAsia" w:ascii="仿宋_GB2312" w:hAnsi="仿宋_GB2312" w:eastAsia="仿宋_GB2312" w:cs="仿宋_GB2312"/>
          <w:b w:val="0"/>
          <w:bCs w:val="0"/>
          <w:sz w:val="24"/>
          <w:szCs w:val="24"/>
        </w:rPr>
        <w:t>请潜在比选人</w:t>
      </w:r>
      <w:r>
        <w:rPr>
          <w:rFonts w:hint="eastAsia" w:ascii="仿宋_GB2312" w:hAnsi="仿宋_GB2312" w:eastAsia="仿宋_GB2312" w:cs="仿宋_GB2312"/>
          <w:b w:val="0"/>
          <w:bCs w:val="0"/>
          <w:sz w:val="24"/>
          <w:szCs w:val="24"/>
          <w:lang w:val="en-US" w:eastAsia="zh-CN"/>
        </w:rPr>
        <w:t>编辑短信：视频喉镜报名+公司名称+联系人+联系电话，发送至13989277675。收到回复视为报名成功。</w:t>
      </w:r>
      <w:r>
        <w:rPr>
          <w:rFonts w:hint="eastAsia" w:ascii="仿宋_GB2312" w:hAnsi="仿宋_GB2312" w:eastAsia="仿宋_GB2312" w:cs="仿宋_GB2312"/>
          <w:b w:val="0"/>
          <w:bCs w:val="0"/>
          <w:sz w:val="24"/>
          <w:szCs w:val="24"/>
        </w:rPr>
        <w:t>三台县</w:t>
      </w:r>
      <w:r>
        <w:rPr>
          <w:rFonts w:hint="eastAsia" w:ascii="仿宋_GB2312" w:hAnsi="仿宋_GB2312" w:eastAsia="仿宋_GB2312" w:cs="仿宋_GB2312"/>
          <w:b w:val="0"/>
          <w:bCs w:val="0"/>
          <w:sz w:val="24"/>
          <w:szCs w:val="24"/>
          <w:lang w:val="en-US" w:eastAsia="zh-CN"/>
        </w:rPr>
        <w:t>中</w:t>
      </w:r>
      <w:r>
        <w:rPr>
          <w:rFonts w:hint="eastAsia" w:ascii="仿宋_GB2312" w:hAnsi="仿宋_GB2312" w:eastAsia="仿宋_GB2312" w:cs="仿宋_GB2312"/>
          <w:b w:val="0"/>
          <w:bCs w:val="0"/>
          <w:sz w:val="24"/>
          <w:szCs w:val="24"/>
        </w:rPr>
        <w:t>医院采购办</w:t>
      </w:r>
      <w:r>
        <w:rPr>
          <w:rFonts w:hint="eastAsia" w:ascii="仿宋_GB2312" w:hAnsi="仿宋_GB2312" w:eastAsia="仿宋_GB2312" w:cs="仿宋_GB2312"/>
          <w:b w:val="0"/>
          <w:bCs w:val="0"/>
          <w:sz w:val="24"/>
          <w:szCs w:val="24"/>
          <w:lang w:val="en-US" w:eastAsia="zh-CN"/>
        </w:rPr>
        <w:t>联系</w:t>
      </w:r>
      <w:r>
        <w:rPr>
          <w:rFonts w:hint="eastAsia" w:ascii="仿宋_GB2312" w:hAnsi="仿宋_GB2312" w:eastAsia="仿宋_GB2312" w:cs="仿宋_GB2312"/>
          <w:b w:val="0"/>
          <w:bCs w:val="0"/>
          <w:sz w:val="24"/>
          <w:szCs w:val="24"/>
        </w:rPr>
        <w:t>电话：0816-52</w:t>
      </w:r>
      <w:r>
        <w:rPr>
          <w:rFonts w:hint="eastAsia" w:ascii="仿宋_GB2312" w:hAnsi="仿宋_GB2312" w:eastAsia="仿宋_GB2312" w:cs="仿宋_GB2312"/>
          <w:b w:val="0"/>
          <w:bCs w:val="0"/>
          <w:sz w:val="24"/>
          <w:szCs w:val="24"/>
          <w:lang w:val="en-US" w:eastAsia="zh-CN"/>
        </w:rPr>
        <w:t>61268</w:t>
      </w:r>
      <w:r>
        <w:rPr>
          <w:rFonts w:hint="eastAsia" w:ascii="仿宋_GB2312" w:hAnsi="仿宋_GB2312" w:eastAsia="仿宋_GB2312" w:cs="仿宋_GB2312"/>
          <w:b w:val="0"/>
          <w:bCs w:val="0"/>
          <w:sz w:val="24"/>
          <w:szCs w:val="24"/>
        </w:rPr>
        <w:t>，联系人：</w:t>
      </w:r>
      <w:r>
        <w:rPr>
          <w:rFonts w:hint="eastAsia" w:ascii="仿宋_GB2312" w:hAnsi="仿宋_GB2312" w:eastAsia="仿宋_GB2312" w:cs="仿宋_GB2312"/>
          <w:b w:val="0"/>
          <w:bCs w:val="0"/>
          <w:sz w:val="24"/>
          <w:szCs w:val="24"/>
          <w:lang w:val="en-US" w:eastAsia="zh-CN"/>
        </w:rPr>
        <w:t>杨</w:t>
      </w:r>
      <w:r>
        <w:rPr>
          <w:rFonts w:hint="eastAsia" w:ascii="仿宋_GB2312" w:hAnsi="仿宋_GB2312" w:eastAsia="仿宋_GB2312" w:cs="仿宋_GB2312"/>
          <w:b w:val="0"/>
          <w:bCs w:val="0"/>
          <w:sz w:val="24"/>
          <w:szCs w:val="24"/>
        </w:rPr>
        <w:t>老师、</w:t>
      </w:r>
      <w:r>
        <w:rPr>
          <w:rFonts w:hint="eastAsia" w:ascii="仿宋_GB2312" w:hAnsi="仿宋_GB2312" w:eastAsia="仿宋_GB2312" w:cs="仿宋_GB2312"/>
          <w:b w:val="0"/>
          <w:bCs w:val="0"/>
          <w:sz w:val="24"/>
          <w:szCs w:val="24"/>
          <w:lang w:val="en-US" w:eastAsia="zh-CN"/>
        </w:rPr>
        <w:t>李</w:t>
      </w:r>
      <w:r>
        <w:rPr>
          <w:rFonts w:hint="eastAsia" w:ascii="仿宋_GB2312" w:hAnsi="仿宋_GB2312" w:eastAsia="仿宋_GB2312" w:cs="仿宋_GB2312"/>
          <w:b w:val="0"/>
          <w:bCs w:val="0"/>
          <w:sz w:val="24"/>
          <w:szCs w:val="24"/>
        </w:rPr>
        <w:t>老师；</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sz w:val="24"/>
          <w:szCs w:val="24"/>
        </w:rPr>
        <w:t>报名时间：</w:t>
      </w:r>
      <w:r>
        <w:rPr>
          <w:rFonts w:hint="eastAsia" w:ascii="仿宋_GB2312" w:hAnsi="仿宋_GB2312" w:eastAsia="仿宋_GB2312" w:cs="仿宋_GB2312"/>
          <w:b w:val="0"/>
          <w:bCs w:val="0"/>
          <w:sz w:val="24"/>
          <w:szCs w:val="24"/>
          <w:lang w:val="en-US" w:eastAsia="zh-CN"/>
        </w:rPr>
        <w:t>本采购公告发布之日起至2022年11月1日17:30</w:t>
      </w:r>
      <w:r>
        <w:rPr>
          <w:rFonts w:hint="eastAsia" w:ascii="仿宋_GB2312" w:hAnsi="仿宋_GB2312" w:eastAsia="仿宋_GB2312" w:cs="仿宋_GB2312"/>
          <w:b w:val="0"/>
          <w:bCs w:val="0"/>
          <w:sz w:val="24"/>
          <w:szCs w:val="24"/>
        </w:rPr>
        <w:t>（北京时间，节假日</w:t>
      </w:r>
      <w:r>
        <w:rPr>
          <w:rFonts w:hint="eastAsia" w:ascii="仿宋_GB2312" w:hAnsi="仿宋_GB2312" w:eastAsia="仿宋_GB2312" w:cs="仿宋_GB2312"/>
          <w:b w:val="0"/>
          <w:bCs w:val="0"/>
          <w:sz w:val="24"/>
          <w:szCs w:val="24"/>
          <w:lang w:val="en-US" w:eastAsia="zh-CN"/>
        </w:rPr>
        <w:t>不休</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六、</w:t>
      </w:r>
      <w:r>
        <w:rPr>
          <w:rFonts w:hint="eastAsia" w:ascii="仿宋_GB2312" w:hAnsi="仿宋_GB2312" w:eastAsia="仿宋_GB2312" w:cs="仿宋_GB2312"/>
          <w:b/>
          <w:bCs/>
          <w:sz w:val="24"/>
          <w:szCs w:val="24"/>
        </w:rPr>
        <w:t>响应文件递交截止时间：</w:t>
      </w:r>
      <w:r>
        <w:rPr>
          <w:rFonts w:hint="eastAsia" w:ascii="仿宋_GB2312" w:hAnsi="仿宋_GB2312" w:eastAsia="仿宋_GB2312" w:cs="仿宋_GB2312"/>
          <w:b w:val="0"/>
          <w:bCs w:val="0"/>
          <w:sz w:val="24"/>
          <w:szCs w:val="24"/>
        </w:rPr>
        <w:t>2022年</w:t>
      </w:r>
      <w:r>
        <w:rPr>
          <w:rFonts w:hint="eastAsia" w:ascii="仿宋_GB2312" w:hAnsi="仿宋_GB2312" w:eastAsia="仿宋_GB2312" w:cs="仿宋_GB2312"/>
          <w:b w:val="0"/>
          <w:bCs w:val="0"/>
          <w:sz w:val="24"/>
          <w:szCs w:val="24"/>
          <w:lang w:val="en-US" w:eastAsia="zh-CN"/>
        </w:rPr>
        <w:t>11</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rPr>
        <w:t>七、递交响应文件地点、方式</w:t>
      </w:r>
      <w:r>
        <w:rPr>
          <w:rFonts w:hint="eastAsia" w:ascii="仿宋_GB2312" w:hAnsi="仿宋_GB2312" w:eastAsia="仿宋_GB2312" w:cs="仿宋_GB2312"/>
          <w:b/>
          <w:sz w:val="24"/>
          <w:szCs w:val="24"/>
        </w:rPr>
        <w:t>：</w:t>
      </w:r>
      <w:r>
        <w:rPr>
          <w:rFonts w:hint="eastAsia" w:ascii="仿宋_GB2312" w:hAnsi="仿宋_GB2312" w:eastAsia="仿宋_GB2312" w:cs="仿宋_GB2312"/>
          <w:b w:val="0"/>
          <w:bCs w:val="0"/>
          <w:sz w:val="24"/>
          <w:szCs w:val="24"/>
        </w:rPr>
        <w:t>响应文件一式两份（一正一副，密封）</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交至</w:t>
      </w:r>
      <w:r>
        <w:rPr>
          <w:rFonts w:hint="eastAsia" w:ascii="仿宋_GB2312" w:hAnsi="仿宋_GB2312" w:eastAsia="仿宋_GB2312" w:cs="仿宋_GB2312"/>
          <w:b w:val="0"/>
          <w:bCs w:val="0"/>
          <w:sz w:val="24"/>
          <w:szCs w:val="24"/>
        </w:rPr>
        <w:t>三台县</w:t>
      </w:r>
      <w:r>
        <w:rPr>
          <w:rFonts w:hint="eastAsia" w:ascii="仿宋_GB2312" w:hAnsi="仿宋_GB2312" w:eastAsia="仿宋_GB2312" w:cs="仿宋_GB2312"/>
          <w:b w:val="0"/>
          <w:bCs w:val="0"/>
          <w:sz w:val="24"/>
          <w:szCs w:val="24"/>
          <w:lang w:eastAsia="zh-CN"/>
        </w:rPr>
        <w:t>中医院</w:t>
      </w:r>
      <w:r>
        <w:rPr>
          <w:rFonts w:hint="eastAsia" w:ascii="仿宋_GB2312" w:hAnsi="仿宋_GB2312" w:eastAsia="仿宋_GB2312" w:cs="仿宋_GB2312"/>
          <w:b w:val="0"/>
          <w:bCs w:val="0"/>
          <w:sz w:val="24"/>
          <w:szCs w:val="24"/>
        </w:rPr>
        <w:t>采购</w:t>
      </w:r>
      <w:r>
        <w:rPr>
          <w:rFonts w:hint="eastAsia" w:ascii="仿宋_GB2312" w:hAnsi="仿宋_GB2312" w:eastAsia="仿宋_GB2312" w:cs="仿宋_GB2312"/>
          <w:b w:val="0"/>
          <w:bCs w:val="0"/>
          <w:sz w:val="24"/>
          <w:szCs w:val="24"/>
          <w:lang w:val="en-US" w:eastAsia="zh-CN"/>
        </w:rPr>
        <w:t>科（杨老师</w:t>
      </w:r>
      <w:r>
        <w:rPr>
          <w:rFonts w:hint="eastAsia" w:ascii="仿宋_GB2312" w:hAnsi="仿宋_GB2312" w:eastAsia="仿宋_GB2312" w:cs="仿宋_GB2312"/>
          <w:b w:val="0"/>
          <w:bCs w:val="0"/>
          <w:sz w:val="24"/>
          <w:szCs w:val="24"/>
        </w:rPr>
        <w:t>收，收件电话：</w:t>
      </w:r>
      <w:r>
        <w:rPr>
          <w:rFonts w:hint="eastAsia" w:ascii="仿宋_GB2312" w:hAnsi="仿宋_GB2312" w:eastAsia="仿宋_GB2312" w:cs="仿宋_GB2312"/>
          <w:b w:val="0"/>
          <w:bCs w:val="0"/>
          <w:sz w:val="24"/>
          <w:szCs w:val="24"/>
          <w:lang w:val="en-US" w:eastAsia="zh-CN"/>
        </w:rPr>
        <w:t>13989277675</w:t>
      </w:r>
      <w:r>
        <w:rPr>
          <w:rFonts w:hint="eastAsia" w:ascii="仿宋_GB2312" w:hAnsi="仿宋_GB2312" w:eastAsia="仿宋_GB2312" w:cs="仿宋_GB2312"/>
          <w:b w:val="0"/>
          <w:bCs w:val="0"/>
          <w:sz w:val="24"/>
          <w:szCs w:val="24"/>
        </w:rPr>
        <w:t>）。逾期送达或密封和标注不符合比选邀请文件规定的响应文件恕不接受</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Cs/>
          <w:kern w:val="0"/>
          <w:sz w:val="24"/>
          <w:szCs w:val="24"/>
        </w:rPr>
      </w:pPr>
      <w:r>
        <w:rPr>
          <w:rFonts w:hint="eastAsia" w:ascii="仿宋_GB2312" w:hAnsi="仿宋_GB2312" w:eastAsia="仿宋_GB2312" w:cs="仿宋_GB2312"/>
          <w:b/>
          <w:kern w:val="0"/>
          <w:sz w:val="24"/>
          <w:szCs w:val="24"/>
        </w:rPr>
        <w:t>八、</w:t>
      </w:r>
      <w:r>
        <w:rPr>
          <w:rFonts w:hint="eastAsia" w:ascii="仿宋_GB2312" w:hAnsi="仿宋_GB2312" w:eastAsia="仿宋_GB2312" w:cs="仿宋_GB2312"/>
          <w:b/>
          <w:bCs/>
          <w:sz w:val="24"/>
          <w:szCs w:val="24"/>
        </w:rPr>
        <w:t>比选时间：</w:t>
      </w:r>
      <w:r>
        <w:rPr>
          <w:rFonts w:hint="eastAsia" w:ascii="仿宋_GB2312" w:hAnsi="仿宋_GB2312" w:eastAsia="仿宋_GB2312" w:cs="仿宋_GB2312"/>
          <w:b w:val="0"/>
          <w:bCs w:val="0"/>
          <w:sz w:val="24"/>
          <w:szCs w:val="24"/>
        </w:rPr>
        <w:t>2022年</w:t>
      </w:r>
      <w:r>
        <w:rPr>
          <w:rFonts w:hint="eastAsia" w:ascii="仿宋_GB2312" w:hAnsi="仿宋_GB2312" w:eastAsia="仿宋_GB2312" w:cs="仿宋_GB2312"/>
          <w:b w:val="0"/>
          <w:bCs w:val="0"/>
          <w:sz w:val="24"/>
          <w:szCs w:val="24"/>
          <w:lang w:val="en-US" w:eastAsia="zh-CN"/>
        </w:rPr>
        <w:t>11</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Cs/>
          <w:kern w:val="0"/>
          <w:sz w:val="24"/>
          <w:szCs w:val="24"/>
        </w:rPr>
      </w:pPr>
      <w:r>
        <w:rPr>
          <w:rFonts w:hint="eastAsia" w:ascii="仿宋_GB2312" w:hAnsi="仿宋_GB2312" w:eastAsia="仿宋_GB2312" w:cs="仿宋_GB2312"/>
          <w:b/>
          <w:kern w:val="0"/>
          <w:sz w:val="24"/>
          <w:szCs w:val="24"/>
        </w:rPr>
        <w:t>九、</w:t>
      </w:r>
      <w:r>
        <w:rPr>
          <w:rFonts w:hint="eastAsia" w:ascii="仿宋_GB2312" w:hAnsi="仿宋_GB2312" w:eastAsia="仿宋_GB2312" w:cs="仿宋_GB2312"/>
          <w:b/>
          <w:bCs/>
          <w:sz w:val="24"/>
          <w:szCs w:val="24"/>
        </w:rPr>
        <w:t>比选地点：</w:t>
      </w:r>
      <w:r>
        <w:rPr>
          <w:rFonts w:hint="eastAsia" w:ascii="仿宋_GB2312" w:hAnsi="仿宋_GB2312" w:eastAsia="仿宋_GB2312" w:cs="仿宋_GB2312"/>
          <w:bCs/>
          <w:sz w:val="24"/>
          <w:szCs w:val="24"/>
        </w:rPr>
        <w:t>三台县</w:t>
      </w:r>
      <w:r>
        <w:rPr>
          <w:rFonts w:hint="eastAsia" w:ascii="仿宋_GB2312" w:hAnsi="仿宋_GB2312" w:eastAsia="仿宋_GB2312" w:cs="仿宋_GB2312"/>
          <w:bCs/>
          <w:sz w:val="24"/>
          <w:szCs w:val="24"/>
          <w:lang w:eastAsia="zh-CN"/>
        </w:rPr>
        <w:t>中医院</w:t>
      </w:r>
      <w:r>
        <w:rPr>
          <w:rFonts w:hint="eastAsia" w:ascii="仿宋_GB2312" w:hAnsi="仿宋_GB2312" w:eastAsia="仿宋_GB2312" w:cs="仿宋_GB2312"/>
          <w:bCs/>
          <w:sz w:val="24"/>
          <w:szCs w:val="24"/>
        </w:rPr>
        <w:t>行政楼</w:t>
      </w:r>
      <w:r>
        <w:rPr>
          <w:rFonts w:hint="eastAsia" w:ascii="仿宋_GB2312" w:hAnsi="仿宋_GB2312" w:eastAsia="仿宋_GB2312" w:cs="仿宋_GB2312"/>
          <w:bCs/>
          <w:sz w:val="24"/>
          <w:szCs w:val="24"/>
          <w:lang w:val="en-US" w:eastAsia="zh-CN"/>
        </w:rPr>
        <w:t>三楼</w:t>
      </w:r>
      <w:r>
        <w:rPr>
          <w:rFonts w:hint="eastAsia" w:ascii="仿宋_GB2312" w:hAnsi="仿宋_GB2312" w:eastAsia="仿宋_GB2312" w:cs="仿宋_GB2312"/>
          <w:bCs/>
          <w:sz w:val="24"/>
          <w:szCs w:val="24"/>
        </w:rPr>
        <w:t>会议室（如有变动，另行通知）</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w:t>
      </w:r>
      <w:r>
        <w:rPr>
          <w:rFonts w:hint="eastAsia" w:ascii="仿宋_GB2312" w:hAnsi="仿宋_GB2312" w:eastAsia="仿宋_GB2312" w:cs="仿宋_GB2312"/>
          <w:b/>
          <w:bCs/>
          <w:sz w:val="24"/>
          <w:szCs w:val="24"/>
        </w:rPr>
        <w:t>比选公告将在三台县</w:t>
      </w:r>
      <w:r>
        <w:rPr>
          <w:rFonts w:hint="eastAsia" w:ascii="仿宋_GB2312" w:hAnsi="仿宋_GB2312" w:eastAsia="仿宋_GB2312" w:cs="仿宋_GB2312"/>
          <w:b/>
          <w:bCs/>
          <w:sz w:val="24"/>
          <w:szCs w:val="24"/>
          <w:lang w:eastAsia="zh-CN"/>
        </w:rPr>
        <w:t>中医院</w:t>
      </w:r>
      <w:r>
        <w:rPr>
          <w:rFonts w:hint="eastAsia" w:ascii="仿宋_GB2312" w:hAnsi="仿宋_GB2312" w:eastAsia="仿宋_GB2312" w:cs="仿宋_GB2312"/>
          <w:b/>
          <w:bCs/>
          <w:sz w:val="24"/>
          <w:szCs w:val="24"/>
        </w:rPr>
        <w:t>官网以公告形式发布。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十一、</w:t>
      </w:r>
      <w:r>
        <w:rPr>
          <w:rFonts w:hint="eastAsia" w:ascii="仿宋_GB2312" w:hAnsi="仿宋_GB2312" w:eastAsia="仿宋_GB2312" w:cs="仿宋_GB2312"/>
          <w:b/>
          <w:bCs/>
          <w:sz w:val="24"/>
          <w:szCs w:val="24"/>
        </w:rPr>
        <w:t>联系方式</w:t>
      </w:r>
    </w:p>
    <w:p>
      <w:pPr>
        <w:keepNext w:val="0"/>
        <w:keepLines w:val="0"/>
        <w:pageBreakBefore w:val="0"/>
        <w:widowControl w:val="0"/>
        <w:tabs>
          <w:tab w:val="left" w:pos="2310"/>
        </w:tabs>
        <w:kinsoku/>
        <w:wordWrap/>
        <w:overflowPunct/>
        <w:topLinePunct w:val="0"/>
        <w:bidi w:val="0"/>
        <w:snapToGrid/>
        <w:spacing w:line="400" w:lineRule="exact"/>
        <w:ind w:left="560" w:right="420" w:right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采购人：三台县</w:t>
      </w:r>
      <w:r>
        <w:rPr>
          <w:rFonts w:hint="eastAsia" w:ascii="仿宋_GB2312" w:hAnsi="仿宋_GB2312" w:eastAsia="仿宋_GB2312" w:cs="仿宋_GB2312"/>
          <w:sz w:val="24"/>
          <w:szCs w:val="24"/>
          <w:lang w:eastAsia="zh-CN"/>
        </w:rPr>
        <w:t>中医院</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址：三台县潼川镇</w:t>
      </w:r>
      <w:r>
        <w:rPr>
          <w:rFonts w:hint="eastAsia" w:ascii="仿宋_GB2312" w:hAnsi="仿宋_GB2312" w:eastAsia="仿宋_GB2312" w:cs="仿宋_GB2312"/>
          <w:sz w:val="24"/>
          <w:szCs w:val="24"/>
          <w:lang w:val="en-US" w:eastAsia="zh-CN"/>
        </w:rPr>
        <w:t>学街31</w:t>
      </w:r>
      <w:r>
        <w:rPr>
          <w:rFonts w:hint="eastAsia" w:ascii="仿宋_GB2312" w:hAnsi="仿宋_GB2312" w:eastAsia="仿宋_GB2312" w:cs="仿宋_GB2312"/>
          <w:sz w:val="24"/>
          <w:szCs w:val="24"/>
        </w:rPr>
        <w:t>号</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杨</w:t>
      </w:r>
      <w:r>
        <w:rPr>
          <w:rFonts w:hint="eastAsia" w:ascii="仿宋_GB2312" w:hAnsi="仿宋_GB2312" w:eastAsia="仿宋_GB2312" w:cs="仿宋_GB2312"/>
          <w:sz w:val="24"/>
          <w:szCs w:val="24"/>
        </w:rPr>
        <w:t>老师</w:t>
      </w:r>
      <w:bookmarkStart w:id="14" w:name="_GoBack"/>
      <w:bookmarkEnd w:id="14"/>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rPr>
        <w:t>电  话：</w:t>
      </w:r>
      <w:bookmarkStart w:id="1" w:name="_Toc418004672"/>
      <w:r>
        <w:rPr>
          <w:rFonts w:hint="eastAsia" w:ascii="仿宋_GB2312" w:hAnsi="仿宋_GB2312" w:eastAsia="仿宋_GB2312" w:cs="仿宋_GB2312"/>
          <w:sz w:val="24"/>
          <w:szCs w:val="24"/>
          <w:lang w:val="en-US" w:eastAsia="zh-CN"/>
        </w:rPr>
        <w:t>0816 5261268</w:t>
      </w:r>
    </w:p>
    <w:bookmarkEnd w:id="1"/>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sz w:val="24"/>
          <w:szCs w:val="24"/>
        </w:rPr>
      </w:pPr>
      <w:bookmarkStart w:id="2" w:name="_Toc52036324"/>
      <w:r>
        <w:rPr>
          <w:rFonts w:hint="eastAsia" w:ascii="仿宋_GB2312" w:hAnsi="仿宋_GB2312" w:eastAsia="仿宋_GB2312" w:cs="仿宋_GB2312"/>
          <w:b/>
          <w:sz w:val="24"/>
          <w:szCs w:val="24"/>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2"/>
    </w:p>
    <w:p>
      <w:pPr>
        <w:spacing w:line="360" w:lineRule="auto"/>
        <w:rPr>
          <w:rFonts w:hint="eastAsia"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一、技术参数及要求</w:t>
      </w:r>
    </w:p>
    <w:p>
      <w:pPr>
        <w:spacing w:line="360" w:lineRule="auto"/>
        <w:jc w:val="center"/>
        <w:rPr>
          <w:b/>
          <w:bCs/>
          <w:sz w:val="24"/>
        </w:rPr>
      </w:pPr>
      <w:r>
        <w:rPr>
          <w:rFonts w:hint="eastAsia"/>
          <w:b/>
          <w:bCs/>
          <w:sz w:val="24"/>
        </w:rPr>
        <w:t>视频喉镜（配窥视手柄）技术规格要求</w:t>
      </w:r>
    </w:p>
    <w:p>
      <w:pPr>
        <w:spacing w:line="360" w:lineRule="auto"/>
        <w:rPr>
          <w:rFonts w:ascii="宋体" w:hAnsi="宋体"/>
          <w:b/>
          <w:bCs/>
        </w:rPr>
      </w:pPr>
      <w:r>
        <w:rPr>
          <w:rFonts w:hint="eastAsia" w:ascii="宋体" w:hAnsi="宋体"/>
          <w:b/>
          <w:bCs/>
        </w:rPr>
        <w:t>一：主机技术要求</w:t>
      </w:r>
    </w:p>
    <w:p>
      <w:pPr>
        <w:spacing w:line="360" w:lineRule="auto"/>
        <w:rPr>
          <w:rFonts w:ascii="宋体" w:hAnsi="宋体"/>
        </w:rPr>
      </w:pPr>
      <w:r>
        <w:rPr>
          <w:rFonts w:hint="eastAsia" w:ascii="宋体" w:hAnsi="宋体"/>
        </w:rPr>
        <w:t>▲1</w:t>
      </w:r>
      <w:r>
        <w:rPr>
          <w:rFonts w:hint="eastAsia" w:ascii="宋体" w:hAnsi="宋体"/>
          <w:lang w:eastAsia="zh-CN"/>
        </w:rPr>
        <w:t>、</w:t>
      </w:r>
      <w:r>
        <w:rPr>
          <w:rFonts w:hint="eastAsia" w:ascii="宋体" w:hAnsi="宋体"/>
        </w:rPr>
        <w:t>采用智能主控芯片，可无缝兼容窥视叶片手柄、硬管手柄、软管手柄，无需转接。</w:t>
      </w:r>
    </w:p>
    <w:p>
      <w:pPr>
        <w:spacing w:line="360" w:lineRule="auto"/>
        <w:rPr>
          <w:rFonts w:ascii="宋体" w:hAnsi="宋体"/>
        </w:rPr>
      </w:pPr>
      <w:r>
        <w:rPr>
          <w:rFonts w:hint="eastAsia" w:ascii="宋体" w:hAnsi="宋体"/>
        </w:rPr>
        <w:t>2</w:t>
      </w:r>
      <w:r>
        <w:rPr>
          <w:rFonts w:hint="eastAsia" w:ascii="宋体" w:hAnsi="宋体"/>
          <w:lang w:eastAsia="zh-CN"/>
        </w:rPr>
        <w:t>、</w:t>
      </w:r>
      <w:r>
        <w:rPr>
          <w:rFonts w:hint="eastAsia" w:ascii="宋体" w:hAnsi="宋体"/>
        </w:rPr>
        <w:t>采用广角高亮显示屏，视场角≥160°。显示器能上下0º～130º转动，左右0º～270º转动，以方便特殊体位的操作</w:t>
      </w:r>
    </w:p>
    <w:p>
      <w:pPr>
        <w:spacing w:line="360" w:lineRule="auto"/>
        <w:rPr>
          <w:rFonts w:ascii="宋体" w:hAnsi="宋体"/>
        </w:rPr>
      </w:pPr>
      <w:r>
        <w:rPr>
          <w:rFonts w:hint="eastAsia" w:ascii="宋体" w:hAnsi="宋体"/>
        </w:rPr>
        <w:t>3</w:t>
      </w:r>
      <w:r>
        <w:rPr>
          <w:rFonts w:hint="eastAsia" w:ascii="宋体" w:hAnsi="宋体"/>
          <w:lang w:eastAsia="zh-CN"/>
        </w:rPr>
        <w:t>、</w:t>
      </w:r>
      <w:r>
        <w:rPr>
          <w:rFonts w:hint="eastAsia" w:ascii="宋体" w:hAnsi="宋体"/>
        </w:rPr>
        <w:t>主机屏幕≥3.5寸，显示分辨率≥640×480。</w:t>
      </w:r>
    </w:p>
    <w:p>
      <w:pPr>
        <w:spacing w:line="360" w:lineRule="auto"/>
        <w:rPr>
          <w:rFonts w:ascii="宋体" w:hAnsi="宋体"/>
        </w:rPr>
      </w:pPr>
      <w:r>
        <w:rPr>
          <w:rFonts w:hint="eastAsia" w:ascii="宋体" w:hAnsi="宋体"/>
        </w:rPr>
        <w:t>▲4</w:t>
      </w:r>
      <w:r>
        <w:rPr>
          <w:rFonts w:hint="eastAsia" w:ascii="宋体" w:hAnsi="宋体"/>
          <w:lang w:eastAsia="zh-CN"/>
        </w:rPr>
        <w:t>、</w:t>
      </w:r>
      <w:r>
        <w:rPr>
          <w:rFonts w:hint="eastAsia" w:ascii="宋体" w:hAnsi="宋体"/>
        </w:rPr>
        <w:t>屏幕采用医用电阻触摸屏。</w:t>
      </w:r>
    </w:p>
    <w:p>
      <w:pPr>
        <w:spacing w:line="360" w:lineRule="auto"/>
        <w:rPr>
          <w:rFonts w:ascii="宋体" w:hAnsi="宋体"/>
        </w:rPr>
      </w:pPr>
      <w:r>
        <w:rPr>
          <w:rFonts w:hint="eastAsia" w:ascii="宋体" w:hAnsi="宋体"/>
        </w:rPr>
        <w:t>5</w:t>
      </w:r>
      <w:r>
        <w:rPr>
          <w:rFonts w:hint="eastAsia" w:ascii="宋体" w:hAnsi="宋体"/>
          <w:lang w:eastAsia="zh-CN"/>
        </w:rPr>
        <w:t>、</w:t>
      </w:r>
      <w:r>
        <w:rPr>
          <w:rFonts w:hint="eastAsia" w:ascii="宋体" w:hAnsi="宋体"/>
        </w:rPr>
        <w:t>可通过有线或无线方式外接显示器，实现同屏实时显示传输。</w:t>
      </w:r>
    </w:p>
    <w:p>
      <w:pPr>
        <w:spacing w:line="360" w:lineRule="auto"/>
        <w:rPr>
          <w:rFonts w:ascii="宋体" w:hAnsi="宋体"/>
        </w:rPr>
      </w:pPr>
      <w:r>
        <w:rPr>
          <w:rFonts w:hint="eastAsia" w:ascii="宋体" w:hAnsi="宋体"/>
        </w:rPr>
        <w:t>▲6</w:t>
      </w:r>
      <w:r>
        <w:rPr>
          <w:rFonts w:hint="eastAsia" w:ascii="宋体" w:hAnsi="宋体"/>
          <w:lang w:eastAsia="zh-CN"/>
        </w:rPr>
        <w:t>、</w:t>
      </w:r>
      <w:r>
        <w:rPr>
          <w:rFonts w:hint="eastAsia" w:ascii="宋体" w:hAnsi="宋体"/>
        </w:rPr>
        <w:t>主机内置多媒体系统，可拍照、录像、录音，可在主机上直接阅读、回放。</w:t>
      </w:r>
    </w:p>
    <w:p>
      <w:pPr>
        <w:spacing w:line="360" w:lineRule="auto"/>
        <w:rPr>
          <w:rFonts w:ascii="宋体" w:hAnsi="宋体"/>
        </w:rPr>
      </w:pPr>
      <w:r>
        <w:rPr>
          <w:rFonts w:hint="eastAsia" w:ascii="宋体" w:hAnsi="宋体"/>
          <w:lang w:val="en-US" w:eastAsia="zh-CN"/>
        </w:rPr>
        <w:t>7</w:t>
      </w:r>
      <w:r>
        <w:rPr>
          <w:rFonts w:hint="eastAsia" w:ascii="宋体" w:hAnsi="宋体"/>
          <w:lang w:eastAsia="zh-CN"/>
        </w:rPr>
        <w:t>、</w:t>
      </w:r>
      <w:r>
        <w:rPr>
          <w:rFonts w:hint="eastAsia" w:ascii="宋体" w:hAnsi="宋体"/>
        </w:rPr>
        <w:t>主机内置操作使用视频。</w:t>
      </w:r>
    </w:p>
    <w:p>
      <w:pPr>
        <w:spacing w:line="360" w:lineRule="auto"/>
        <w:rPr>
          <w:rFonts w:ascii="宋体" w:hAnsi="宋体"/>
        </w:rPr>
      </w:pPr>
      <w:r>
        <w:rPr>
          <w:rFonts w:hint="eastAsia" w:ascii="宋体" w:hAnsi="宋体"/>
          <w:lang w:val="en-US" w:eastAsia="zh-CN"/>
        </w:rPr>
        <w:t>8</w:t>
      </w:r>
      <w:r>
        <w:rPr>
          <w:rFonts w:hint="eastAsia" w:ascii="宋体" w:hAnsi="宋体"/>
          <w:lang w:eastAsia="zh-CN"/>
        </w:rPr>
        <w:t>、</w:t>
      </w:r>
      <w:r>
        <w:rPr>
          <w:rFonts w:hint="eastAsia" w:ascii="宋体" w:hAnsi="宋体"/>
        </w:rPr>
        <w:t>具有户外/户内环境模式，以适应不同插管环境。</w:t>
      </w:r>
    </w:p>
    <w:p>
      <w:pPr>
        <w:spacing w:line="360" w:lineRule="auto"/>
        <w:rPr>
          <w:rFonts w:ascii="宋体" w:hAnsi="宋体"/>
        </w:rPr>
      </w:pPr>
      <w:r>
        <w:rPr>
          <w:rFonts w:hint="eastAsia" w:ascii="宋体" w:hAnsi="宋体"/>
          <w:lang w:val="en-US" w:eastAsia="zh-CN"/>
        </w:rPr>
        <w:t>9、</w:t>
      </w:r>
      <w:r>
        <w:rPr>
          <w:rFonts w:hint="eastAsia" w:ascii="宋体" w:hAnsi="宋体"/>
        </w:rPr>
        <w:t>：内置锂电池，容量不低于2500mAh，工作时间≥240分钟，具备电量管理功能。</w:t>
      </w:r>
    </w:p>
    <w:p>
      <w:pPr>
        <w:spacing w:line="360" w:lineRule="auto"/>
        <w:rPr>
          <w:rFonts w:ascii="宋体" w:hAnsi="宋体"/>
        </w:rPr>
      </w:pPr>
      <w:r>
        <w:rPr>
          <w:rFonts w:hint="eastAsia" w:ascii="宋体" w:hAnsi="宋体"/>
          <w:lang w:val="en-US" w:eastAsia="zh-CN"/>
        </w:rPr>
        <w:t>10</w:t>
      </w:r>
      <w:r>
        <w:rPr>
          <w:rFonts w:hint="eastAsia" w:ascii="宋体" w:hAnsi="宋体"/>
        </w:rPr>
        <w:t>：主机与各种手柄均可带电一键插拔连接、分离，无需旋转，方便临床使用及携带。</w:t>
      </w:r>
    </w:p>
    <w:p>
      <w:pPr>
        <w:spacing w:line="360" w:lineRule="auto"/>
        <w:rPr>
          <w:rFonts w:ascii="宋体" w:hAnsi="宋体"/>
          <w:b/>
          <w:bCs/>
        </w:rPr>
      </w:pPr>
      <w:r>
        <w:rPr>
          <w:rFonts w:hint="eastAsia" w:ascii="宋体" w:hAnsi="宋体"/>
          <w:b/>
          <w:bCs/>
        </w:rPr>
        <w:t>二：窥视叶片手柄 技术规格要求</w:t>
      </w:r>
    </w:p>
    <w:p>
      <w:pPr>
        <w:spacing w:line="360" w:lineRule="auto"/>
        <w:rPr>
          <w:rFonts w:ascii="宋体" w:hAnsi="宋体"/>
        </w:rPr>
      </w:pPr>
      <w:r>
        <w:rPr>
          <w:rFonts w:hint="eastAsia" w:ascii="宋体" w:hAnsi="宋体"/>
        </w:rPr>
        <w:t>1</w:t>
      </w:r>
      <w:r>
        <w:rPr>
          <w:rFonts w:hint="eastAsia" w:ascii="宋体" w:hAnsi="宋体"/>
          <w:lang w:eastAsia="zh-CN"/>
        </w:rPr>
        <w:t>、</w:t>
      </w:r>
      <w:r>
        <w:rPr>
          <w:rFonts w:hint="eastAsia" w:ascii="宋体" w:hAnsi="宋体"/>
        </w:rPr>
        <w:t>采用数字电子成像技术，成像能力不低于30万像素。</w:t>
      </w:r>
    </w:p>
    <w:p>
      <w:pPr>
        <w:spacing w:line="360" w:lineRule="auto"/>
        <w:rPr>
          <w:rFonts w:ascii="宋体" w:hAnsi="宋体"/>
        </w:rPr>
      </w:pPr>
      <w:r>
        <w:rPr>
          <w:rFonts w:hint="eastAsia" w:ascii="宋体" w:hAnsi="宋体"/>
        </w:rPr>
        <w:t>2</w:t>
      </w:r>
      <w:r>
        <w:rPr>
          <w:rFonts w:hint="eastAsia" w:ascii="宋体" w:hAnsi="宋体"/>
          <w:lang w:eastAsia="zh-CN"/>
        </w:rPr>
        <w:t>、</w:t>
      </w:r>
      <w:r>
        <w:rPr>
          <w:rFonts w:hint="eastAsia" w:ascii="宋体" w:hAnsi="宋体"/>
        </w:rPr>
        <w:t>采用可调节的多功能手柄，一支手柄可满足婴幼儿、小儿、成人的插管需求，无需更换。</w:t>
      </w:r>
    </w:p>
    <w:p>
      <w:pPr>
        <w:spacing w:line="360" w:lineRule="auto"/>
        <w:rPr>
          <w:rFonts w:ascii="宋体" w:hAnsi="宋体"/>
        </w:rPr>
      </w:pPr>
      <w:r>
        <w:rPr>
          <w:rFonts w:hint="eastAsia" w:ascii="宋体" w:hAnsi="宋体"/>
        </w:rPr>
        <w:t>3</w:t>
      </w:r>
      <w:r>
        <w:rPr>
          <w:rFonts w:hint="eastAsia" w:ascii="宋体" w:hAnsi="宋体"/>
          <w:lang w:eastAsia="zh-CN"/>
        </w:rPr>
        <w:t>、</w:t>
      </w:r>
      <w:r>
        <w:rPr>
          <w:rFonts w:hint="eastAsia" w:ascii="宋体" w:hAnsi="宋体"/>
        </w:rPr>
        <w:t>手柄滑竿采用304不锈钢材质，可承重90KG拉力。</w:t>
      </w:r>
    </w:p>
    <w:p>
      <w:pPr>
        <w:spacing w:line="360" w:lineRule="auto"/>
        <w:rPr>
          <w:rFonts w:ascii="宋体" w:hAnsi="宋体"/>
        </w:rPr>
      </w:pPr>
      <w:r>
        <w:rPr>
          <w:rFonts w:hint="eastAsia" w:ascii="宋体" w:hAnsi="宋体"/>
        </w:rPr>
        <w:t>4</w:t>
      </w:r>
      <w:r>
        <w:rPr>
          <w:rFonts w:hint="eastAsia" w:ascii="宋体" w:hAnsi="宋体"/>
          <w:lang w:eastAsia="zh-CN"/>
        </w:rPr>
        <w:t>、</w:t>
      </w:r>
      <w:r>
        <w:rPr>
          <w:rFonts w:hint="eastAsia" w:ascii="宋体" w:hAnsi="宋体"/>
        </w:rPr>
        <w:t>手柄前端配备智能温控加热板，非LED灯加热，以实现即时防雾功能。</w:t>
      </w:r>
    </w:p>
    <w:p>
      <w:pPr>
        <w:spacing w:line="360" w:lineRule="auto"/>
        <w:rPr>
          <w:rFonts w:ascii="宋体" w:hAnsi="宋体"/>
        </w:rPr>
      </w:pPr>
      <w:r>
        <w:rPr>
          <w:rFonts w:hint="eastAsia" w:ascii="宋体" w:hAnsi="宋体"/>
        </w:rPr>
        <w:t>5</w:t>
      </w:r>
      <w:r>
        <w:rPr>
          <w:rFonts w:hint="eastAsia" w:ascii="宋体" w:hAnsi="宋体"/>
          <w:lang w:eastAsia="zh-CN"/>
        </w:rPr>
        <w:t>、</w:t>
      </w:r>
      <w:r>
        <w:rPr>
          <w:rFonts w:hint="eastAsia" w:ascii="宋体" w:hAnsi="宋体"/>
        </w:rPr>
        <w:t>照明采用1个LED灯，亮度≥1000LUX。</w:t>
      </w:r>
    </w:p>
    <w:p>
      <w:pPr>
        <w:spacing w:line="360" w:lineRule="auto"/>
        <w:rPr>
          <w:rFonts w:ascii="宋体" w:hAnsi="宋体"/>
        </w:rPr>
      </w:pPr>
      <w:r>
        <w:rPr>
          <w:rFonts w:hint="eastAsia" w:ascii="宋体" w:hAnsi="宋体"/>
        </w:rPr>
        <w:t>▲6</w:t>
      </w:r>
      <w:r>
        <w:rPr>
          <w:rFonts w:hint="eastAsia" w:ascii="宋体" w:hAnsi="宋体"/>
          <w:lang w:eastAsia="zh-CN"/>
        </w:rPr>
        <w:t>、</w:t>
      </w:r>
      <w:r>
        <w:rPr>
          <w:rFonts w:hint="eastAsia" w:ascii="宋体" w:hAnsi="宋体"/>
        </w:rPr>
        <w:t>手柄可同时适配一次性喉镜片和可重复使用窥视叶片，型号分别为：SS（婴幼儿型）、S（儿童型）、M（成人型）、L（成人大号型）。</w:t>
      </w:r>
    </w:p>
    <w:p>
      <w:pPr>
        <w:spacing w:line="360" w:lineRule="auto"/>
        <w:rPr>
          <w:rFonts w:ascii="宋体" w:hAnsi="宋体"/>
        </w:rPr>
      </w:pPr>
      <w:r>
        <w:rPr>
          <w:rFonts w:hint="eastAsia" w:ascii="宋体" w:hAnsi="宋体"/>
        </w:rPr>
        <w:t>7</w:t>
      </w:r>
      <w:r>
        <w:rPr>
          <w:rFonts w:hint="eastAsia" w:ascii="宋体" w:hAnsi="宋体"/>
          <w:lang w:eastAsia="zh-CN"/>
        </w:rPr>
        <w:t>、</w:t>
      </w:r>
      <w:r>
        <w:rPr>
          <w:rFonts w:hint="eastAsia" w:ascii="宋体" w:hAnsi="宋体"/>
        </w:rPr>
        <w:t>一次性喉镜片及可重复使用窥视叶片均作磨砂防反光处理，操作视野更为清晰。</w:t>
      </w:r>
    </w:p>
    <w:p>
      <w:pPr>
        <w:spacing w:line="360" w:lineRule="auto"/>
        <w:rPr>
          <w:rFonts w:ascii="宋体" w:hAnsi="宋体"/>
        </w:rPr>
      </w:pPr>
      <w:r>
        <w:rPr>
          <w:rFonts w:hint="eastAsia" w:ascii="宋体" w:hAnsi="宋体"/>
        </w:rPr>
        <w:t>8</w:t>
      </w:r>
      <w:r>
        <w:rPr>
          <w:rFonts w:hint="eastAsia" w:ascii="宋体" w:hAnsi="宋体"/>
          <w:lang w:eastAsia="zh-CN"/>
        </w:rPr>
        <w:t>、</w:t>
      </w:r>
      <w:r>
        <w:rPr>
          <w:rFonts w:hint="eastAsia" w:ascii="宋体" w:hAnsi="宋体"/>
        </w:rPr>
        <w:t>最小开口度≤13mm，适合不同体型插管患者。</w:t>
      </w:r>
    </w:p>
    <w:p>
      <w:pPr>
        <w:spacing w:line="360" w:lineRule="auto"/>
        <w:rPr>
          <w:rFonts w:ascii="宋体" w:hAnsi="宋体"/>
        </w:rPr>
      </w:pPr>
      <w:r>
        <w:rPr>
          <w:rFonts w:hint="eastAsia" w:ascii="宋体" w:hAnsi="宋体"/>
        </w:rPr>
        <w:t>9</w:t>
      </w:r>
      <w:r>
        <w:rPr>
          <w:rFonts w:hint="eastAsia" w:ascii="宋体" w:hAnsi="宋体"/>
          <w:lang w:eastAsia="zh-CN"/>
        </w:rPr>
        <w:t>、</w:t>
      </w:r>
      <w:r>
        <w:rPr>
          <w:rFonts w:hint="eastAsia" w:ascii="宋体" w:hAnsi="宋体"/>
        </w:rPr>
        <w:t>具备耐磨、防跌落、防泼洒性能，以满足特殊抢救环境使用。</w:t>
      </w:r>
    </w:p>
    <w:p>
      <w:pPr>
        <w:spacing w:line="360" w:lineRule="auto"/>
        <w:rPr>
          <w:rFonts w:ascii="宋体" w:hAnsi="宋体"/>
        </w:rPr>
      </w:pPr>
      <w:r>
        <w:rPr>
          <w:rFonts w:hint="eastAsia" w:ascii="宋体" w:hAnsi="宋体"/>
        </w:rPr>
        <w:t>10</w:t>
      </w:r>
      <w:r>
        <w:rPr>
          <w:rFonts w:hint="eastAsia" w:ascii="宋体" w:hAnsi="宋体"/>
          <w:lang w:eastAsia="zh-CN"/>
        </w:rPr>
        <w:t>、</w:t>
      </w:r>
      <w:r>
        <w:rPr>
          <w:rFonts w:hint="eastAsia" w:ascii="宋体" w:hAnsi="宋体"/>
        </w:rPr>
        <w:t>与主机之间的连接方式采用一键插拔，无需旋转。</w:t>
      </w: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视频喉镜（配窥视手柄）配置清单</w:t>
      </w:r>
    </w:p>
    <w:p>
      <w:pPr>
        <w:rPr>
          <w:rFonts w:ascii="宋体" w:hAnsi="宋体" w:eastAsia="宋体" w:cs="宋体"/>
          <w:b/>
          <w:bCs/>
          <w:sz w:val="24"/>
        </w:rPr>
      </w:pPr>
    </w:p>
    <w:tbl>
      <w:tblPr>
        <w:tblStyle w:val="21"/>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107"/>
        <w:gridCol w:w="128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4107" w:type="dxa"/>
            <w:vAlign w:val="center"/>
          </w:tcPr>
          <w:p>
            <w:pPr>
              <w:jc w:val="center"/>
              <w:rPr>
                <w:rFonts w:ascii="宋体" w:hAnsi="宋体" w:eastAsia="宋体" w:cs="宋体"/>
                <w:b/>
                <w:bCs/>
                <w:sz w:val="24"/>
              </w:rPr>
            </w:pPr>
            <w:r>
              <w:rPr>
                <w:rFonts w:hint="eastAsia" w:ascii="宋体" w:hAnsi="宋体" w:eastAsia="宋体" w:cs="宋体"/>
                <w:b/>
                <w:bCs/>
                <w:sz w:val="24"/>
              </w:rPr>
              <w:t>名称</w:t>
            </w:r>
          </w:p>
        </w:tc>
        <w:tc>
          <w:tcPr>
            <w:tcW w:w="1280" w:type="dxa"/>
            <w:vAlign w:val="center"/>
          </w:tcPr>
          <w:p>
            <w:pPr>
              <w:jc w:val="center"/>
              <w:rPr>
                <w:rFonts w:ascii="宋体" w:hAnsi="宋体" w:eastAsia="宋体" w:cs="宋体"/>
                <w:b/>
                <w:bCs/>
                <w:sz w:val="24"/>
              </w:rPr>
            </w:pPr>
            <w:r>
              <w:rPr>
                <w:rFonts w:hint="eastAsia" w:ascii="宋体" w:hAnsi="宋体" w:eastAsia="宋体" w:cs="宋体"/>
                <w:b/>
                <w:bCs/>
                <w:sz w:val="24"/>
              </w:rPr>
              <w:t>单位</w:t>
            </w:r>
          </w:p>
        </w:tc>
        <w:tc>
          <w:tcPr>
            <w:tcW w:w="1360" w:type="dxa"/>
            <w:vAlign w:val="center"/>
          </w:tcPr>
          <w:p>
            <w:pPr>
              <w:jc w:val="center"/>
              <w:rPr>
                <w:rFonts w:ascii="宋体" w:hAnsi="宋体" w:eastAsia="宋体" w:cs="宋体"/>
                <w:b/>
                <w:bCs/>
                <w:sz w:val="24"/>
              </w:rPr>
            </w:pPr>
            <w:r>
              <w:rPr>
                <w:rFonts w:hint="eastAsia" w:ascii="宋体" w:hAnsi="宋体" w:eastAsia="宋体" w:cs="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1</w:t>
            </w:r>
          </w:p>
        </w:tc>
        <w:tc>
          <w:tcPr>
            <w:tcW w:w="4107" w:type="dxa"/>
            <w:vAlign w:val="center"/>
          </w:tcPr>
          <w:p>
            <w:pPr>
              <w:jc w:val="center"/>
              <w:rPr>
                <w:rFonts w:ascii="宋体" w:hAnsi="宋体" w:eastAsia="宋体" w:cs="宋体"/>
                <w:sz w:val="24"/>
              </w:rPr>
            </w:pPr>
            <w:r>
              <w:rPr>
                <w:rFonts w:hint="eastAsia" w:ascii="宋体" w:hAnsi="宋体" w:eastAsia="宋体" w:cs="宋体"/>
                <w:sz w:val="24"/>
              </w:rPr>
              <w:t>便携箱</w:t>
            </w:r>
          </w:p>
        </w:tc>
        <w:tc>
          <w:tcPr>
            <w:tcW w:w="1280" w:type="dxa"/>
            <w:vAlign w:val="center"/>
          </w:tcPr>
          <w:p>
            <w:pPr>
              <w:jc w:val="center"/>
              <w:rPr>
                <w:rFonts w:ascii="宋体" w:hAnsi="宋体" w:eastAsia="宋体" w:cs="宋体"/>
                <w:sz w:val="24"/>
              </w:rPr>
            </w:pPr>
            <w:r>
              <w:rPr>
                <w:rFonts w:hint="eastAsia" w:ascii="宋体" w:hAnsi="宋体" w:eastAsia="宋体" w:cs="宋体"/>
                <w:sz w:val="24"/>
              </w:rPr>
              <w:t>个</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2</w:t>
            </w:r>
          </w:p>
        </w:tc>
        <w:tc>
          <w:tcPr>
            <w:tcW w:w="4107" w:type="dxa"/>
            <w:vAlign w:val="center"/>
          </w:tcPr>
          <w:p>
            <w:pPr>
              <w:jc w:val="center"/>
              <w:rPr>
                <w:rFonts w:ascii="宋体" w:hAnsi="宋体" w:eastAsia="宋体" w:cs="宋体"/>
                <w:sz w:val="24"/>
              </w:rPr>
            </w:pPr>
            <w:r>
              <w:rPr>
                <w:rFonts w:hint="eastAsia" w:ascii="宋体" w:hAnsi="宋体" w:eastAsia="宋体" w:cs="宋体"/>
                <w:sz w:val="24"/>
              </w:rPr>
              <w:t>主机</w:t>
            </w:r>
          </w:p>
        </w:tc>
        <w:tc>
          <w:tcPr>
            <w:tcW w:w="1280" w:type="dxa"/>
            <w:vAlign w:val="center"/>
          </w:tcPr>
          <w:p>
            <w:pPr>
              <w:jc w:val="center"/>
              <w:rPr>
                <w:rFonts w:ascii="宋体" w:hAnsi="宋体" w:eastAsia="宋体" w:cs="宋体"/>
                <w:sz w:val="24"/>
              </w:rPr>
            </w:pPr>
            <w:r>
              <w:rPr>
                <w:rFonts w:hint="eastAsia" w:ascii="宋体" w:hAnsi="宋体" w:eastAsia="宋体" w:cs="宋体"/>
                <w:sz w:val="24"/>
              </w:rPr>
              <w:t>台</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3</w:t>
            </w:r>
          </w:p>
        </w:tc>
        <w:tc>
          <w:tcPr>
            <w:tcW w:w="4107" w:type="dxa"/>
            <w:vAlign w:val="center"/>
          </w:tcPr>
          <w:p>
            <w:pPr>
              <w:jc w:val="center"/>
              <w:rPr>
                <w:rFonts w:ascii="宋体" w:hAnsi="宋体" w:eastAsia="宋体" w:cs="宋体"/>
                <w:sz w:val="24"/>
              </w:rPr>
            </w:pPr>
            <w:r>
              <w:rPr>
                <w:rFonts w:hint="eastAsia" w:ascii="宋体" w:hAnsi="宋体" w:eastAsia="宋体" w:cs="宋体"/>
                <w:sz w:val="24"/>
              </w:rPr>
              <w:t>窥视叶片手柄</w:t>
            </w:r>
          </w:p>
        </w:tc>
        <w:tc>
          <w:tcPr>
            <w:tcW w:w="1280" w:type="dxa"/>
            <w:vAlign w:val="center"/>
          </w:tcPr>
          <w:p>
            <w:pPr>
              <w:jc w:val="center"/>
              <w:rPr>
                <w:rFonts w:ascii="宋体" w:hAnsi="宋体" w:eastAsia="宋体" w:cs="宋体"/>
                <w:sz w:val="24"/>
              </w:rPr>
            </w:pPr>
            <w:r>
              <w:rPr>
                <w:rFonts w:hint="eastAsia" w:ascii="宋体" w:hAnsi="宋体" w:eastAsia="宋体" w:cs="宋体"/>
                <w:sz w:val="24"/>
              </w:rPr>
              <w:t>把</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4</w:t>
            </w:r>
          </w:p>
        </w:tc>
        <w:tc>
          <w:tcPr>
            <w:tcW w:w="4107" w:type="dxa"/>
            <w:vAlign w:val="center"/>
          </w:tcPr>
          <w:p>
            <w:pPr>
              <w:jc w:val="center"/>
              <w:rPr>
                <w:rFonts w:ascii="宋体" w:hAnsi="宋体" w:eastAsia="宋体" w:cs="宋体"/>
                <w:sz w:val="24"/>
              </w:rPr>
            </w:pPr>
            <w:r>
              <w:rPr>
                <w:rFonts w:hint="eastAsia" w:ascii="宋体" w:hAnsi="宋体" w:eastAsia="宋体" w:cs="宋体"/>
                <w:sz w:val="24"/>
              </w:rPr>
              <w:t>窥视叶片</w:t>
            </w:r>
          </w:p>
        </w:tc>
        <w:tc>
          <w:tcPr>
            <w:tcW w:w="1280" w:type="dxa"/>
            <w:vAlign w:val="center"/>
          </w:tcPr>
          <w:p>
            <w:pPr>
              <w:jc w:val="center"/>
              <w:rPr>
                <w:rFonts w:ascii="宋体" w:hAnsi="宋体" w:eastAsia="宋体" w:cs="宋体"/>
                <w:sz w:val="24"/>
              </w:rPr>
            </w:pPr>
            <w:r>
              <w:rPr>
                <w:rFonts w:ascii="宋体" w:hAnsi="宋体" w:eastAsia="宋体" w:cs="宋体"/>
                <w:sz w:val="24"/>
              </w:rPr>
              <w:t>套</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5</w:t>
            </w:r>
          </w:p>
        </w:tc>
        <w:tc>
          <w:tcPr>
            <w:tcW w:w="4107" w:type="dxa"/>
            <w:vAlign w:val="center"/>
          </w:tcPr>
          <w:p>
            <w:pPr>
              <w:jc w:val="center"/>
              <w:rPr>
                <w:rFonts w:ascii="宋体" w:hAnsi="宋体" w:eastAsia="宋体" w:cs="宋体"/>
                <w:sz w:val="24"/>
              </w:rPr>
            </w:pPr>
            <w:r>
              <w:rPr>
                <w:rFonts w:hint="eastAsia" w:ascii="宋体" w:hAnsi="宋体" w:eastAsia="宋体" w:cs="宋体"/>
                <w:sz w:val="24"/>
              </w:rPr>
              <w:t>电源适配器</w:t>
            </w:r>
          </w:p>
        </w:tc>
        <w:tc>
          <w:tcPr>
            <w:tcW w:w="1280" w:type="dxa"/>
            <w:vAlign w:val="center"/>
          </w:tcPr>
          <w:p>
            <w:pPr>
              <w:jc w:val="center"/>
              <w:rPr>
                <w:rFonts w:ascii="宋体" w:hAnsi="宋体" w:eastAsia="宋体" w:cs="宋体"/>
                <w:sz w:val="24"/>
              </w:rPr>
            </w:pPr>
            <w:r>
              <w:rPr>
                <w:rFonts w:hint="eastAsia" w:ascii="宋体" w:hAnsi="宋体" w:eastAsia="宋体" w:cs="宋体"/>
                <w:sz w:val="24"/>
              </w:rPr>
              <w:t>个</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6</w:t>
            </w:r>
          </w:p>
        </w:tc>
        <w:tc>
          <w:tcPr>
            <w:tcW w:w="4107" w:type="dxa"/>
            <w:vAlign w:val="center"/>
          </w:tcPr>
          <w:p>
            <w:pPr>
              <w:jc w:val="center"/>
              <w:rPr>
                <w:rFonts w:ascii="宋体" w:hAnsi="宋体" w:eastAsia="宋体" w:cs="宋体"/>
                <w:sz w:val="24"/>
              </w:rPr>
            </w:pPr>
            <w:r>
              <w:rPr>
                <w:rFonts w:hint="eastAsia" w:ascii="宋体" w:hAnsi="宋体" w:eastAsia="宋体" w:cs="宋体"/>
                <w:sz w:val="24"/>
              </w:rPr>
              <w:t>数据线</w:t>
            </w:r>
          </w:p>
        </w:tc>
        <w:tc>
          <w:tcPr>
            <w:tcW w:w="1280" w:type="dxa"/>
            <w:vAlign w:val="center"/>
          </w:tcPr>
          <w:p>
            <w:pPr>
              <w:jc w:val="center"/>
              <w:rPr>
                <w:rFonts w:ascii="宋体" w:hAnsi="宋体" w:eastAsia="宋体" w:cs="宋体"/>
                <w:sz w:val="24"/>
              </w:rPr>
            </w:pPr>
            <w:r>
              <w:rPr>
                <w:rFonts w:hint="eastAsia" w:ascii="宋体" w:hAnsi="宋体" w:eastAsia="宋体" w:cs="宋体"/>
                <w:sz w:val="24"/>
              </w:rPr>
              <w:t>根</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7</w:t>
            </w:r>
          </w:p>
        </w:tc>
        <w:tc>
          <w:tcPr>
            <w:tcW w:w="4107" w:type="dxa"/>
            <w:vAlign w:val="center"/>
          </w:tcPr>
          <w:p>
            <w:pPr>
              <w:jc w:val="center"/>
              <w:rPr>
                <w:rFonts w:ascii="宋体" w:hAnsi="宋体" w:eastAsia="宋体" w:cs="宋体"/>
                <w:sz w:val="24"/>
              </w:rPr>
            </w:pPr>
            <w:r>
              <w:rPr>
                <w:rFonts w:hint="eastAsia" w:ascii="宋体" w:hAnsi="宋体" w:eastAsia="宋体" w:cs="宋体"/>
                <w:sz w:val="24"/>
              </w:rPr>
              <w:t>使用说明书</w:t>
            </w:r>
          </w:p>
        </w:tc>
        <w:tc>
          <w:tcPr>
            <w:tcW w:w="1280" w:type="dxa"/>
            <w:vAlign w:val="center"/>
          </w:tcPr>
          <w:p>
            <w:pPr>
              <w:jc w:val="center"/>
              <w:rPr>
                <w:rFonts w:ascii="宋体" w:hAnsi="宋体" w:eastAsia="宋体" w:cs="宋体"/>
                <w:sz w:val="24"/>
              </w:rPr>
            </w:pPr>
            <w:r>
              <w:rPr>
                <w:rFonts w:hint="eastAsia" w:ascii="宋体" w:hAnsi="宋体" w:eastAsia="宋体" w:cs="宋体"/>
                <w:sz w:val="24"/>
              </w:rPr>
              <w:t>本</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pPr>
              <w:jc w:val="center"/>
              <w:rPr>
                <w:rFonts w:ascii="宋体" w:hAnsi="宋体" w:eastAsia="宋体" w:cs="宋体"/>
                <w:sz w:val="24"/>
              </w:rPr>
            </w:pPr>
            <w:r>
              <w:rPr>
                <w:rFonts w:hint="eastAsia" w:ascii="宋体" w:hAnsi="宋体" w:eastAsia="宋体" w:cs="宋体"/>
                <w:sz w:val="24"/>
              </w:rPr>
              <w:t>8</w:t>
            </w:r>
          </w:p>
        </w:tc>
        <w:tc>
          <w:tcPr>
            <w:tcW w:w="4107" w:type="dxa"/>
            <w:vAlign w:val="center"/>
          </w:tcPr>
          <w:p>
            <w:pPr>
              <w:jc w:val="center"/>
              <w:rPr>
                <w:rFonts w:ascii="宋体" w:hAnsi="宋体" w:eastAsia="宋体" w:cs="宋体"/>
                <w:sz w:val="24"/>
              </w:rPr>
            </w:pPr>
            <w:r>
              <w:rPr>
                <w:rFonts w:hint="eastAsia" w:ascii="宋体" w:hAnsi="宋体" w:eastAsia="宋体" w:cs="宋体"/>
                <w:sz w:val="24"/>
              </w:rPr>
              <w:t>合格证、产品质保卡、装箱清单</w:t>
            </w:r>
          </w:p>
        </w:tc>
        <w:tc>
          <w:tcPr>
            <w:tcW w:w="1280" w:type="dxa"/>
            <w:vAlign w:val="center"/>
          </w:tcPr>
          <w:p>
            <w:pPr>
              <w:jc w:val="center"/>
              <w:rPr>
                <w:rFonts w:ascii="宋体" w:hAnsi="宋体" w:eastAsia="宋体" w:cs="宋体"/>
                <w:sz w:val="24"/>
              </w:rPr>
            </w:pPr>
            <w:r>
              <w:rPr>
                <w:rFonts w:hint="eastAsia" w:ascii="宋体" w:hAnsi="宋体" w:eastAsia="宋体" w:cs="宋体"/>
                <w:sz w:val="24"/>
              </w:rPr>
              <w:t>份</w:t>
            </w:r>
          </w:p>
        </w:tc>
        <w:tc>
          <w:tcPr>
            <w:tcW w:w="1360" w:type="dxa"/>
            <w:vAlign w:val="center"/>
          </w:tcPr>
          <w:p>
            <w:pPr>
              <w:jc w:val="center"/>
              <w:rPr>
                <w:rFonts w:ascii="宋体" w:hAnsi="宋体" w:eastAsia="宋体" w:cs="宋体"/>
                <w:sz w:val="24"/>
              </w:rPr>
            </w:pPr>
            <w:r>
              <w:rPr>
                <w:rFonts w:hint="eastAsia" w:ascii="宋体" w:hAnsi="宋体" w:eastAsia="宋体" w:cs="宋体"/>
                <w:sz w:val="24"/>
              </w:rPr>
              <w:t>1</w:t>
            </w:r>
          </w:p>
        </w:tc>
      </w:tr>
    </w:tbl>
    <w:p/>
    <w:p/>
    <w:p>
      <w:pPr>
        <w:spacing w:line="360" w:lineRule="auto"/>
        <w:textAlignment w:val="baseline"/>
        <w:rPr>
          <w:rFonts w:asciiTheme="minorEastAsia" w:hAnsiTheme="minorEastAsia" w:eastAsiaTheme="minorEastAsia"/>
          <w:b/>
          <w:bCs/>
          <w:sz w:val="30"/>
          <w:szCs w:val="30"/>
        </w:rPr>
      </w:pPr>
      <w:bookmarkStart w:id="3" w:name="_Toc233048245"/>
      <w:bookmarkStart w:id="4" w:name="_Toc350964160"/>
      <w:r>
        <w:rPr>
          <w:rFonts w:hint="eastAsia" w:asciiTheme="minorEastAsia" w:hAnsiTheme="minorEastAsia" w:eastAsiaTheme="minorEastAsia"/>
          <w:b/>
          <w:bCs/>
          <w:sz w:val="30"/>
          <w:szCs w:val="30"/>
        </w:rPr>
        <w:t>二、商务要求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1.签约地点及交货地点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1.1  合同签约地点：三台县</w:t>
      </w:r>
      <w:r>
        <w:rPr>
          <w:rFonts w:hint="eastAsia" w:asciiTheme="minorEastAsia" w:hAnsiTheme="minorEastAsia" w:eastAsiaTheme="minorEastAsia"/>
          <w:sz w:val="24"/>
          <w:lang w:eastAsia="zh-CN"/>
        </w:rPr>
        <w:t>中医院</w:t>
      </w:r>
      <w:r>
        <w:rPr>
          <w:rFonts w:hint="eastAsia" w:asciiTheme="minorEastAsia" w:hAnsiTheme="minorEastAsia" w:eastAsiaTheme="minorEastAsia"/>
          <w:sz w:val="24"/>
        </w:rPr>
        <w:t>。</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1.2  配送及安装地址：比选人指定地点。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1.3  交货期：签订合同后</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2.质保期及售后服务要求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2.1质保期：验收合格后至少1年</w:t>
      </w:r>
      <w:bookmarkStart w:id="5" w:name="_Toc52036325"/>
      <w:bookmarkStart w:id="6" w:name="_Toc520455383"/>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在质保期内，所有的配件费、人工费、差旅费、运输费、搬运费等所有费用均由供应商承担。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3.付款方法和条件</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3.1  货到安装验收合格1个月内付合同总价的</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0% ，质保期满一年后1个月内付合同总价10% 。</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3.2  付款方式：转账、电汇等非现金方式。</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4.培训：负责设备安装、调试，确保正常运行，且负责操作人员的培训，直至操作人员对操作技术完全掌握为止，费用包含在总报价内。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5.验收：按照比选文件服务要求、响应文件响应情况和国家、行业标准进行验收。</w:t>
      </w:r>
    </w:p>
    <w:p>
      <w:pPr>
        <w:widowControl/>
        <w:jc w:val="left"/>
        <w:rPr>
          <w:rFonts w:hint="eastAsia" w:ascii="宋体" w:hAnsi="宋体" w:cs="宋体"/>
          <w:sz w:val="28"/>
          <w:szCs w:val="28"/>
        </w:rPr>
      </w:pPr>
    </w:p>
    <w:p>
      <w:pPr>
        <w:widowControl/>
        <w:jc w:val="left"/>
        <w:rPr>
          <w:rFonts w:asciiTheme="minorEastAsia" w:hAnsiTheme="minorEastAsia" w:eastAsiaTheme="minorEastAsia"/>
          <w:b/>
          <w:bCs/>
          <w:kern w:val="0"/>
          <w:sz w:val="24"/>
        </w:rPr>
      </w:pPr>
      <w:r>
        <w:rPr>
          <w:rFonts w:hint="eastAsia" w:ascii="宋体" w:hAnsi="宋体" w:cs="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1、所有的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w:t>
      </w:r>
      <w:r>
        <w:rPr>
          <w:rFonts w:hint="eastAsia" w:asciiTheme="minorEastAsia" w:hAnsiTheme="minorEastAsia" w:eastAsiaTheme="minorEastAsia"/>
          <w:b/>
          <w:bCs/>
          <w:kern w:val="0"/>
          <w:sz w:val="24"/>
        </w:rPr>
        <w:t>则为</w:t>
      </w:r>
      <w:r>
        <w:rPr>
          <w:rFonts w:asciiTheme="minorEastAsia" w:hAnsiTheme="minorEastAsia" w:eastAsiaTheme="minorEastAsia"/>
          <w:b/>
          <w:bCs/>
          <w:kern w:val="0"/>
          <w:sz w:val="24"/>
        </w:rPr>
        <w:t>无效响应文件。</w:t>
      </w:r>
    </w:p>
    <w:p>
      <w:pPr>
        <w:widowControl/>
        <w:ind w:firstLine="723" w:firstLineChars="300"/>
        <w:jc w:val="lef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2、报价超过采购最高限价为无效响应文件。</w:t>
      </w:r>
    </w:p>
    <w:p>
      <w:pPr>
        <w:pStyle w:val="2"/>
        <w:rPr>
          <w:rFonts w:hint="eastAsia"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5"/>
      <w:bookmarkEnd w:id="6"/>
      <w:r>
        <w:rPr>
          <w:rFonts w:hint="eastAsia" w:ascii="Times New Roman" w:hAnsi="Times New Roman"/>
          <w:sz w:val="36"/>
          <w:szCs w:val="36"/>
        </w:rPr>
        <w:t>和要求</w:t>
      </w:r>
    </w:p>
    <w:p>
      <w:pPr>
        <w:pStyle w:val="2"/>
        <w:pageBreakBefore w:val="0"/>
        <w:widowControl w:val="0"/>
        <w:kinsoku/>
        <w:wordWrap/>
        <w:overflowPunct/>
        <w:topLinePunct w:val="0"/>
        <w:bidi w:val="0"/>
        <w:snapToGrid/>
        <w:spacing w:line="440" w:lineRule="exact"/>
        <w:textAlignment w:val="auto"/>
        <w:rPr>
          <w:rFonts w:hint="eastAsia" w:ascii="Times New Roman" w:hAnsi="Times New Roman"/>
          <w:b/>
          <w:kern w:val="0"/>
          <w:sz w:val="24"/>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r>
        <w:rPr>
          <w:rFonts w:hint="eastAsia" w:ascii="Times New Roman" w:hAnsi="Times New Roman"/>
          <w:b/>
          <w:kern w:val="0"/>
          <w:sz w:val="24"/>
        </w:rPr>
        <w:t>（一式两份，一正一副，封面注明包号和设备名称，报价为一次性报价。）</w:t>
      </w:r>
    </w:p>
    <w:p>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ascii="Times New Roman" w:hAnsi="Times New Roman" w:eastAsia="宋体" w:cs="Times New Roman"/>
          <w:b w:val="0"/>
          <w:bCs w:val="0"/>
          <w:color w:val="0D0D0D"/>
          <w:kern w:val="0"/>
          <w:sz w:val="24"/>
          <w:szCs w:val="24"/>
          <w:lang w:val="zh-CN" w:eastAsia="zh-CN" w:bidi="ar-SA"/>
        </w:rPr>
      </w:pPr>
      <w:r>
        <w:rPr>
          <w:rFonts w:ascii="Times New Roman" w:hAnsi="Times New Roman"/>
          <w:color w:val="0D0D0D"/>
          <w:kern w:val="0"/>
          <w:sz w:val="24"/>
          <w:lang w:val="zh-CN"/>
        </w:rPr>
        <w:t>1、</w:t>
      </w:r>
      <w:r>
        <w:rPr>
          <w:rFonts w:ascii="Times New Roman" w:hAnsi="Times New Roman" w:eastAsia="宋体" w:cs="Times New Roman"/>
          <w:b w:val="0"/>
          <w:bCs w:val="0"/>
          <w:color w:val="0D0D0D"/>
          <w:kern w:val="0"/>
          <w:sz w:val="24"/>
          <w:szCs w:val="24"/>
          <w:lang w:val="zh-CN" w:eastAsia="zh-CN" w:bidi="ar-SA"/>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2、提供具有良好的商业信誉承诺书注：</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widowControl w:val="0"/>
        <w:kinsoku/>
        <w:wordWrap/>
        <w:overflowPunct/>
        <w:topLinePunct w:val="0"/>
        <w:autoSpaceDE w:val="0"/>
        <w:autoSpaceDN w:val="0"/>
        <w:bidi w:val="0"/>
        <w:adjustRightInd w:val="0"/>
        <w:snapToGrid/>
        <w:spacing w:line="44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widowControl w:val="0"/>
        <w:kinsoku/>
        <w:wordWrap/>
        <w:overflowPunct/>
        <w:topLinePunct w:val="0"/>
        <w:bidi w:val="0"/>
        <w:snapToGrid/>
        <w:spacing w:line="440" w:lineRule="exact"/>
        <w:jc w:val="left"/>
        <w:textAlignment w:val="auto"/>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pageBreakBefore w:val="0"/>
        <w:widowControl w:val="0"/>
        <w:kinsoku/>
        <w:wordWrap/>
        <w:overflowPunct/>
        <w:topLinePunct w:val="0"/>
        <w:bidi w:val="0"/>
        <w:snapToGrid/>
        <w:spacing w:line="440" w:lineRule="exact"/>
        <w:jc w:val="left"/>
        <w:textAlignment w:val="auto"/>
        <w:rPr>
          <w:rFonts w:ascii="Times New Roman" w:hAnsi="Times New Roman"/>
          <w:b/>
          <w:kern w:val="0"/>
          <w:sz w:val="24"/>
        </w:rPr>
      </w:pPr>
    </w:p>
    <w:p>
      <w:pPr>
        <w:widowControl/>
        <w:spacing w:line="360" w:lineRule="auto"/>
        <w:jc w:val="both"/>
        <w:rPr>
          <w:rFonts w:hint="default" w:ascii="Times New Roman" w:hAnsi="Times New Roman" w:eastAsia="黑体"/>
          <w:b/>
          <w:kern w:val="0"/>
          <w:sz w:val="32"/>
          <w:szCs w:val="32"/>
          <w:lang w:val="en-US" w:eastAsia="zh-CN"/>
        </w:rPr>
      </w:pPr>
      <w:r>
        <w:rPr>
          <w:rFonts w:hint="eastAsia" w:ascii="Times New Roman" w:hAnsi="Times New Roman" w:eastAsia="黑体"/>
          <w:b/>
          <w:kern w:val="0"/>
          <w:sz w:val="32"/>
          <w:szCs w:val="32"/>
        </w:rPr>
        <w:t>二、响应文件格式</w:t>
      </w:r>
      <w:r>
        <w:rPr>
          <w:rFonts w:hint="eastAsia" w:ascii="Times New Roman" w:hAnsi="Times New Roman" w:eastAsia="黑体"/>
          <w:b/>
          <w:kern w:val="0"/>
          <w:sz w:val="32"/>
          <w:szCs w:val="32"/>
          <w:lang w:eastAsia="zh-CN"/>
        </w:rPr>
        <w:t>：</w:t>
      </w:r>
      <w:r>
        <w:rPr>
          <w:rFonts w:hint="eastAsia" w:ascii="Times New Roman" w:hAnsi="Times New Roman" w:eastAsia="黑体"/>
          <w:b/>
          <w:kern w:val="0"/>
          <w:sz w:val="32"/>
          <w:szCs w:val="32"/>
          <w:lang w:val="en-US" w:eastAsia="zh-CN"/>
        </w:rPr>
        <w:t>未做要求的格式由投标人自拟。</w:t>
      </w:r>
    </w:p>
    <w:p>
      <w:pPr>
        <w:widowControl/>
        <w:spacing w:line="360" w:lineRule="auto"/>
        <w:jc w:val="both"/>
        <w:rPr>
          <w:rFonts w:ascii="Times New Roman" w:hAnsi="Times New Roman" w:eastAsia="黑体"/>
          <w:b/>
          <w:kern w:val="0"/>
          <w:sz w:val="32"/>
          <w:szCs w:val="32"/>
        </w:rPr>
      </w:pPr>
      <w:r>
        <w:rPr>
          <w:rFonts w:hint="eastAsia" w:ascii="Times New Roman" w:hAnsi="Times New Roman" w:eastAsia="黑体"/>
          <w:b/>
          <w:kern w:val="0"/>
          <w:sz w:val="32"/>
          <w:szCs w:val="32"/>
          <w:lang w:val="en-US" w:eastAsia="zh-CN"/>
        </w:rPr>
        <w:t>三</w:t>
      </w:r>
      <w:r>
        <w:rPr>
          <w:rFonts w:ascii="Times New Roman" w:hAnsi="Times New Roman" w:eastAsia="黑体"/>
          <w:b/>
          <w:kern w:val="0"/>
          <w:sz w:val="32"/>
          <w:szCs w:val="32"/>
        </w:rPr>
        <w:t>、技术、服务要求应答表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87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111"/>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111"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34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111" w:type="dxa"/>
            <w:vAlign w:val="center"/>
          </w:tcPr>
          <w:p>
            <w:pPr>
              <w:widowControl/>
              <w:spacing w:line="360" w:lineRule="auto"/>
              <w:ind w:left="283" w:leftChars="135"/>
              <w:jc w:val="left"/>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111" w:type="dxa"/>
            <w:vAlign w:val="center"/>
          </w:tcPr>
          <w:p>
            <w:pPr>
              <w:widowControl/>
              <w:jc w:val="center"/>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111" w:type="dxa"/>
            <w:vAlign w:val="center"/>
          </w:tcPr>
          <w:p>
            <w:pPr>
              <w:widowControl/>
              <w:jc w:val="center"/>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111" w:type="dxa"/>
            <w:vAlign w:val="center"/>
          </w:tcPr>
          <w:p>
            <w:pPr>
              <w:widowControl/>
              <w:jc w:val="center"/>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111" w:type="dxa"/>
            <w:vAlign w:val="center"/>
          </w:tcPr>
          <w:p>
            <w:pPr>
              <w:widowControl/>
              <w:jc w:val="center"/>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111" w:type="dxa"/>
            <w:vAlign w:val="center"/>
          </w:tcPr>
          <w:p>
            <w:pPr>
              <w:widowControl/>
              <w:jc w:val="center"/>
              <w:rPr>
                <w:rFonts w:ascii="Times New Roman" w:hAnsi="Times New Roman"/>
                <w:kern w:val="0"/>
                <w:sz w:val="24"/>
                <w:szCs w:val="20"/>
              </w:rPr>
            </w:pPr>
          </w:p>
        </w:tc>
        <w:tc>
          <w:tcPr>
            <w:tcW w:w="1340"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widowControl/>
        <w:spacing w:line="360" w:lineRule="auto"/>
        <w:jc w:val="both"/>
        <w:rPr>
          <w:rFonts w:ascii="Times New Roman" w:hAnsi="Times New Roman" w:eastAsia="黑体"/>
          <w:b/>
          <w:kern w:val="0"/>
          <w:sz w:val="32"/>
          <w:szCs w:val="32"/>
        </w:rPr>
      </w:pPr>
      <w:r>
        <w:rPr>
          <w:rFonts w:hint="eastAsia" w:ascii="Times New Roman" w:hAnsi="Times New Roman" w:eastAsia="黑体"/>
          <w:b/>
          <w:kern w:val="0"/>
          <w:sz w:val="32"/>
          <w:szCs w:val="32"/>
          <w:lang w:val="en-US" w:eastAsia="zh-CN"/>
        </w:rPr>
        <w:t>四</w:t>
      </w:r>
      <w:r>
        <w:rPr>
          <w:rFonts w:ascii="Times New Roman" w:hAnsi="Times New Roman" w:eastAsia="黑体"/>
          <w:b/>
          <w:kern w:val="0"/>
          <w:sz w:val="32"/>
          <w:szCs w:val="32"/>
        </w:rPr>
        <w:t>、商务要求应答表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spacing w:line="360" w:lineRule="auto"/>
        <w:jc w:val="both"/>
        <w:rPr>
          <w:rFonts w:ascii="Times New Roman" w:hAnsi="Times New Roman" w:eastAsia="黑体"/>
          <w:b/>
          <w:kern w:val="0"/>
          <w:sz w:val="32"/>
          <w:szCs w:val="32"/>
        </w:rPr>
      </w:pPr>
      <w:r>
        <w:rPr>
          <w:rFonts w:hint="eastAsia" w:ascii="Times New Roman" w:hAnsi="Times New Roman" w:eastAsia="黑体"/>
          <w:b/>
          <w:kern w:val="0"/>
          <w:sz w:val="32"/>
          <w:szCs w:val="32"/>
          <w:lang w:val="en-US" w:eastAsia="zh-CN"/>
        </w:rPr>
        <w:t>五</w:t>
      </w:r>
      <w:r>
        <w:rPr>
          <w:rFonts w:ascii="Times New Roman" w:hAnsi="Times New Roman" w:eastAsia="黑体"/>
          <w:b/>
          <w:kern w:val="0"/>
          <w:sz w:val="32"/>
          <w:szCs w:val="32"/>
        </w:rPr>
        <w:t>、比选申请人类似项目业绩一览表</w:t>
      </w:r>
    </w:p>
    <w:tbl>
      <w:tblPr>
        <w:tblStyle w:val="21"/>
        <w:tblW w:w="9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ind w:firstLine="480" w:firstLineChars="200"/>
        <w:jc w:val="left"/>
        <w:rPr>
          <w:rFonts w:ascii="Times New Roman" w:hAnsi="Times New Roman"/>
          <w:b/>
          <w:kern w:val="0"/>
          <w:sz w:val="24"/>
        </w:rPr>
      </w:pPr>
      <w:bookmarkStart w:id="7" w:name="_Toc436385992"/>
      <w:bookmarkStart w:id="8" w:name="_Toc436820890"/>
      <w:bookmarkStart w:id="9" w:name="_Toc436404120"/>
      <w:bookmarkStart w:id="10" w:name="_Toc307564880"/>
      <w:bookmarkStart w:id="11" w:name="_Toc436410129"/>
      <w:r>
        <w:rPr>
          <w:rFonts w:ascii="Times New Roman" w:hAnsi="Times New Roman"/>
          <w:kern w:val="0"/>
          <w:sz w:val="24"/>
          <w:szCs w:val="20"/>
        </w:rPr>
        <w:br w:type="page"/>
      </w:r>
      <w:bookmarkEnd w:id="7"/>
      <w:bookmarkEnd w:id="8"/>
      <w:bookmarkEnd w:id="9"/>
      <w:bookmarkEnd w:id="10"/>
      <w:bookmarkEnd w:id="11"/>
    </w:p>
    <w:p>
      <w:pPr>
        <w:spacing w:line="360" w:lineRule="auto"/>
        <w:jc w:val="center"/>
        <w:rPr>
          <w:rFonts w:ascii="Times New Roman" w:hAnsi="Times New Roman"/>
          <w:b/>
          <w:kern w:val="0"/>
          <w:sz w:val="24"/>
        </w:rPr>
      </w:pPr>
    </w:p>
    <w:p>
      <w:pPr>
        <w:spacing w:line="360" w:lineRule="auto"/>
        <w:jc w:val="left"/>
        <w:rPr>
          <w:rFonts w:ascii="Times New Roman" w:hAnsi="Times New Roman"/>
          <w:b/>
          <w:sz w:val="32"/>
          <w:szCs w:val="32"/>
        </w:rPr>
      </w:pPr>
      <w:r>
        <w:rPr>
          <w:rFonts w:hint="eastAsia" w:ascii="Times New Roman" w:hAnsi="Times New Roman"/>
          <w:b/>
          <w:sz w:val="32"/>
          <w:szCs w:val="32"/>
          <w:lang w:val="en-US" w:eastAsia="zh-CN"/>
        </w:rPr>
        <w:t>六</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p>
    <w:p>
      <w:pPr>
        <w:spacing w:line="360" w:lineRule="auto"/>
        <w:rPr>
          <w:rFonts w:ascii="Times New Roman" w:hAnsi="Times New Roman"/>
          <w:sz w:val="24"/>
        </w:rPr>
      </w:pPr>
    </w:p>
    <w:p>
      <w:pPr>
        <w:spacing w:line="360" w:lineRule="auto"/>
        <w:jc w:val="left"/>
        <w:outlineLvl w:val="1"/>
        <w:rPr>
          <w:rFonts w:ascii="Times New Roman" w:hAnsi="Times New Roman" w:eastAsia="黑体"/>
          <w:b/>
          <w:sz w:val="32"/>
          <w:szCs w:val="32"/>
        </w:rPr>
      </w:pPr>
      <w:bookmarkStart w:id="12" w:name="_Toc52036333"/>
      <w:r>
        <w:rPr>
          <w:rFonts w:hint="eastAsia" w:ascii="Times New Roman" w:hAnsi="Times New Roman" w:eastAsia="黑体"/>
          <w:b/>
          <w:sz w:val="32"/>
          <w:szCs w:val="32"/>
          <w:lang w:val="en-US" w:eastAsia="zh-CN"/>
        </w:rPr>
        <w:t>七</w:t>
      </w:r>
      <w:r>
        <w:rPr>
          <w:rFonts w:ascii="Times New Roman" w:hAnsi="Times New Roman" w:eastAsia="黑体"/>
          <w:b/>
          <w:sz w:val="32"/>
          <w:szCs w:val="32"/>
        </w:rPr>
        <w:t>、分项报价明细表</w:t>
      </w:r>
      <w:bookmarkEnd w:id="12"/>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3"/>
      <w:bookmarkEnd w:id="4"/>
      <w:bookmarkStart w:id="13"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13"/>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298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r>
              <w:rPr>
                <w:rFonts w:hint="eastAsia" w:ascii="宋体" w:hAnsi="宋体"/>
                <w:bCs/>
                <w:szCs w:val="21"/>
                <w:lang w:val="en-US" w:eastAsia="zh-CN"/>
              </w:rPr>
              <w:t>56</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w:t>
            </w:r>
            <w:r>
              <w:rPr>
                <w:rFonts w:hint="eastAsia" w:ascii="宋体" w:hAnsi="宋体"/>
                <w:szCs w:val="21"/>
                <w:lang w:val="en-US" w:eastAsia="zh-CN"/>
              </w:rPr>
              <w:t>54</w:t>
            </w:r>
            <w:r>
              <w:rPr>
                <w:rFonts w:ascii="宋体" w:hAnsi="宋体"/>
                <w:szCs w:val="21"/>
              </w:rPr>
              <w:t>分；星号条款(标注▲)的技术参数，一条不满足扣</w:t>
            </w:r>
            <w:r>
              <w:rPr>
                <w:rFonts w:hint="eastAsia" w:ascii="宋体" w:hAnsi="宋体"/>
                <w:szCs w:val="21"/>
                <w:lang w:val="en-US" w:eastAsia="zh-CN"/>
              </w:rPr>
              <w:t>4</w:t>
            </w:r>
            <w:r>
              <w:rPr>
                <w:rFonts w:ascii="宋体" w:hAnsi="宋体"/>
                <w:szCs w:val="21"/>
              </w:rPr>
              <w:t>分，非星号条款的技术参数，一条不满足扣</w:t>
            </w:r>
            <w:r>
              <w:rPr>
                <w:rFonts w:hint="eastAsia" w:ascii="宋体" w:hAnsi="宋体"/>
                <w:szCs w:val="21"/>
                <w:lang w:val="en-US" w:eastAsia="zh-CN"/>
              </w:rPr>
              <w:t>2.5</w:t>
            </w:r>
            <w:r>
              <w:rPr>
                <w:rFonts w:ascii="宋体" w:hAnsi="宋体"/>
                <w:szCs w:val="21"/>
              </w:rPr>
              <w:t>分（实质性要求除外），扣完为止。</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r>
              <w:rPr>
                <w:rFonts w:hint="eastAsia" w:ascii="宋体" w:hAnsi="宋体"/>
                <w:bCs/>
                <w:szCs w:val="21"/>
                <w:lang w:val="en-US" w:eastAsia="zh-CN"/>
              </w:rPr>
              <w:t>8</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rPr>
              <w:t>20</w:t>
            </w:r>
            <w:r>
              <w:rPr>
                <w:rFonts w:ascii="宋体" w:hAnsi="宋体"/>
                <w:szCs w:val="21"/>
              </w:rPr>
              <w:t>年以来</w:t>
            </w:r>
            <w:r>
              <w:rPr>
                <w:rFonts w:hint="eastAsia" w:ascii="宋体" w:hAnsi="宋体"/>
                <w:szCs w:val="21"/>
              </w:rPr>
              <w:t>类似</w:t>
            </w:r>
            <w:r>
              <w:rPr>
                <w:rFonts w:ascii="宋体" w:hAnsi="宋体"/>
                <w:szCs w:val="21"/>
              </w:rPr>
              <w:t>业绩计算，</w:t>
            </w:r>
            <w:r>
              <w:rPr>
                <w:rFonts w:hint="eastAsia" w:ascii="宋体" w:hAnsi="宋体"/>
                <w:szCs w:val="21"/>
              </w:rPr>
              <w:t>每提供</w:t>
            </w:r>
            <w:r>
              <w:rPr>
                <w:rFonts w:ascii="宋体" w:hAnsi="宋体"/>
                <w:szCs w:val="21"/>
              </w:rPr>
              <w:t>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8</w:t>
            </w:r>
            <w:r>
              <w:rPr>
                <w:rFonts w:ascii="宋体" w:hAnsi="宋体"/>
                <w:szCs w:val="21"/>
              </w:rPr>
              <w:t>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szCs w:val="21"/>
              </w:rPr>
            </w:pPr>
            <w:r>
              <w:rPr>
                <w:rFonts w:hint="eastAsia" w:ascii="宋体" w:hAnsi="宋体"/>
                <w:szCs w:val="21"/>
              </w:rPr>
              <w:t>类似业绩指：同品牌同型号设备销售业</w:t>
            </w:r>
            <w:r>
              <w:rPr>
                <w:rFonts w:hint="eastAsia" w:ascii="宋体" w:hAnsi="宋体"/>
                <w:szCs w:val="21"/>
                <w:lang w:val="en-US" w:eastAsia="zh-CN"/>
              </w:rPr>
              <w:t>绩</w:t>
            </w:r>
            <w:r>
              <w:rPr>
                <w:rFonts w:hint="eastAsia" w:ascii="宋体" w:hAnsi="宋体"/>
                <w:szCs w:val="21"/>
              </w:rPr>
              <w:t>。</w:t>
            </w:r>
          </w:p>
          <w:p>
            <w:pPr>
              <w:spacing w:line="0" w:lineRule="atLeast"/>
              <w:jc w:val="left"/>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E0929"/>
    <w:rsid w:val="005F21D9"/>
    <w:rsid w:val="0060439E"/>
    <w:rsid w:val="006055D3"/>
    <w:rsid w:val="00667139"/>
    <w:rsid w:val="00711BA3"/>
    <w:rsid w:val="00750ED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D4DBD"/>
    <w:rsid w:val="00AE2F1C"/>
    <w:rsid w:val="00B316F5"/>
    <w:rsid w:val="00B53FCB"/>
    <w:rsid w:val="00B90E55"/>
    <w:rsid w:val="00BA33DF"/>
    <w:rsid w:val="00C41F0F"/>
    <w:rsid w:val="00C84C99"/>
    <w:rsid w:val="00CA567C"/>
    <w:rsid w:val="00D97302"/>
    <w:rsid w:val="00DD4D9F"/>
    <w:rsid w:val="00F65A99"/>
    <w:rsid w:val="0AFA5A96"/>
    <w:rsid w:val="0CD27FFC"/>
    <w:rsid w:val="0DAC4D70"/>
    <w:rsid w:val="0E114FE2"/>
    <w:rsid w:val="0E677033"/>
    <w:rsid w:val="0E7F1957"/>
    <w:rsid w:val="13491142"/>
    <w:rsid w:val="15304B56"/>
    <w:rsid w:val="17122347"/>
    <w:rsid w:val="1B4D05AA"/>
    <w:rsid w:val="1C281231"/>
    <w:rsid w:val="1F2324A2"/>
    <w:rsid w:val="1FDE786A"/>
    <w:rsid w:val="20A2053B"/>
    <w:rsid w:val="20D54F08"/>
    <w:rsid w:val="20ED7DFF"/>
    <w:rsid w:val="247F6619"/>
    <w:rsid w:val="26463681"/>
    <w:rsid w:val="29A7364C"/>
    <w:rsid w:val="2A092A55"/>
    <w:rsid w:val="2F5D26AF"/>
    <w:rsid w:val="2FB70420"/>
    <w:rsid w:val="30860F73"/>
    <w:rsid w:val="314E571E"/>
    <w:rsid w:val="33D16649"/>
    <w:rsid w:val="352C0BF7"/>
    <w:rsid w:val="35DF103A"/>
    <w:rsid w:val="3609706D"/>
    <w:rsid w:val="39202673"/>
    <w:rsid w:val="3BF758E5"/>
    <w:rsid w:val="3F5D4CBD"/>
    <w:rsid w:val="3FDC7247"/>
    <w:rsid w:val="40F37FB8"/>
    <w:rsid w:val="45317296"/>
    <w:rsid w:val="45BE1E11"/>
    <w:rsid w:val="45C659C4"/>
    <w:rsid w:val="48553641"/>
    <w:rsid w:val="4C2C6594"/>
    <w:rsid w:val="4CF27AAB"/>
    <w:rsid w:val="4ECA6F5D"/>
    <w:rsid w:val="50277BC9"/>
    <w:rsid w:val="506A37E4"/>
    <w:rsid w:val="50D15CF8"/>
    <w:rsid w:val="51066F16"/>
    <w:rsid w:val="51AE40DC"/>
    <w:rsid w:val="53455021"/>
    <w:rsid w:val="56B93C5A"/>
    <w:rsid w:val="578E0FAB"/>
    <w:rsid w:val="58BA1F78"/>
    <w:rsid w:val="5AAD383C"/>
    <w:rsid w:val="5DD8138D"/>
    <w:rsid w:val="5DEF0CB7"/>
    <w:rsid w:val="5EBF7E2B"/>
    <w:rsid w:val="611E7ED2"/>
    <w:rsid w:val="63761542"/>
    <w:rsid w:val="659F01D8"/>
    <w:rsid w:val="68B977C1"/>
    <w:rsid w:val="69E4351C"/>
    <w:rsid w:val="6A4F2F1A"/>
    <w:rsid w:val="6B8A20A2"/>
    <w:rsid w:val="6C320399"/>
    <w:rsid w:val="6C755241"/>
    <w:rsid w:val="6F514ADE"/>
    <w:rsid w:val="6F833AC6"/>
    <w:rsid w:val="6FA74BB9"/>
    <w:rsid w:val="713951B9"/>
    <w:rsid w:val="71593422"/>
    <w:rsid w:val="72B059E8"/>
    <w:rsid w:val="732C647B"/>
    <w:rsid w:val="7A1B6C1E"/>
    <w:rsid w:val="7A351B2A"/>
    <w:rsid w:val="7A755207"/>
    <w:rsid w:val="7AB7598A"/>
    <w:rsid w:val="7BB15350"/>
    <w:rsid w:val="7C3F13C0"/>
    <w:rsid w:val="7C686DA7"/>
    <w:rsid w:val="7D8D4B15"/>
    <w:rsid w:val="7E0D277C"/>
    <w:rsid w:val="7F6A314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字符"/>
    <w:basedOn w:val="22"/>
    <w:link w:val="2"/>
    <w:qFormat/>
    <w:uiPriority w:val="0"/>
    <w:rPr>
      <w:rFonts w:ascii="Calibri" w:hAnsi="Calibri"/>
      <w:b/>
      <w:bCs/>
      <w:kern w:val="44"/>
      <w:sz w:val="44"/>
      <w:szCs w:val="44"/>
    </w:rPr>
  </w:style>
  <w:style w:type="character" w:customStyle="1" w:styleId="29">
    <w:name w:val="标题 2 字符"/>
    <w:basedOn w:val="22"/>
    <w:link w:val="3"/>
    <w:qFormat/>
    <w:uiPriority w:val="0"/>
    <w:rPr>
      <w:rFonts w:ascii="Arial" w:hAnsi="Arial" w:eastAsia="黑体"/>
      <w:b/>
      <w:bCs/>
      <w:sz w:val="32"/>
      <w:szCs w:val="32"/>
    </w:rPr>
  </w:style>
  <w:style w:type="character" w:customStyle="1" w:styleId="30">
    <w:name w:val="标题 3 字符"/>
    <w:basedOn w:val="22"/>
    <w:link w:val="4"/>
    <w:qFormat/>
    <w:uiPriority w:val="0"/>
    <w:rPr>
      <w:rFonts w:ascii="Calibri" w:hAnsi="Calibri"/>
      <w:b/>
      <w:bCs/>
      <w:kern w:val="2"/>
      <w:sz w:val="32"/>
      <w:szCs w:val="32"/>
    </w:rPr>
  </w:style>
  <w:style w:type="character" w:customStyle="1" w:styleId="31">
    <w:name w:val="批注框文本 Char"/>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qFormat/>
    <w:uiPriority w:val="0"/>
    <w:rPr>
      <w:kern w:val="2"/>
      <w:sz w:val="18"/>
      <w:szCs w:val="18"/>
    </w:rPr>
  </w:style>
  <w:style w:type="character" w:customStyle="1" w:styleId="34">
    <w:name w:val="正文文本缩进 Char"/>
    <w:qFormat/>
    <w:uiPriority w:val="0"/>
    <w:rPr>
      <w:kern w:val="2"/>
      <w:sz w:val="21"/>
      <w:szCs w:val="24"/>
    </w:rPr>
  </w:style>
  <w:style w:type="character" w:customStyle="1" w:styleId="35">
    <w:name w:val="批注主题 Char"/>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qFormat/>
    <w:locked/>
    <w:uiPriority w:val="0"/>
    <w:rPr>
      <w:rFonts w:ascii="宋体" w:hAnsi="Courier New" w:cs="Courier New"/>
      <w:kern w:val="2"/>
      <w:sz w:val="21"/>
      <w:szCs w:val="21"/>
    </w:rPr>
  </w:style>
  <w:style w:type="character" w:customStyle="1" w:styleId="39">
    <w:name w:val="日期 Char"/>
    <w:qFormat/>
    <w:uiPriority w:val="0"/>
    <w:rPr>
      <w:kern w:val="2"/>
      <w:sz w:val="21"/>
      <w:szCs w:val="24"/>
    </w:rPr>
  </w:style>
  <w:style w:type="character" w:customStyle="1" w:styleId="40">
    <w:name w:val="正文文本 Char"/>
    <w:qFormat/>
    <w:uiPriority w:val="0"/>
    <w:rPr>
      <w:kern w:val="2"/>
      <w:sz w:val="21"/>
      <w:szCs w:val="24"/>
    </w:rPr>
  </w:style>
  <w:style w:type="character" w:customStyle="1" w:styleId="41">
    <w:name w:val="标题 Char"/>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qFormat/>
    <w:uiPriority w:val="0"/>
    <w:rPr>
      <w:kern w:val="2"/>
      <w:sz w:val="21"/>
      <w:szCs w:val="24"/>
    </w:rPr>
  </w:style>
  <w:style w:type="character" w:customStyle="1" w:styleId="45">
    <w:name w:val="NormalCharacter"/>
    <w:qFormat/>
    <w:uiPriority w:val="0"/>
  </w:style>
  <w:style w:type="character" w:customStyle="1" w:styleId="46">
    <w:name w:val="页脚 Char"/>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字符"/>
    <w:basedOn w:val="22"/>
    <w:link w:val="7"/>
    <w:qFormat/>
    <w:uiPriority w:val="0"/>
    <w:rPr>
      <w:rFonts w:ascii="Calibri" w:hAnsi="Calibri"/>
      <w:kern w:val="2"/>
      <w:sz w:val="21"/>
      <w:szCs w:val="24"/>
    </w:rPr>
  </w:style>
  <w:style w:type="character" w:customStyle="1" w:styleId="50">
    <w:name w:val="正文文本缩进 字符"/>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字符"/>
    <w:basedOn w:val="22"/>
    <w:link w:val="19"/>
    <w:qFormat/>
    <w:uiPriority w:val="0"/>
    <w:rPr>
      <w:rFonts w:asciiTheme="majorHAnsi" w:hAnsiTheme="majorHAnsi" w:cstheme="majorBidi"/>
      <w:b/>
      <w:bCs/>
      <w:kern w:val="2"/>
      <w:sz w:val="32"/>
      <w:szCs w:val="32"/>
    </w:rPr>
  </w:style>
  <w:style w:type="character" w:customStyle="1" w:styleId="54">
    <w:name w:val="正文文本缩进 2 字符"/>
    <w:basedOn w:val="22"/>
    <w:link w:val="12"/>
    <w:qFormat/>
    <w:uiPriority w:val="0"/>
    <w:rPr>
      <w:rFonts w:ascii="Calibri" w:hAnsi="Calibri"/>
      <w:kern w:val="2"/>
      <w:sz w:val="21"/>
      <w:szCs w:val="24"/>
    </w:rPr>
  </w:style>
  <w:style w:type="character" w:customStyle="1" w:styleId="55">
    <w:name w:val="日期 字符"/>
    <w:basedOn w:val="22"/>
    <w:link w:val="11"/>
    <w:qFormat/>
    <w:uiPriority w:val="0"/>
    <w:rPr>
      <w:rFonts w:ascii="Calibri" w:hAnsi="Calibri"/>
      <w:kern w:val="2"/>
      <w:sz w:val="21"/>
      <w:szCs w:val="24"/>
    </w:rPr>
  </w:style>
  <w:style w:type="character" w:customStyle="1" w:styleId="56">
    <w:name w:val="批注文字 字符"/>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字符"/>
    <w:basedOn w:val="56"/>
    <w:link w:val="20"/>
    <w:qFormat/>
    <w:uiPriority w:val="0"/>
    <w:rPr>
      <w:rFonts w:ascii="Calibri" w:hAnsi="Calibri"/>
      <w:b/>
      <w:bCs/>
      <w:kern w:val="2"/>
      <w:sz w:val="21"/>
      <w:szCs w:val="24"/>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字符"/>
    <w:basedOn w:val="22"/>
    <w:link w:val="14"/>
    <w:qFormat/>
    <w:uiPriority w:val="0"/>
    <w:rPr>
      <w:rFonts w:ascii="Calibri" w:hAnsi="Calibri"/>
      <w:kern w:val="2"/>
      <w:sz w:val="18"/>
      <w:szCs w:val="18"/>
    </w:rPr>
  </w:style>
  <w:style w:type="character" w:customStyle="1" w:styleId="65">
    <w:name w:val="批注框文本 字符"/>
    <w:basedOn w:val="22"/>
    <w:link w:val="13"/>
    <w:qFormat/>
    <w:uiPriority w:val="0"/>
    <w:rPr>
      <w:rFonts w:ascii="Calibri" w:hAnsi="Calibri"/>
      <w:kern w:val="2"/>
      <w:sz w:val="18"/>
      <w:szCs w:val="18"/>
    </w:rPr>
  </w:style>
  <w:style w:type="character" w:customStyle="1" w:styleId="66">
    <w:name w:val="纯文本 字符"/>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字符"/>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4389</Words>
  <Characters>4542</Characters>
  <Lines>89</Lines>
  <Paragraphs>25</Paragraphs>
  <TotalTime>18</TotalTime>
  <ScaleCrop>false</ScaleCrop>
  <LinksUpToDate>false</LinksUpToDate>
  <CharactersWithSpaces>5153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yang</cp:lastModifiedBy>
  <dcterms:modified xsi:type="dcterms:W3CDTF">2022-10-26T10:23:41Z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BD4D87F3D29F4F2EA6B20F283D178D2E</vt:lpwstr>
  </property>
</Properties>
</file>