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sz w:val="32"/>
          <w:szCs w:val="32"/>
        </w:rPr>
      </w:pPr>
      <w:bookmarkStart w:id="0" w:name="_Toc52036320"/>
    </w:p>
    <w:p>
      <w:pPr>
        <w:pStyle w:val="2"/>
        <w:spacing w:before="0" w:after="0" w:line="360" w:lineRule="auto"/>
        <w:jc w:val="left"/>
        <w:rPr>
          <w:rFonts w:hint="eastAsia" w:ascii="Times New Roman" w:hAnsi="Times New Roman" w:eastAsia="宋体"/>
          <w:sz w:val="36"/>
          <w:szCs w:val="36"/>
          <w:lang w:eastAsia="zh-CN"/>
        </w:rPr>
      </w:pPr>
      <w:r>
        <w:rPr>
          <w:rFonts w:hint="eastAsia" w:ascii="Times New Roman" w:hAnsi="Times New Roman"/>
          <w:sz w:val="36"/>
          <w:szCs w:val="36"/>
        </w:rPr>
        <w:t>附件</w:t>
      </w:r>
      <w:r>
        <w:rPr>
          <w:rFonts w:hint="eastAsia" w:ascii="Times New Roman" w:hAnsi="Times New Roman"/>
          <w:sz w:val="36"/>
          <w:szCs w:val="36"/>
          <w:lang w:eastAsia="zh-CN"/>
        </w:rPr>
        <w:t>：</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三台县</w:t>
      </w:r>
      <w:r>
        <w:rPr>
          <w:rFonts w:hint="eastAsia" w:ascii="Times New Roman" w:hAnsi="Times New Roman"/>
          <w:sz w:val="32"/>
          <w:szCs w:val="32"/>
          <w:lang w:eastAsia="zh-CN"/>
        </w:rPr>
        <w:t>中医院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val="en-US" w:eastAsia="zh-CN"/>
        </w:rPr>
        <w:t>牙科综合治疗机</w:t>
      </w:r>
      <w:r>
        <w:rPr>
          <w:rFonts w:hint="eastAsia" w:ascii="Times New Roman" w:hAnsi="Times New Roman"/>
          <w:sz w:val="32"/>
          <w:szCs w:val="32"/>
        </w:rPr>
        <w:t>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各潜在比选申请人：</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经医院研究，决定</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牙科综合治疗机</w:t>
      </w:r>
      <w:r>
        <w:rPr>
          <w:rFonts w:hint="eastAsia" w:ascii="仿宋_GB2312" w:hAnsi="仿宋_GB2312" w:eastAsia="仿宋_GB2312" w:cs="仿宋_GB2312"/>
          <w:sz w:val="24"/>
          <w:szCs w:val="24"/>
          <w:lang w:val="en-US" w:eastAsia="zh-CN"/>
        </w:rPr>
        <w:t>，现以公</w:t>
      </w:r>
      <w:r>
        <w:rPr>
          <w:rFonts w:hint="eastAsia" w:ascii="仿宋_GB2312" w:hAnsi="仿宋_GB2312" w:eastAsia="仿宋_GB2312" w:cs="仿宋_GB2312"/>
          <w:sz w:val="24"/>
          <w:szCs w:val="24"/>
        </w:rPr>
        <w:t>告方式邀请符合要求的供应商参加比选。</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一、项目名称：</w:t>
      </w:r>
      <w:r>
        <w:rPr>
          <w:rFonts w:hint="eastAsia" w:ascii="仿宋_GB2312" w:hAnsi="仿宋_GB2312" w:eastAsia="仿宋_GB2312" w:cs="仿宋_GB2312"/>
          <w:sz w:val="24"/>
          <w:szCs w:val="24"/>
          <w:lang w:val="en-US" w:eastAsia="zh-CN"/>
        </w:rPr>
        <w:t>牙科综合治疗机</w:t>
      </w:r>
      <w:r>
        <w:rPr>
          <w:rFonts w:hint="eastAsia" w:ascii="仿宋_GB2312" w:hAnsi="仿宋_GB2312" w:eastAsia="仿宋_GB2312" w:cs="仿宋_GB2312"/>
          <w:bCs/>
          <w:sz w:val="24"/>
          <w:szCs w:val="24"/>
        </w:rPr>
        <w:t>采购项目。</w:t>
      </w:r>
    </w:p>
    <w:p>
      <w:pPr>
        <w:keepNext w:val="0"/>
        <w:keepLines w:val="0"/>
        <w:pageBreakBefore w:val="0"/>
        <w:widowControl w:val="0"/>
        <w:numPr>
          <w:ilvl w:val="0"/>
          <w:numId w:val="0"/>
        </w:numPr>
        <w:kinsoku/>
        <w:wordWrap/>
        <w:overflowPunct/>
        <w:topLinePunct w:val="0"/>
        <w:bidi w:val="0"/>
        <w:snapToGrid/>
        <w:spacing w:line="400" w:lineRule="exact"/>
        <w:ind w:leftChars="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val="en-US" w:eastAsia="zh-CN"/>
        </w:rPr>
        <w:t>采购数量：1套；最高限价：8.64万元。</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三、合格比选申请人资格要求</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2、具有良好的商业信誉和健全的财务会计制度；</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3、具备履行合同所必需的设备和专业技术能力；</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4、具有依法缴纳税收和社会保障资金的良好记录；</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6、与其他比选申请人供应商之间，单位负责人不为同一人而且不存在直接控股、管理关系；</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7、具有医疗器械经营企业许可证或医疗器械经营备案凭证（设备为I类医疗器械、不属于医疗器械不提供）。</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8、法定代表人授权委托书；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D0D0D"/>
          <w:kern w:val="0"/>
          <w:sz w:val="24"/>
          <w:szCs w:val="24"/>
          <w:lang w:val="zh-CN"/>
        </w:rPr>
        <w:t>9、</w:t>
      </w:r>
      <w:r>
        <w:rPr>
          <w:rFonts w:hint="eastAsia" w:ascii="仿宋_GB2312" w:hAnsi="仿宋_GB2312" w:eastAsia="仿宋_GB2312" w:cs="仿宋_GB2312"/>
          <w:sz w:val="24"/>
          <w:szCs w:val="24"/>
        </w:rPr>
        <w:t>提供产品的医疗器械产品注册证或备案凭证（非医疗器械产品除外）。</w:t>
      </w:r>
    </w:p>
    <w:p>
      <w:pPr>
        <w:keepNext w:val="0"/>
        <w:keepLines w:val="0"/>
        <w:pageBreakBefore w:val="0"/>
        <w:widowControl w:val="0"/>
        <w:kinsoku/>
        <w:wordWrap/>
        <w:overflowPunct/>
        <w:topLinePunct w:val="0"/>
        <w:autoSpaceDE w:val="0"/>
        <w:autoSpaceDN w:val="0"/>
        <w:bidi w:val="0"/>
        <w:adjustRightInd w:val="0"/>
        <w:snapToGrid/>
        <w:spacing w:line="400" w:lineRule="exact"/>
        <w:ind w:left="361" w:hanging="361" w:hangingChars="150"/>
        <w:contextualSpacing/>
        <w:textAlignment w:val="auto"/>
        <w:outlineLvl w:val="9"/>
        <w:rPr>
          <w:rFonts w:hint="eastAsia" w:ascii="仿宋_GB2312" w:hAnsi="仿宋_GB2312" w:eastAsia="仿宋_GB2312" w:cs="仿宋_GB2312"/>
          <w:b/>
          <w:color w:val="0D0D0D"/>
          <w:kern w:val="0"/>
          <w:sz w:val="24"/>
          <w:szCs w:val="24"/>
          <w:lang w:val="zh-CN"/>
        </w:rPr>
      </w:pPr>
      <w:r>
        <w:rPr>
          <w:rFonts w:hint="eastAsia" w:ascii="仿宋_GB2312" w:hAnsi="仿宋_GB2312" w:eastAsia="仿宋_GB2312" w:cs="仿宋_GB2312"/>
          <w:b/>
          <w:color w:val="0D0D0D"/>
          <w:kern w:val="0"/>
          <w:sz w:val="24"/>
          <w:szCs w:val="24"/>
          <w:lang w:val="zh-CN"/>
        </w:rPr>
        <w:t>四、比选申请人资格证明文件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2、提供具有良好的商业信誉承诺书及20</w:t>
      </w:r>
      <w:r>
        <w:rPr>
          <w:rFonts w:hint="eastAsia" w:ascii="仿宋_GB2312" w:hAnsi="仿宋_GB2312" w:eastAsia="仿宋_GB2312" w:cs="仿宋_GB2312"/>
          <w:color w:val="0D0D0D"/>
          <w:kern w:val="0"/>
          <w:sz w:val="24"/>
          <w:szCs w:val="24"/>
        </w:rPr>
        <w:t>20</w:t>
      </w:r>
      <w:r>
        <w:rPr>
          <w:rFonts w:hint="eastAsia" w:ascii="仿宋_GB2312" w:hAnsi="仿宋_GB2312" w:eastAsia="仿宋_GB2312" w:cs="仿宋_GB2312"/>
          <w:color w:val="0D0D0D"/>
          <w:kern w:val="0"/>
          <w:sz w:val="24"/>
          <w:szCs w:val="24"/>
          <w:lang w:val="zh-CN"/>
        </w:rPr>
        <w:t>年度或202</w:t>
      </w:r>
      <w:r>
        <w:rPr>
          <w:rFonts w:hint="eastAsia" w:ascii="仿宋_GB2312" w:hAnsi="仿宋_GB2312" w:eastAsia="仿宋_GB2312" w:cs="仿宋_GB2312"/>
          <w:color w:val="0D0D0D"/>
          <w:kern w:val="0"/>
          <w:sz w:val="24"/>
          <w:szCs w:val="24"/>
        </w:rPr>
        <w:t>1</w:t>
      </w:r>
      <w:r>
        <w:rPr>
          <w:rFonts w:hint="eastAsia" w:ascii="仿宋_GB2312" w:hAnsi="仿宋_GB2312" w:eastAsia="仿宋_GB2312" w:cs="仿宋_GB2312"/>
          <w:color w:val="0D0D0D"/>
          <w:kern w:val="0"/>
          <w:sz w:val="24"/>
          <w:szCs w:val="24"/>
          <w:lang w:val="zh-CN"/>
        </w:rPr>
        <w:t>年度的财务报告或银行资信证明。</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注：可提供承诺函。</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8、法定代表人/单位负责人授权委托书（法定代表人/单位负责人或自然人直接参与投标的除外）。</w:t>
      </w:r>
    </w:p>
    <w:p>
      <w:pPr>
        <w:keepNext w:val="0"/>
        <w:keepLines w:val="0"/>
        <w:pageBreakBefore w:val="0"/>
        <w:widowControl w:val="0"/>
        <w:numPr>
          <w:ilvl w:val="0"/>
          <w:numId w:val="0"/>
        </w:numPr>
        <w:kinsoku/>
        <w:wordWrap/>
        <w:overflowPunct/>
        <w:topLinePunct w:val="0"/>
        <w:bidi w:val="0"/>
        <w:snapToGrid/>
        <w:spacing w:line="400" w:lineRule="exact"/>
        <w:ind w:left="0" w:leftChars="0" w:firstLine="480" w:firstLineChars="200"/>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9、提供产品的医疗器械产品注册证或备案凭证复印件（非医疗器械产品除外）。</w:t>
      </w:r>
    </w:p>
    <w:p>
      <w:pPr>
        <w:keepNext w:val="0"/>
        <w:keepLines w:val="0"/>
        <w:pageBreakBefore w:val="0"/>
        <w:widowControl w:val="0"/>
        <w:numPr>
          <w:ilvl w:val="0"/>
          <w:numId w:val="0"/>
        </w:numPr>
        <w:kinsoku/>
        <w:wordWrap/>
        <w:overflowPunct/>
        <w:topLinePunct w:val="0"/>
        <w:bidi w:val="0"/>
        <w:snapToGrid/>
        <w:spacing w:line="400" w:lineRule="exact"/>
        <w:ind w:left="0" w:leftChars="0" w:firstLine="482" w:firstLineChars="200"/>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kern w:val="0"/>
          <w:sz w:val="24"/>
          <w:szCs w:val="24"/>
          <w:lang w:val="zh-CN"/>
        </w:rPr>
        <w:t>五、</w:t>
      </w:r>
      <w:r>
        <w:rPr>
          <w:rFonts w:hint="eastAsia" w:ascii="仿宋_GB2312" w:hAnsi="仿宋_GB2312" w:eastAsia="仿宋_GB2312" w:cs="仿宋_GB2312"/>
          <w:b/>
          <w:bCs/>
          <w:sz w:val="24"/>
          <w:szCs w:val="24"/>
        </w:rPr>
        <w:t>报名方式及截止时间：</w:t>
      </w:r>
      <w:r>
        <w:rPr>
          <w:rFonts w:hint="eastAsia" w:ascii="仿宋_GB2312" w:hAnsi="仿宋_GB2312" w:eastAsia="仿宋_GB2312" w:cs="仿宋_GB2312"/>
          <w:b w:val="0"/>
          <w:bCs w:val="0"/>
          <w:sz w:val="24"/>
          <w:szCs w:val="24"/>
        </w:rPr>
        <w:t>请潜在比选人</w:t>
      </w:r>
      <w:r>
        <w:rPr>
          <w:rFonts w:hint="eastAsia" w:ascii="仿宋_GB2312" w:hAnsi="仿宋_GB2312" w:eastAsia="仿宋_GB2312" w:cs="仿宋_GB2312"/>
          <w:b w:val="0"/>
          <w:bCs w:val="0"/>
          <w:sz w:val="24"/>
          <w:szCs w:val="24"/>
          <w:lang w:val="en-US" w:eastAsia="zh-CN"/>
        </w:rPr>
        <w:t>编辑短信：牙科综合治疗机报名+公司名称+联系人+联系电话，发送至13989277675。收到回复视为报名成功。</w:t>
      </w:r>
      <w:r>
        <w:rPr>
          <w:rFonts w:hint="eastAsia" w:ascii="仿宋_GB2312" w:hAnsi="仿宋_GB2312" w:eastAsia="仿宋_GB2312" w:cs="仿宋_GB2312"/>
          <w:b w:val="0"/>
          <w:bCs w:val="0"/>
          <w:sz w:val="24"/>
          <w:szCs w:val="24"/>
        </w:rPr>
        <w:t>三台县</w:t>
      </w:r>
      <w:r>
        <w:rPr>
          <w:rFonts w:hint="eastAsia" w:ascii="仿宋_GB2312" w:hAnsi="仿宋_GB2312" w:eastAsia="仿宋_GB2312" w:cs="仿宋_GB2312"/>
          <w:b w:val="0"/>
          <w:bCs w:val="0"/>
          <w:sz w:val="24"/>
          <w:szCs w:val="24"/>
          <w:lang w:val="en-US" w:eastAsia="zh-CN"/>
        </w:rPr>
        <w:t>中</w:t>
      </w:r>
      <w:r>
        <w:rPr>
          <w:rFonts w:hint="eastAsia" w:ascii="仿宋_GB2312" w:hAnsi="仿宋_GB2312" w:eastAsia="仿宋_GB2312" w:cs="仿宋_GB2312"/>
          <w:b w:val="0"/>
          <w:bCs w:val="0"/>
          <w:sz w:val="24"/>
          <w:szCs w:val="24"/>
        </w:rPr>
        <w:t>医院采购办</w:t>
      </w:r>
      <w:r>
        <w:rPr>
          <w:rFonts w:hint="eastAsia" w:ascii="仿宋_GB2312" w:hAnsi="仿宋_GB2312" w:eastAsia="仿宋_GB2312" w:cs="仿宋_GB2312"/>
          <w:b w:val="0"/>
          <w:bCs w:val="0"/>
          <w:sz w:val="24"/>
          <w:szCs w:val="24"/>
          <w:lang w:val="en-US" w:eastAsia="zh-CN"/>
        </w:rPr>
        <w:t>联系</w:t>
      </w:r>
      <w:r>
        <w:rPr>
          <w:rFonts w:hint="eastAsia" w:ascii="仿宋_GB2312" w:hAnsi="仿宋_GB2312" w:eastAsia="仿宋_GB2312" w:cs="仿宋_GB2312"/>
          <w:b w:val="0"/>
          <w:bCs w:val="0"/>
          <w:sz w:val="24"/>
          <w:szCs w:val="24"/>
        </w:rPr>
        <w:t>电话：0816-52</w:t>
      </w:r>
      <w:r>
        <w:rPr>
          <w:rFonts w:hint="eastAsia" w:ascii="仿宋_GB2312" w:hAnsi="仿宋_GB2312" w:eastAsia="仿宋_GB2312" w:cs="仿宋_GB2312"/>
          <w:b w:val="0"/>
          <w:bCs w:val="0"/>
          <w:sz w:val="24"/>
          <w:szCs w:val="24"/>
          <w:lang w:val="en-US" w:eastAsia="zh-CN"/>
        </w:rPr>
        <w:t>61268</w:t>
      </w:r>
      <w:r>
        <w:rPr>
          <w:rFonts w:hint="eastAsia" w:ascii="仿宋_GB2312" w:hAnsi="仿宋_GB2312" w:eastAsia="仿宋_GB2312" w:cs="仿宋_GB2312"/>
          <w:b w:val="0"/>
          <w:bCs w:val="0"/>
          <w:sz w:val="24"/>
          <w:szCs w:val="24"/>
        </w:rPr>
        <w:t>，联系人：</w:t>
      </w:r>
      <w:r>
        <w:rPr>
          <w:rFonts w:hint="eastAsia" w:ascii="仿宋_GB2312" w:hAnsi="仿宋_GB2312" w:eastAsia="仿宋_GB2312" w:cs="仿宋_GB2312"/>
          <w:b w:val="0"/>
          <w:bCs w:val="0"/>
          <w:sz w:val="24"/>
          <w:szCs w:val="24"/>
          <w:lang w:val="en-US" w:eastAsia="zh-CN"/>
        </w:rPr>
        <w:t>杨</w:t>
      </w:r>
      <w:r>
        <w:rPr>
          <w:rFonts w:hint="eastAsia" w:ascii="仿宋_GB2312" w:hAnsi="仿宋_GB2312" w:eastAsia="仿宋_GB2312" w:cs="仿宋_GB2312"/>
          <w:b w:val="0"/>
          <w:bCs w:val="0"/>
          <w:sz w:val="24"/>
          <w:szCs w:val="24"/>
        </w:rPr>
        <w:t>老师、</w:t>
      </w:r>
      <w:r>
        <w:rPr>
          <w:rFonts w:hint="eastAsia" w:ascii="仿宋_GB2312" w:hAnsi="仿宋_GB2312" w:eastAsia="仿宋_GB2312" w:cs="仿宋_GB2312"/>
          <w:b w:val="0"/>
          <w:bCs w:val="0"/>
          <w:sz w:val="24"/>
          <w:szCs w:val="24"/>
          <w:lang w:val="en-US" w:eastAsia="zh-CN"/>
        </w:rPr>
        <w:t>李</w:t>
      </w:r>
      <w:r>
        <w:rPr>
          <w:rFonts w:hint="eastAsia" w:ascii="仿宋_GB2312" w:hAnsi="仿宋_GB2312" w:eastAsia="仿宋_GB2312" w:cs="仿宋_GB2312"/>
          <w:b w:val="0"/>
          <w:bCs w:val="0"/>
          <w:sz w:val="24"/>
          <w:szCs w:val="24"/>
        </w:rPr>
        <w:t>老师；</w:t>
      </w:r>
    </w:p>
    <w:p>
      <w:pPr>
        <w:keepNext w:val="0"/>
        <w:keepLines w:val="0"/>
        <w:pageBreakBefore w:val="0"/>
        <w:widowControl w:val="0"/>
        <w:numPr>
          <w:ilvl w:val="0"/>
          <w:numId w:val="0"/>
        </w:numPr>
        <w:kinsoku/>
        <w:wordWrap/>
        <w:overflowPunct/>
        <w:topLinePunct w:val="0"/>
        <w:bidi w:val="0"/>
        <w:snapToGrid/>
        <w:spacing w:line="400" w:lineRule="exact"/>
        <w:ind w:left="0" w:leftChars="0"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sz w:val="24"/>
          <w:szCs w:val="24"/>
        </w:rPr>
        <w:t>报名时间：2022年6月</w:t>
      </w:r>
      <w:r>
        <w:rPr>
          <w:rFonts w:hint="eastAsia" w:ascii="仿宋_GB2312" w:hAnsi="仿宋_GB2312" w:eastAsia="仿宋_GB2312" w:cs="仿宋_GB2312"/>
          <w:b w:val="0"/>
          <w:bCs w:val="0"/>
          <w:sz w:val="24"/>
          <w:szCs w:val="24"/>
          <w:lang w:val="en-US" w:eastAsia="zh-CN"/>
        </w:rPr>
        <w:t>28</w:t>
      </w:r>
      <w:r>
        <w:rPr>
          <w:rFonts w:hint="eastAsia" w:ascii="仿宋_GB2312" w:hAnsi="仿宋_GB2312" w:eastAsia="仿宋_GB2312" w:cs="仿宋_GB2312"/>
          <w:b w:val="0"/>
          <w:bCs w:val="0"/>
          <w:sz w:val="24"/>
          <w:szCs w:val="24"/>
        </w:rPr>
        <w:t>日至2022年</w:t>
      </w:r>
      <w:r>
        <w:rPr>
          <w:rFonts w:hint="eastAsia" w:ascii="仿宋_GB2312" w:hAnsi="仿宋_GB2312" w:eastAsia="仿宋_GB2312" w:cs="仿宋_GB2312"/>
          <w:b w:val="0"/>
          <w:bCs w:val="0"/>
          <w:sz w:val="24"/>
          <w:szCs w:val="24"/>
          <w:lang w:val="en-US" w:eastAsia="zh-CN"/>
        </w:rPr>
        <w:t>7</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日18:00（北京时间，节假日</w:t>
      </w:r>
      <w:r>
        <w:rPr>
          <w:rFonts w:hint="eastAsia" w:ascii="仿宋_GB2312" w:hAnsi="仿宋_GB2312" w:eastAsia="仿宋_GB2312" w:cs="仿宋_GB2312"/>
          <w:b w:val="0"/>
          <w:bCs w:val="0"/>
          <w:sz w:val="24"/>
          <w:szCs w:val="24"/>
          <w:lang w:val="en-US" w:eastAsia="zh-CN"/>
        </w:rPr>
        <w:t>不休</w:t>
      </w:r>
      <w:r>
        <w:rPr>
          <w:rFonts w:hint="eastAsia" w:ascii="仿宋_GB2312" w:hAnsi="仿宋_GB2312" w:eastAsia="仿宋_GB2312" w:cs="仿宋_GB2312"/>
          <w:b w:val="0"/>
          <w:bCs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六、</w:t>
      </w:r>
      <w:r>
        <w:rPr>
          <w:rFonts w:hint="eastAsia" w:ascii="仿宋_GB2312" w:hAnsi="仿宋_GB2312" w:eastAsia="仿宋_GB2312" w:cs="仿宋_GB2312"/>
          <w:b/>
          <w:bCs/>
          <w:sz w:val="24"/>
          <w:szCs w:val="24"/>
        </w:rPr>
        <w:t>响应文件递交截止时间：</w:t>
      </w:r>
      <w:r>
        <w:rPr>
          <w:rFonts w:hint="eastAsia" w:ascii="仿宋_GB2312" w:hAnsi="仿宋_GB2312" w:eastAsia="仿宋_GB2312" w:cs="仿宋_GB2312"/>
          <w:b w:val="0"/>
          <w:bCs w:val="0"/>
          <w:sz w:val="24"/>
          <w:szCs w:val="24"/>
        </w:rPr>
        <w:t>2022年</w:t>
      </w:r>
      <w:r>
        <w:rPr>
          <w:rFonts w:hint="eastAsia" w:ascii="仿宋_GB2312" w:hAnsi="仿宋_GB2312" w:eastAsia="仿宋_GB2312" w:cs="仿宋_GB2312"/>
          <w:b w:val="0"/>
          <w:bCs w:val="0"/>
          <w:sz w:val="24"/>
          <w:szCs w:val="24"/>
          <w:lang w:val="en-US" w:eastAsia="zh-CN"/>
        </w:rPr>
        <w:t>7</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日1</w:t>
      </w:r>
      <w:r>
        <w:rPr>
          <w:rFonts w:hint="eastAsia" w:ascii="仿宋_GB2312" w:hAnsi="仿宋_GB2312" w:eastAsia="仿宋_GB2312" w:cs="仿宋_GB2312"/>
          <w:b w:val="0"/>
          <w:bCs w:val="0"/>
          <w:sz w:val="24"/>
          <w:szCs w:val="24"/>
          <w:lang w:val="en-US" w:eastAsia="zh-CN"/>
        </w:rPr>
        <w:t>4:5</w:t>
      </w:r>
      <w:r>
        <w:rPr>
          <w:rFonts w:hint="eastAsia" w:ascii="仿宋_GB2312" w:hAnsi="仿宋_GB2312" w:eastAsia="仿宋_GB2312" w:cs="仿宋_GB2312"/>
          <w:b w:val="0"/>
          <w:bCs w:val="0"/>
          <w:sz w:val="24"/>
          <w:szCs w:val="24"/>
        </w:rPr>
        <w:t>0分（北京时间）</w:t>
      </w:r>
      <w:r>
        <w:rPr>
          <w:rFonts w:hint="eastAsia" w:ascii="仿宋_GB2312" w:hAnsi="仿宋_GB2312" w:eastAsia="仿宋_GB2312" w:cs="仿宋_GB2312"/>
          <w:kern w:val="0"/>
          <w:sz w:val="24"/>
          <w:szCs w:val="24"/>
        </w:rPr>
        <w:t>。</w:t>
      </w:r>
    </w:p>
    <w:p>
      <w:pPr>
        <w:keepNext w:val="0"/>
        <w:keepLines w:val="0"/>
        <w:pageBreakBefore w:val="0"/>
        <w:widowControl w:val="0"/>
        <w:numPr>
          <w:ilvl w:val="0"/>
          <w:numId w:val="0"/>
        </w:numPr>
        <w:kinsoku/>
        <w:wordWrap/>
        <w:overflowPunct/>
        <w:topLinePunct w:val="0"/>
        <w:bidi w:val="0"/>
        <w:snapToGrid/>
        <w:spacing w:line="400" w:lineRule="exact"/>
        <w:ind w:leftChars="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rPr>
        <w:t>七、递交响应文件地点、方式</w:t>
      </w:r>
      <w:r>
        <w:rPr>
          <w:rFonts w:hint="eastAsia" w:ascii="仿宋_GB2312" w:hAnsi="仿宋_GB2312" w:eastAsia="仿宋_GB2312" w:cs="仿宋_GB2312"/>
          <w:b/>
          <w:sz w:val="24"/>
          <w:szCs w:val="24"/>
        </w:rPr>
        <w:t>：</w:t>
      </w:r>
      <w:r>
        <w:rPr>
          <w:rFonts w:hint="eastAsia" w:ascii="仿宋_GB2312" w:hAnsi="仿宋_GB2312" w:eastAsia="仿宋_GB2312" w:cs="仿宋_GB2312"/>
          <w:b w:val="0"/>
          <w:bCs w:val="0"/>
          <w:sz w:val="24"/>
          <w:szCs w:val="24"/>
        </w:rPr>
        <w:t>响应文件一式两份（一正一副，密封）必须在截止时间前</w:t>
      </w:r>
      <w:r>
        <w:rPr>
          <w:rFonts w:hint="eastAsia" w:ascii="仿宋_GB2312" w:hAnsi="仿宋_GB2312" w:eastAsia="仿宋_GB2312" w:cs="仿宋_GB2312"/>
          <w:b w:val="0"/>
          <w:bCs w:val="0"/>
          <w:sz w:val="24"/>
          <w:szCs w:val="24"/>
          <w:lang w:val="en-US" w:eastAsia="zh-CN"/>
        </w:rPr>
        <w:t>送达或</w:t>
      </w:r>
      <w:r>
        <w:rPr>
          <w:rFonts w:hint="eastAsia" w:ascii="仿宋_GB2312" w:hAnsi="仿宋_GB2312" w:eastAsia="仿宋_GB2312" w:cs="仿宋_GB2312"/>
          <w:b w:val="0"/>
          <w:bCs w:val="0"/>
          <w:sz w:val="24"/>
          <w:szCs w:val="24"/>
        </w:rPr>
        <w:t>邮寄（顺丰快递）至三台县</w:t>
      </w:r>
      <w:r>
        <w:rPr>
          <w:rFonts w:hint="eastAsia" w:ascii="仿宋_GB2312" w:hAnsi="仿宋_GB2312" w:eastAsia="仿宋_GB2312" w:cs="仿宋_GB2312"/>
          <w:b w:val="0"/>
          <w:bCs w:val="0"/>
          <w:sz w:val="24"/>
          <w:szCs w:val="24"/>
          <w:lang w:eastAsia="zh-CN"/>
        </w:rPr>
        <w:t>中医院</w:t>
      </w:r>
      <w:r>
        <w:rPr>
          <w:rFonts w:hint="eastAsia" w:ascii="仿宋_GB2312" w:hAnsi="仿宋_GB2312" w:eastAsia="仿宋_GB2312" w:cs="仿宋_GB2312"/>
          <w:b w:val="0"/>
          <w:bCs w:val="0"/>
          <w:sz w:val="24"/>
          <w:szCs w:val="24"/>
        </w:rPr>
        <w:t>采购</w:t>
      </w:r>
      <w:r>
        <w:rPr>
          <w:rFonts w:hint="eastAsia" w:ascii="仿宋_GB2312" w:hAnsi="仿宋_GB2312" w:eastAsia="仿宋_GB2312" w:cs="仿宋_GB2312"/>
          <w:b w:val="0"/>
          <w:bCs w:val="0"/>
          <w:sz w:val="24"/>
          <w:szCs w:val="24"/>
          <w:lang w:val="en-US" w:eastAsia="zh-CN"/>
        </w:rPr>
        <w:t>科（杨老师</w:t>
      </w:r>
      <w:r>
        <w:rPr>
          <w:rFonts w:hint="eastAsia" w:ascii="仿宋_GB2312" w:hAnsi="仿宋_GB2312" w:eastAsia="仿宋_GB2312" w:cs="仿宋_GB2312"/>
          <w:b w:val="0"/>
          <w:bCs w:val="0"/>
          <w:sz w:val="24"/>
          <w:szCs w:val="24"/>
        </w:rPr>
        <w:t>收，收件电话：</w:t>
      </w:r>
      <w:r>
        <w:rPr>
          <w:rFonts w:hint="eastAsia" w:ascii="仿宋_GB2312" w:hAnsi="仿宋_GB2312" w:eastAsia="仿宋_GB2312" w:cs="仿宋_GB2312"/>
          <w:b w:val="0"/>
          <w:bCs w:val="0"/>
          <w:sz w:val="24"/>
          <w:szCs w:val="24"/>
          <w:lang w:val="en-US" w:eastAsia="zh-CN"/>
        </w:rPr>
        <w:t>13989277675</w:t>
      </w:r>
      <w:r>
        <w:rPr>
          <w:rFonts w:hint="eastAsia" w:ascii="仿宋_GB2312" w:hAnsi="仿宋_GB2312" w:eastAsia="仿宋_GB2312" w:cs="仿宋_GB2312"/>
          <w:b w:val="0"/>
          <w:bCs w:val="0"/>
          <w:sz w:val="24"/>
          <w:szCs w:val="24"/>
        </w:rPr>
        <w:t>）。逾期送达或密封和标注不符合比选邀请文件规定的响应文件恕不接受。邮寄的响应文件，</w:t>
      </w:r>
      <w:r>
        <w:rPr>
          <w:rFonts w:hint="eastAsia" w:ascii="仿宋_GB2312" w:hAnsi="仿宋_GB2312" w:eastAsia="仿宋_GB2312" w:cs="仿宋_GB2312"/>
          <w:b w:val="0"/>
          <w:bCs w:val="0"/>
          <w:sz w:val="24"/>
          <w:szCs w:val="24"/>
          <w:lang w:val="en-US" w:eastAsia="zh-CN"/>
        </w:rPr>
        <w:t>请在</w:t>
      </w:r>
      <w:r>
        <w:rPr>
          <w:rFonts w:hint="eastAsia" w:ascii="仿宋_GB2312" w:hAnsi="仿宋_GB2312" w:eastAsia="仿宋_GB2312" w:cs="仿宋_GB2312"/>
          <w:b w:val="0"/>
          <w:bCs w:val="0"/>
          <w:sz w:val="24"/>
          <w:szCs w:val="24"/>
        </w:rPr>
        <w:t>邮件封面注明</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牙科综合治疗机”。</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八、</w:t>
      </w:r>
      <w:r>
        <w:rPr>
          <w:rFonts w:hint="eastAsia" w:ascii="仿宋_GB2312" w:hAnsi="仿宋_GB2312" w:eastAsia="仿宋_GB2312" w:cs="仿宋_GB2312"/>
          <w:b/>
          <w:bCs/>
          <w:sz w:val="24"/>
          <w:szCs w:val="24"/>
        </w:rPr>
        <w:t>比选时间：</w:t>
      </w:r>
      <w:r>
        <w:rPr>
          <w:rFonts w:hint="eastAsia" w:ascii="仿宋_GB2312" w:hAnsi="仿宋_GB2312" w:eastAsia="仿宋_GB2312" w:cs="仿宋_GB2312"/>
          <w:b w:val="0"/>
          <w:bCs w:val="0"/>
          <w:sz w:val="24"/>
          <w:szCs w:val="24"/>
        </w:rPr>
        <w:t>2022年</w:t>
      </w:r>
      <w:r>
        <w:rPr>
          <w:rFonts w:hint="eastAsia" w:ascii="仿宋_GB2312" w:hAnsi="仿宋_GB2312" w:eastAsia="仿宋_GB2312" w:cs="仿宋_GB2312"/>
          <w:b w:val="0"/>
          <w:bCs w:val="0"/>
          <w:sz w:val="24"/>
          <w:szCs w:val="24"/>
          <w:lang w:val="en-US" w:eastAsia="zh-CN"/>
        </w:rPr>
        <w:t>7</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日1</w:t>
      </w:r>
      <w:r>
        <w:rPr>
          <w:rFonts w:hint="eastAsia" w:ascii="仿宋_GB2312" w:hAnsi="仿宋_GB2312" w:eastAsia="仿宋_GB2312" w:cs="仿宋_GB2312"/>
          <w:b w:val="0"/>
          <w:bCs w:val="0"/>
          <w:sz w:val="24"/>
          <w:szCs w:val="24"/>
          <w:lang w:val="en-US" w:eastAsia="zh-CN"/>
        </w:rPr>
        <w:t>4:5</w:t>
      </w:r>
      <w:r>
        <w:rPr>
          <w:rFonts w:hint="eastAsia" w:ascii="仿宋_GB2312" w:hAnsi="仿宋_GB2312" w:eastAsia="仿宋_GB2312" w:cs="仿宋_GB2312"/>
          <w:b w:val="0"/>
          <w:bCs w:val="0"/>
          <w:sz w:val="24"/>
          <w:szCs w:val="24"/>
        </w:rPr>
        <w:t>0分（北京时间）</w:t>
      </w:r>
      <w:r>
        <w:rPr>
          <w:rFonts w:hint="eastAsia" w:ascii="仿宋_GB2312" w:hAnsi="仿宋_GB2312" w:eastAsia="仿宋_GB2312" w:cs="仿宋_GB2312"/>
          <w:bCs/>
          <w:kern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Cs/>
          <w:kern w:val="0"/>
          <w:sz w:val="24"/>
          <w:szCs w:val="24"/>
        </w:rPr>
      </w:pPr>
      <w:r>
        <w:rPr>
          <w:rFonts w:hint="eastAsia" w:ascii="仿宋_GB2312" w:hAnsi="仿宋_GB2312" w:eastAsia="仿宋_GB2312" w:cs="仿宋_GB2312"/>
          <w:b/>
          <w:kern w:val="0"/>
          <w:sz w:val="24"/>
          <w:szCs w:val="24"/>
        </w:rPr>
        <w:t>九、</w:t>
      </w:r>
      <w:r>
        <w:rPr>
          <w:rFonts w:hint="eastAsia" w:ascii="仿宋_GB2312" w:hAnsi="仿宋_GB2312" w:eastAsia="仿宋_GB2312" w:cs="仿宋_GB2312"/>
          <w:b/>
          <w:bCs/>
          <w:sz w:val="24"/>
          <w:szCs w:val="24"/>
        </w:rPr>
        <w:t>比选地点：</w:t>
      </w:r>
      <w:r>
        <w:rPr>
          <w:rFonts w:hint="eastAsia" w:ascii="仿宋_GB2312" w:hAnsi="仿宋_GB2312" w:eastAsia="仿宋_GB2312" w:cs="仿宋_GB2312"/>
          <w:bCs/>
          <w:sz w:val="24"/>
          <w:szCs w:val="24"/>
        </w:rPr>
        <w:t>三台县</w:t>
      </w:r>
      <w:r>
        <w:rPr>
          <w:rFonts w:hint="eastAsia" w:ascii="仿宋_GB2312" w:hAnsi="仿宋_GB2312" w:eastAsia="仿宋_GB2312" w:cs="仿宋_GB2312"/>
          <w:bCs/>
          <w:sz w:val="24"/>
          <w:szCs w:val="24"/>
          <w:lang w:eastAsia="zh-CN"/>
        </w:rPr>
        <w:t>中医院</w:t>
      </w:r>
      <w:r>
        <w:rPr>
          <w:rFonts w:hint="eastAsia" w:ascii="仿宋_GB2312" w:hAnsi="仿宋_GB2312" w:eastAsia="仿宋_GB2312" w:cs="仿宋_GB2312"/>
          <w:bCs/>
          <w:sz w:val="24"/>
          <w:szCs w:val="24"/>
        </w:rPr>
        <w:t>行政楼</w:t>
      </w:r>
      <w:r>
        <w:rPr>
          <w:rFonts w:hint="eastAsia" w:ascii="仿宋_GB2312" w:hAnsi="仿宋_GB2312" w:eastAsia="仿宋_GB2312" w:cs="仿宋_GB2312"/>
          <w:bCs/>
          <w:sz w:val="24"/>
          <w:szCs w:val="24"/>
          <w:lang w:val="en-US" w:eastAsia="zh-CN"/>
        </w:rPr>
        <w:t>三楼</w:t>
      </w:r>
      <w:r>
        <w:rPr>
          <w:rFonts w:hint="eastAsia" w:ascii="仿宋_GB2312" w:hAnsi="仿宋_GB2312" w:eastAsia="仿宋_GB2312" w:cs="仿宋_GB2312"/>
          <w:bCs/>
          <w:sz w:val="24"/>
          <w:szCs w:val="24"/>
        </w:rPr>
        <w:t>会议室（如有变动，另行通知）</w:t>
      </w:r>
      <w:r>
        <w:rPr>
          <w:rFonts w:hint="eastAsia" w:ascii="仿宋_GB2312" w:hAnsi="仿宋_GB2312" w:eastAsia="仿宋_GB2312" w:cs="仿宋_GB2312"/>
          <w:bCs/>
          <w:kern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十、</w:t>
      </w:r>
      <w:r>
        <w:rPr>
          <w:rFonts w:hint="eastAsia" w:ascii="仿宋_GB2312" w:hAnsi="仿宋_GB2312" w:eastAsia="仿宋_GB2312" w:cs="仿宋_GB2312"/>
          <w:b/>
          <w:bCs/>
          <w:sz w:val="24"/>
          <w:szCs w:val="24"/>
        </w:rPr>
        <w:t>比选公告将在三台县</w:t>
      </w:r>
      <w:r>
        <w:rPr>
          <w:rFonts w:hint="eastAsia" w:ascii="仿宋_GB2312" w:hAnsi="仿宋_GB2312" w:eastAsia="仿宋_GB2312" w:cs="仿宋_GB2312"/>
          <w:b/>
          <w:bCs/>
          <w:sz w:val="24"/>
          <w:szCs w:val="24"/>
          <w:lang w:eastAsia="zh-CN"/>
        </w:rPr>
        <w:t>中医院</w:t>
      </w:r>
      <w:r>
        <w:rPr>
          <w:rFonts w:hint="eastAsia" w:ascii="仿宋_GB2312" w:hAnsi="仿宋_GB2312" w:eastAsia="仿宋_GB2312" w:cs="仿宋_GB2312"/>
          <w:b/>
          <w:bCs/>
          <w:sz w:val="24"/>
          <w:szCs w:val="24"/>
        </w:rPr>
        <w:t>官网以公告形式发布。</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十一、</w:t>
      </w:r>
      <w:r>
        <w:rPr>
          <w:rFonts w:hint="eastAsia" w:ascii="仿宋_GB2312" w:hAnsi="仿宋_GB2312" w:eastAsia="仿宋_GB2312" w:cs="仿宋_GB2312"/>
          <w:b/>
          <w:bCs/>
          <w:sz w:val="24"/>
          <w:szCs w:val="24"/>
        </w:rPr>
        <w:t>联系方式</w:t>
      </w:r>
    </w:p>
    <w:p>
      <w:pPr>
        <w:keepNext w:val="0"/>
        <w:keepLines w:val="0"/>
        <w:pageBreakBefore w:val="0"/>
        <w:widowControl w:val="0"/>
        <w:tabs>
          <w:tab w:val="left" w:pos="2310"/>
        </w:tabs>
        <w:kinsoku/>
        <w:wordWrap/>
        <w:overflowPunct/>
        <w:topLinePunct w:val="0"/>
        <w:bidi w:val="0"/>
        <w:snapToGrid/>
        <w:spacing w:line="400" w:lineRule="exact"/>
        <w:ind w:left="560" w:right="420" w:right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采购人：三台县</w:t>
      </w:r>
      <w:r>
        <w:rPr>
          <w:rFonts w:hint="eastAsia" w:ascii="仿宋_GB2312" w:hAnsi="仿宋_GB2312" w:eastAsia="仿宋_GB2312" w:cs="仿宋_GB2312"/>
          <w:sz w:val="24"/>
          <w:szCs w:val="24"/>
          <w:lang w:eastAsia="zh-CN"/>
        </w:rPr>
        <w:t>中医院</w:t>
      </w:r>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址：三台县潼川镇</w:t>
      </w:r>
      <w:r>
        <w:rPr>
          <w:rFonts w:hint="eastAsia" w:ascii="仿宋_GB2312" w:hAnsi="仿宋_GB2312" w:eastAsia="仿宋_GB2312" w:cs="仿宋_GB2312"/>
          <w:sz w:val="24"/>
          <w:szCs w:val="24"/>
          <w:lang w:val="en-US" w:eastAsia="zh-CN"/>
        </w:rPr>
        <w:t>学街31</w:t>
      </w:r>
      <w:r>
        <w:rPr>
          <w:rFonts w:hint="eastAsia" w:ascii="仿宋_GB2312" w:hAnsi="仿宋_GB2312" w:eastAsia="仿宋_GB2312" w:cs="仿宋_GB2312"/>
          <w:sz w:val="24"/>
          <w:szCs w:val="24"/>
        </w:rPr>
        <w:t>号</w:t>
      </w:r>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杨</w:t>
      </w:r>
      <w:r>
        <w:rPr>
          <w:rFonts w:hint="eastAsia" w:ascii="仿宋_GB2312" w:hAnsi="仿宋_GB2312" w:eastAsia="仿宋_GB2312" w:cs="仿宋_GB2312"/>
          <w:sz w:val="24"/>
          <w:szCs w:val="24"/>
        </w:rPr>
        <w:t>老师</w:t>
      </w:r>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rPr>
        <w:t>电  话：</w:t>
      </w:r>
      <w:bookmarkStart w:id="1" w:name="_Toc418004672"/>
      <w:r>
        <w:rPr>
          <w:rFonts w:hint="eastAsia" w:ascii="仿宋_GB2312" w:hAnsi="仿宋_GB2312" w:eastAsia="仿宋_GB2312" w:cs="仿宋_GB2312"/>
          <w:sz w:val="24"/>
          <w:szCs w:val="24"/>
          <w:lang w:val="en-US" w:eastAsia="zh-CN"/>
        </w:rPr>
        <w:t>0816 5261268</w:t>
      </w:r>
    </w:p>
    <w:bookmarkEnd w:id="1"/>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sz w:val="24"/>
          <w:szCs w:val="24"/>
        </w:rPr>
      </w:pPr>
      <w:bookmarkStart w:id="2" w:name="_Toc52036324"/>
      <w:r>
        <w:rPr>
          <w:rFonts w:hint="eastAsia" w:ascii="仿宋_GB2312" w:hAnsi="仿宋_GB2312" w:eastAsia="仿宋_GB2312" w:cs="仿宋_GB2312"/>
          <w:b/>
          <w:sz w:val="24"/>
          <w:szCs w:val="24"/>
        </w:rPr>
        <w:br w:type="page"/>
      </w:r>
    </w:p>
    <w:p>
      <w:pPr>
        <w:widowControl/>
        <w:numPr>
          <w:ilvl w:val="0"/>
          <w:numId w:val="1"/>
        </w:numPr>
        <w:spacing w:line="360" w:lineRule="auto"/>
        <w:jc w:val="left"/>
        <w:rPr>
          <w:rFonts w:ascii="Times New Roman" w:hAnsi="Times New Roman"/>
          <w:b/>
          <w:sz w:val="36"/>
          <w:szCs w:val="36"/>
        </w:rPr>
      </w:pPr>
      <w:r>
        <w:rPr>
          <w:rFonts w:ascii="Times New Roman" w:hAnsi="Times New Roman"/>
          <w:b/>
          <w:sz w:val="36"/>
          <w:szCs w:val="36"/>
        </w:rPr>
        <w:t xml:space="preserve"> 比选项目技术、服务、及其他商务要求</w:t>
      </w:r>
      <w:bookmarkEnd w:id="2"/>
    </w:p>
    <w:p>
      <w:pPr>
        <w:widowControl/>
        <w:numPr>
          <w:ilvl w:val="0"/>
          <w:numId w:val="0"/>
        </w:numPr>
        <w:spacing w:line="360" w:lineRule="auto"/>
        <w:jc w:val="left"/>
        <w:rPr>
          <w:rFonts w:hint="eastAsia" w:ascii="Times New Roman" w:hAnsi="Times New Roman" w:eastAsia="宋体"/>
          <w:b/>
          <w:sz w:val="36"/>
          <w:szCs w:val="36"/>
          <w:lang w:val="en-US" w:eastAsia="zh-CN"/>
        </w:rPr>
      </w:pPr>
      <w:r>
        <w:rPr>
          <w:rFonts w:hint="eastAsia" w:ascii="Times New Roman" w:hAnsi="Times New Roman"/>
          <w:b/>
          <w:sz w:val="36"/>
          <w:szCs w:val="36"/>
          <w:lang w:val="en-US" w:eastAsia="zh-CN"/>
        </w:rPr>
        <w:t>一、技术部分</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一）、</w:t>
      </w:r>
      <w:r>
        <w:rPr>
          <w:rFonts w:hint="eastAsia" w:ascii="微软雅黑" w:hAnsi="微软雅黑" w:eastAsia="微软雅黑" w:cs="微软雅黑"/>
          <w:sz w:val="24"/>
          <w:szCs w:val="24"/>
        </w:rPr>
        <w:t>整机基础参数及控制系统</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输入功率：≥3</w:t>
      </w:r>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0VA</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控制系统：24V安全低电压控制，规避高电压操作风</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按防电击类型分类：I类  B型</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输入气压</w:t>
      </w:r>
      <w:r>
        <w:rPr>
          <w:rFonts w:hint="eastAsia" w:ascii="微软雅黑" w:hAnsi="微软雅黑" w:eastAsia="微软雅黑" w:cs="微软雅黑"/>
          <w:sz w:val="24"/>
          <w:szCs w:val="24"/>
          <w:lang w:val="en-US" w:eastAsia="zh-CN"/>
        </w:rPr>
        <w:t>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0.55---0.6MPa，流量≥50L/min</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输入水压</w:t>
      </w:r>
      <w:r>
        <w:rPr>
          <w:rFonts w:hint="eastAsia" w:ascii="微软雅黑" w:hAnsi="微软雅黑" w:eastAsia="微软雅黑" w:cs="微软雅黑"/>
          <w:sz w:val="24"/>
          <w:szCs w:val="24"/>
          <w:lang w:val="en-US" w:eastAsia="zh-CN"/>
        </w:rPr>
        <w:t>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0.2---0.4Mpa，流量≥10L/min</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控制系统采用双主控控制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主控、副控功能完全相同，便于护士操作，让医师专注于治疗</w:t>
      </w:r>
      <w:r>
        <w:rPr>
          <w:rFonts w:hint="eastAsia" w:ascii="微软雅黑" w:hAnsi="微软雅黑" w:eastAsia="微软雅黑" w:cs="微软雅黑"/>
          <w:sz w:val="24"/>
          <w:szCs w:val="24"/>
          <w:lang w:eastAsia="zh-CN"/>
        </w:rPr>
        <w:t>。</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硬质触摸控制面板，操作便捷，不会穿孔破损</w:t>
      </w:r>
      <w:r>
        <w:rPr>
          <w:rFonts w:hint="eastAsia" w:ascii="微软雅黑" w:hAnsi="微软雅黑" w:eastAsia="微软雅黑" w:cs="微软雅黑"/>
          <w:sz w:val="24"/>
          <w:szCs w:val="24"/>
          <w:lang w:eastAsia="zh-CN"/>
        </w:rPr>
        <w:t>。</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lang w:val="en-US" w:eastAsia="zh-CN"/>
        </w:rPr>
        <w:t>不少于</w:t>
      </w:r>
      <w:r>
        <w:rPr>
          <w:rFonts w:hint="eastAsia" w:ascii="微软雅黑" w:hAnsi="微软雅黑" w:eastAsia="微软雅黑" w:cs="微软雅黑"/>
          <w:sz w:val="24"/>
          <w:szCs w:val="24"/>
        </w:rPr>
        <w:t>九记忆位设置，</w:t>
      </w:r>
      <w:r>
        <w:rPr>
          <w:rFonts w:hint="eastAsia" w:ascii="微软雅黑" w:hAnsi="微软雅黑" w:eastAsia="微软雅黑" w:cs="微软雅黑"/>
          <w:sz w:val="24"/>
          <w:szCs w:val="24"/>
          <w:lang w:val="en-US" w:eastAsia="zh-CN"/>
        </w:rPr>
        <w:t>具有</w:t>
      </w:r>
      <w:r>
        <w:rPr>
          <w:rFonts w:hint="eastAsia" w:ascii="微软雅黑" w:hAnsi="微软雅黑" w:eastAsia="微软雅黑" w:cs="微软雅黑"/>
          <w:sz w:val="24"/>
          <w:szCs w:val="24"/>
        </w:rPr>
        <w:t>一键复位、一键急救；漱口、冲盂水水量可调</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吐痰位一键操控，靠背自动运行至吐痰位，口腔灯自动熄灭，冲盂水自动开启；靠背恢复治疗位，口腔灯自动开启，冲盂水自动关闭</w:t>
      </w:r>
    </w:p>
    <w:p>
      <w:pPr>
        <w:pStyle w:val="51"/>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灯立柱落地结构，牙椅与口腔灯、器械盘系统相互不干扰</w:t>
      </w:r>
      <w:r>
        <w:rPr>
          <w:rFonts w:hint="eastAsia" w:ascii="微软雅黑" w:hAnsi="微软雅黑" w:eastAsia="微软雅黑" w:cs="微软雅黑"/>
          <w:sz w:val="24"/>
          <w:szCs w:val="24"/>
          <w:lang w:eastAsia="zh-CN"/>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牙科椅</w:t>
      </w:r>
    </w:p>
    <w:p>
      <w:pPr>
        <w:pStyle w:val="51"/>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机械运行机构：靠背高支点转点：有效改善靠背运行致病员推搓背的不适感</w:t>
      </w:r>
    </w:p>
    <w:p>
      <w:pPr>
        <w:pStyle w:val="51"/>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驱动系统：24V静音直流电机</w:t>
      </w:r>
      <w:r>
        <w:rPr>
          <w:rFonts w:hint="eastAsia" w:ascii="微软雅黑" w:hAnsi="微软雅黑" w:eastAsia="微软雅黑" w:cs="微软雅黑"/>
          <w:sz w:val="24"/>
          <w:szCs w:val="24"/>
          <w:lang w:eastAsia="zh-CN"/>
        </w:rPr>
        <w:t>。</w:t>
      </w:r>
    </w:p>
    <w:p>
      <w:pPr>
        <w:pStyle w:val="51"/>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座椅最低位</w:t>
      </w:r>
      <w:r>
        <w:rPr>
          <w:rFonts w:hint="eastAsia"/>
          <w:sz w:val="28"/>
          <w:szCs w:val="28"/>
        </w:rPr>
        <w:t>≤</w:t>
      </w:r>
      <w:r>
        <w:rPr>
          <w:rFonts w:hint="eastAsia" w:ascii="微软雅黑" w:hAnsi="微软雅黑" w:eastAsia="微软雅黑" w:cs="微软雅黑"/>
          <w:sz w:val="24"/>
          <w:szCs w:val="24"/>
        </w:rPr>
        <w:t>370mm，座椅最高位</w:t>
      </w:r>
      <w:r>
        <w:rPr>
          <w:rFonts w:hint="eastAsia"/>
          <w:sz w:val="28"/>
          <w:szCs w:val="28"/>
          <w:lang w:eastAsia="zh-CN"/>
        </w:rPr>
        <w:t>≥</w:t>
      </w:r>
      <w:r>
        <w:rPr>
          <w:rFonts w:hint="eastAsia" w:ascii="微软雅黑" w:hAnsi="微软雅黑" w:eastAsia="微软雅黑" w:cs="微软雅黑"/>
          <w:sz w:val="24"/>
          <w:szCs w:val="24"/>
        </w:rPr>
        <w:t>800mm</w:t>
      </w:r>
      <w:r>
        <w:rPr>
          <w:rFonts w:hint="eastAsia" w:ascii="微软雅黑" w:hAnsi="微软雅黑" w:eastAsia="微软雅黑" w:cs="微软雅黑"/>
          <w:sz w:val="24"/>
          <w:szCs w:val="24"/>
          <w:lang w:eastAsia="zh-CN"/>
        </w:rPr>
        <w:t>。</w:t>
      </w:r>
    </w:p>
    <w:p>
      <w:pPr>
        <w:pStyle w:val="51"/>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最大负载：</w:t>
      </w:r>
      <w:r>
        <w:rPr>
          <w:rFonts w:hint="eastAsia"/>
          <w:sz w:val="28"/>
          <w:szCs w:val="28"/>
          <w:lang w:eastAsia="zh-CN"/>
        </w:rPr>
        <w:t>≥</w:t>
      </w:r>
      <w:r>
        <w:rPr>
          <w:rFonts w:hint="eastAsia" w:ascii="微软雅黑" w:hAnsi="微软雅黑" w:eastAsia="微软雅黑" w:cs="微软雅黑"/>
          <w:sz w:val="24"/>
          <w:szCs w:val="24"/>
        </w:rPr>
        <w:t>150Kg</w:t>
      </w:r>
    </w:p>
    <w:p>
      <w:pPr>
        <w:pStyle w:val="51"/>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靠背后倾范围：110～ 185°</w:t>
      </w:r>
    </w:p>
    <w:p>
      <w:pPr>
        <w:pStyle w:val="51"/>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头枕架：双关节，上下滑动行程120～ </w:t>
      </w:r>
      <w:r>
        <w:rPr>
          <w:rFonts w:hint="eastAsia" w:ascii="微软雅黑" w:hAnsi="微软雅黑" w:eastAsia="微软雅黑" w:cs="微软雅黑"/>
          <w:sz w:val="24"/>
          <w:szCs w:val="24"/>
          <w:lang w:val="en-US" w:eastAsia="zh-CN"/>
        </w:rPr>
        <w:t>150</w:t>
      </w:r>
      <w:r>
        <w:rPr>
          <w:rFonts w:hint="eastAsia" w:ascii="微软雅黑" w:hAnsi="微软雅黑" w:eastAsia="微软雅黑" w:cs="微软雅黑"/>
          <w:sz w:val="24"/>
          <w:szCs w:val="24"/>
        </w:rPr>
        <w:t>mm</w:t>
      </w:r>
    </w:p>
    <w:p>
      <w:pPr>
        <w:pStyle w:val="51"/>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扶手：不锈钢按压式扶手</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治疗机</w:t>
      </w:r>
    </w:p>
    <w:p>
      <w:pPr>
        <w:pStyle w:val="51"/>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高分子材料机箱：不变形、不变色</w:t>
      </w:r>
    </w:p>
    <w:p>
      <w:pPr>
        <w:pStyle w:val="51"/>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机内配置负压发生器。</w:t>
      </w:r>
      <w:r>
        <w:rPr>
          <w:rFonts w:hint="eastAsia" w:ascii="微软雅黑" w:hAnsi="微软雅黑" w:eastAsia="微软雅黑" w:cs="微软雅黑"/>
          <w:sz w:val="24"/>
          <w:szCs w:val="24"/>
        </w:rPr>
        <w:t>强吸负压：≥ 27kPa；弱吸负压：≥ 10kPa</w:t>
      </w:r>
    </w:p>
    <w:p>
      <w:pPr>
        <w:pStyle w:val="51"/>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24V恒温加热系统：40℃±5℃</w:t>
      </w:r>
    </w:p>
    <w:p>
      <w:pPr>
        <w:pStyle w:val="51"/>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痰盂：可旋转玻璃痰盂，内高外低，防溢溅，拥有国家外观设计专利</w:t>
      </w:r>
    </w:p>
    <w:p>
      <w:pPr>
        <w:pStyle w:val="51"/>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冲盂、漱口水嘴：全不锈钢</w:t>
      </w:r>
    </w:p>
    <w:p>
      <w:pPr>
        <w:pStyle w:val="51"/>
        <w:keepNext w:val="0"/>
        <w:keepLines w:val="0"/>
        <w:pageBreakBefore w:val="0"/>
        <w:widowControl w:val="0"/>
        <w:numPr>
          <w:ilvl w:val="0"/>
          <w:numId w:val="4"/>
        </w:numPr>
        <w:kinsoku/>
        <w:wordWrap/>
        <w:overflowPunct/>
        <w:topLinePunct w:val="0"/>
        <w:autoSpaceDE/>
        <w:autoSpaceDN/>
        <w:bidi w:val="0"/>
        <w:adjustRightInd/>
        <w:snapToGrid/>
        <w:spacing w:line="440" w:lineRule="exact"/>
        <w:ind w:left="1260" w:leftChars="0" w:hanging="540"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可旋转助手架：强弱吸管极短管路设计，强弱吸管、三用枪管在牙椅处于最低位时也不会拖地；管路重量轻，提高吸唾时病员舒适感；助手架挂载一体式强弱吸过滤杯，远离痰盂，更加卫生，清洗方便</w:t>
      </w:r>
    </w:p>
    <w:p>
      <w:pPr>
        <w:pStyle w:val="51"/>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手机供水系统：蒸馏水、自来水可切换双路供水</w:t>
      </w:r>
      <w:r>
        <w:rPr>
          <w:rFonts w:hint="eastAsia" w:ascii="微软雅黑" w:hAnsi="微软雅黑" w:eastAsia="微软雅黑" w:cs="微软雅黑"/>
          <w:sz w:val="24"/>
          <w:szCs w:val="24"/>
          <w:lang w:eastAsia="zh-CN"/>
        </w:rPr>
        <w:t>。</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四）、</w:t>
      </w:r>
      <w:r>
        <w:rPr>
          <w:rFonts w:hint="eastAsia" w:ascii="微软雅黑" w:hAnsi="微软雅黑" w:eastAsia="微软雅黑" w:cs="微软雅黑"/>
          <w:sz w:val="24"/>
          <w:szCs w:val="24"/>
        </w:rPr>
        <w:t>口腔灯</w:t>
      </w:r>
    </w:p>
    <w:p>
      <w:pPr>
        <w:pStyle w:val="51"/>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LED冷光无影口腔灯：红外感应、液晶屏触摸双控调节</w:t>
      </w:r>
    </w:p>
    <w:p>
      <w:pPr>
        <w:pStyle w:val="51"/>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照度调节范围≤8000lux；≥60000lux；色温：4000K-5500K七档，液晶数显触摸调节</w:t>
      </w:r>
    </w:p>
    <w:p>
      <w:pPr>
        <w:pStyle w:val="51"/>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具备光固化模式，降低LED光对树脂材料影响</w:t>
      </w:r>
    </w:p>
    <w:p>
      <w:pPr>
        <w:pStyle w:val="51"/>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无蓝光、频闪，具备护眼功能</w:t>
      </w:r>
    </w:p>
    <w:p>
      <w:pPr>
        <w:pStyle w:val="51"/>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自动存储医师使用的照度和色温</w:t>
      </w:r>
    </w:p>
    <w:p>
      <w:pPr>
        <w:pStyle w:val="51"/>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光斑</w:t>
      </w:r>
      <w:r>
        <w:rPr>
          <w:rFonts w:hint="eastAsia" w:ascii="微软雅黑" w:hAnsi="微软雅黑" w:eastAsia="微软雅黑" w:cs="微软雅黑"/>
          <w:sz w:val="24"/>
          <w:szCs w:val="24"/>
        </w:rPr>
        <w:t>≥</w:t>
      </w:r>
      <w:r>
        <w:rPr>
          <w:rFonts w:hint="eastAsia" w:ascii="微软雅黑" w:hAnsi="微软雅黑" w:eastAsia="微软雅黑" w:cs="微软雅黑"/>
          <w:color w:val="000000" w:themeColor="text1"/>
          <w:sz w:val="24"/>
          <w:szCs w:val="24"/>
          <w14:textFill>
            <w14:solidFill>
              <w14:schemeClr w14:val="tx1"/>
            </w14:solidFill>
          </w14:textFill>
        </w:rPr>
        <w:t>80X120mm,成型方正，布光均匀，无影效果佳</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器械盘</w:t>
      </w:r>
    </w:p>
    <w:p>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整体注塑，配备成型贴合硅胶衬垫，可拆卸、易清洁</w:t>
      </w:r>
    </w:p>
    <w:p>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双器械盘：配置304不锈钢手术托盘</w:t>
      </w:r>
    </w:p>
    <w:p>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宋体" w:hAnsi="宋体" w:eastAsia="宋体" w:cs="宋体"/>
          <w:sz w:val="24"/>
          <w:szCs w:val="24"/>
        </w:rPr>
        <w:t>▲</w:t>
      </w:r>
      <w:r>
        <w:rPr>
          <w:rFonts w:hint="eastAsia" w:ascii="微软雅黑" w:hAnsi="微软雅黑" w:eastAsia="微软雅黑" w:cs="微软雅黑"/>
          <w:sz w:val="24"/>
          <w:szCs w:val="24"/>
        </w:rPr>
        <w:t>操控轻便、拥有国家外观设计专利</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提供专利证书）</w:t>
      </w:r>
    </w:p>
    <w:p>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配置内窥镜系统及内窥镜支架</w:t>
      </w:r>
    </w:p>
    <w:p>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配置内置式洁牙机：输出的尖端主振动偏移1μm-100μm</w:t>
      </w:r>
    </w:p>
    <w:p>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配置内置式洁牙机：输出的半偏转率0.1-2N</w:t>
      </w:r>
    </w:p>
    <w:p>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配置内置式洁牙机：尖端输出功率3w-20w</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六）、</w:t>
      </w:r>
      <w:r>
        <w:rPr>
          <w:rFonts w:hint="eastAsia" w:ascii="微软雅黑" w:hAnsi="微软雅黑" w:eastAsia="微软雅黑" w:cs="微软雅黑"/>
          <w:sz w:val="24"/>
          <w:szCs w:val="24"/>
        </w:rPr>
        <w:t>脚踏开关</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20" w:left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组合式脚踏开关，可控冲盂、漱口水，操作便捷</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踩压灵敏，操作简单、可靠</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（七）、</w:t>
      </w:r>
      <w:r>
        <w:rPr>
          <w:rFonts w:hint="eastAsia" w:ascii="微软雅黑" w:hAnsi="微软雅黑" w:eastAsia="微软雅黑" w:cs="微软雅黑"/>
          <w:sz w:val="24"/>
          <w:szCs w:val="24"/>
        </w:rPr>
        <w:t>医师椅</w:t>
      </w:r>
    </w:p>
    <w:p>
      <w:pPr>
        <w:pStyle w:val="51"/>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靠背可旋转角度，范围：≥300°，满足不同体位的治疗需求</w:t>
      </w:r>
    </w:p>
    <w:p>
      <w:pPr>
        <w:pStyle w:val="51"/>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椅位升降可调节，范围140mm-160mm</w:t>
      </w:r>
    </w:p>
    <w:p>
      <w:pPr>
        <w:pStyle w:val="51"/>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Chars="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铝合金五星脚架，坚固耐用</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720" w:leftChars="0"/>
        <w:textAlignment w:val="auto"/>
        <w:outlineLvl w:val="9"/>
        <w:rPr>
          <w:rFonts w:hint="eastAsia" w:ascii="微软雅黑" w:hAnsi="微软雅黑" w:eastAsia="微软雅黑" w:cs="微软雅黑"/>
          <w:sz w:val="24"/>
          <w:szCs w:val="24"/>
        </w:rPr>
      </w:pPr>
    </w:p>
    <w:tbl>
      <w:tblPr>
        <w:tblStyle w:val="27"/>
        <w:tblW w:w="80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94"/>
        <w:gridCol w:w="3194"/>
        <w:gridCol w:w="1203"/>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038"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配 置 清 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名 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单 位</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牙椅</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无缝PU皮坐垫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水电气一键开关装置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多功能组合脚踏开关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口腔灯</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LED无影灯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器械盘</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下挂式器械盘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9记忆位触摸控制系统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高速手机管线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低速手机管线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管路防回吸系统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自动冲痰控制系统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触摸式控制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冷水三用枪</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管路消毒系统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机箱</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电控、手动旋转痰盂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负压发生系统（选位阀）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纯净水供应系统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组合纸巾盒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冲盂系统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辅控</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助手位多功能控制面板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强弱吸过滤系统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强吸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弱吸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冷热水三用喷枪</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洁牙机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内置洁牙机接口，洁牙机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30"/>
                <w:szCs w:val="30"/>
                <w:u w:val="none"/>
              </w:rPr>
            </w:pPr>
            <w:r>
              <w:rPr>
                <w:rFonts w:hint="eastAsia" w:ascii="微软雅黑" w:hAnsi="微软雅黑" w:eastAsia="微软雅黑" w:cs="微软雅黑"/>
                <w:b/>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30"/>
                <w:szCs w:val="30"/>
                <w:u w:val="none"/>
              </w:rPr>
            </w:pPr>
            <w:r>
              <w:rPr>
                <w:rFonts w:hint="eastAsia" w:ascii="微软雅黑" w:hAnsi="微软雅黑" w:eastAsia="微软雅黑" w:cs="微软雅黑"/>
                <w:b/>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地箱</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内置式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医生椅</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 xml:space="preserve">B型豪华医生座椅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护士椅</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0"/>
                <w:szCs w:val="30"/>
                <w:u w:val="none"/>
              </w:rPr>
            </w:pPr>
            <w:r>
              <w:rPr>
                <w:rFonts w:hint="eastAsia" w:ascii="微软雅黑" w:hAnsi="微软雅黑" w:eastAsia="微软雅黑" w:cs="微软雅黑"/>
                <w:i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内窥镜系统</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内窥镜系统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内窥镜支架</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内窥镜支架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光纤手机管线</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光纤手机管线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MMC高仿瓷痰盂</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MMC高仿瓷痰盂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个</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迅流冲盂系统</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迅流冲盂系统</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r>
    </w:tbl>
    <w:p/>
    <w:p/>
    <w:p/>
    <w:p/>
    <w:p>
      <w:pPr>
        <w:spacing w:line="360" w:lineRule="auto"/>
        <w:textAlignment w:val="baseline"/>
        <w:rPr>
          <w:rFonts w:asciiTheme="minorEastAsia" w:hAnsiTheme="minorEastAsia" w:eastAsiaTheme="minorEastAsia"/>
          <w:b/>
          <w:bCs/>
          <w:sz w:val="30"/>
          <w:szCs w:val="30"/>
        </w:rPr>
      </w:pPr>
      <w:bookmarkStart w:id="3" w:name="_Toc233048245"/>
      <w:bookmarkStart w:id="4" w:name="_Toc350964160"/>
      <w:r>
        <w:rPr>
          <w:rFonts w:hint="eastAsia" w:asciiTheme="minorEastAsia" w:hAnsiTheme="minorEastAsia" w:eastAsiaTheme="minorEastAsia"/>
          <w:b/>
          <w:bCs/>
          <w:sz w:val="30"/>
          <w:szCs w:val="30"/>
        </w:rPr>
        <w:t>二、商务要求</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1.签约地点及交货地点</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1.1  合同签约地点：三台县</w:t>
      </w:r>
      <w:r>
        <w:rPr>
          <w:rFonts w:hint="eastAsia" w:asciiTheme="minorEastAsia" w:hAnsiTheme="minorEastAsia" w:eastAsiaTheme="minorEastAsia"/>
          <w:sz w:val="24"/>
          <w:lang w:eastAsia="zh-CN"/>
        </w:rPr>
        <w:t>中医院</w:t>
      </w:r>
      <w:r>
        <w:rPr>
          <w:rFonts w:hint="eastAsia" w:asciiTheme="minorEastAsia" w:hAnsiTheme="minorEastAsia" w:eastAsiaTheme="minorEastAsia"/>
          <w:sz w:val="24"/>
        </w:rPr>
        <w:t>。</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1.2  配送及安装地址：比选人指定地点。</w:t>
      </w:r>
    </w:p>
    <w:p>
      <w:pPr>
        <w:spacing w:line="360" w:lineRule="auto"/>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1.3  交货期：签订合同后</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2.质保期及售后服务要求</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2.1质保期：验收合格后至少1年</w:t>
      </w:r>
      <w:bookmarkStart w:id="5" w:name="_Toc52036325"/>
      <w:bookmarkStart w:id="6" w:name="_Toc520455383"/>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在质保期内，所有的配件费、人工费、差旅费、运输费、搬运费等所有费用均由供应商承担。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3.付款方法和条件</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 xml:space="preserve">3.1  </w:t>
      </w:r>
      <w:r>
        <w:rPr>
          <w:rFonts w:hint="eastAsia" w:asciiTheme="minorEastAsia" w:hAnsiTheme="minorEastAsia" w:eastAsiaTheme="minorEastAsia"/>
          <w:sz w:val="24"/>
          <w:lang w:val="en-US" w:eastAsia="zh-CN"/>
        </w:rPr>
        <w:t>分两次付款：第一次为</w:t>
      </w:r>
      <w:r>
        <w:rPr>
          <w:rFonts w:hint="eastAsia" w:asciiTheme="minorEastAsia" w:hAnsiTheme="minorEastAsia" w:eastAsiaTheme="minorEastAsia"/>
          <w:sz w:val="24"/>
        </w:rPr>
        <w:t>货到安装验收合格1个月内付合同总价的</w:t>
      </w:r>
      <w:r>
        <w:rPr>
          <w:rFonts w:hint="eastAsia" w:asciiTheme="minorEastAsia" w:hAnsiTheme="minorEastAsia" w:eastAsiaTheme="minorEastAsia"/>
          <w:sz w:val="24"/>
          <w:lang w:val="en-US" w:eastAsia="zh-CN"/>
        </w:rPr>
        <w:t>95</w:t>
      </w:r>
      <w:r>
        <w:rPr>
          <w:rFonts w:hint="eastAsia" w:asciiTheme="minorEastAsia" w:hAnsiTheme="minorEastAsia" w:eastAsiaTheme="minorEastAsia"/>
          <w:sz w:val="24"/>
        </w:rPr>
        <w:t>% ，</w:t>
      </w:r>
      <w:r>
        <w:rPr>
          <w:rFonts w:hint="eastAsia" w:asciiTheme="minorEastAsia" w:hAnsiTheme="minorEastAsia" w:eastAsiaTheme="minorEastAsia"/>
          <w:sz w:val="24"/>
          <w:lang w:val="en-US" w:eastAsia="zh-CN"/>
        </w:rPr>
        <w:t>第二次为验收合格</w:t>
      </w:r>
      <w:r>
        <w:rPr>
          <w:rFonts w:hint="eastAsia" w:asciiTheme="minorEastAsia" w:hAnsiTheme="minorEastAsia" w:eastAsiaTheme="minorEastAsia"/>
          <w:sz w:val="24"/>
        </w:rPr>
        <w:t>一年后1个月内付合同总价</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 。</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3.2  付款方式：转账、电汇等非现金方式。</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4.培训：负责设备安装、调试，确保正常运行，且负责操作人员的培训，直至操作人员对操作技术完全掌握为止，费用包含在总报价内。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5.验收：按照比选文件服务要求、响应文件响应情况和国家、行业标准进行验收。</w:t>
      </w:r>
    </w:p>
    <w:p>
      <w:pPr>
        <w:widowControl/>
        <w:jc w:val="left"/>
        <w:rPr>
          <w:rFonts w:hint="eastAsia" w:ascii="宋体" w:hAnsi="宋体" w:cs="宋体"/>
          <w:sz w:val="28"/>
          <w:szCs w:val="28"/>
        </w:rPr>
      </w:pPr>
    </w:p>
    <w:p>
      <w:pPr>
        <w:widowControl/>
        <w:jc w:val="left"/>
        <w:rPr>
          <w:rFonts w:asciiTheme="minorEastAsia" w:hAnsiTheme="minorEastAsia" w:eastAsiaTheme="minorEastAsia"/>
          <w:b/>
          <w:bCs/>
          <w:kern w:val="0"/>
          <w:sz w:val="24"/>
        </w:rPr>
      </w:pPr>
      <w:r>
        <w:rPr>
          <w:rFonts w:hint="eastAsia" w:ascii="宋体" w:hAnsi="宋体" w:cs="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1、所有的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w:t>
      </w:r>
      <w:r>
        <w:rPr>
          <w:rFonts w:hint="eastAsia" w:asciiTheme="minorEastAsia" w:hAnsiTheme="minorEastAsia" w:eastAsiaTheme="minorEastAsia"/>
          <w:b/>
          <w:bCs/>
          <w:kern w:val="0"/>
          <w:sz w:val="24"/>
        </w:rPr>
        <w:t>则为</w:t>
      </w:r>
      <w:r>
        <w:rPr>
          <w:rFonts w:asciiTheme="minorEastAsia" w:hAnsiTheme="minorEastAsia" w:eastAsiaTheme="minorEastAsia"/>
          <w:b/>
          <w:bCs/>
          <w:kern w:val="0"/>
          <w:sz w:val="24"/>
        </w:rPr>
        <w:t>无效响应文件。</w:t>
      </w:r>
    </w:p>
    <w:p>
      <w:pPr>
        <w:widowControl/>
        <w:ind w:firstLine="723" w:firstLineChars="300"/>
        <w:jc w:val="left"/>
        <w:rPr>
          <w:rFonts w:asciiTheme="minorEastAsia" w:hAnsiTheme="minorEastAsia" w:eastAsiaTheme="minorEastAsia"/>
          <w:b/>
          <w:bCs/>
          <w:kern w:val="0"/>
          <w:sz w:val="24"/>
        </w:rPr>
      </w:pPr>
      <w:r>
        <w:rPr>
          <w:rFonts w:hint="eastAsia" w:asciiTheme="minorEastAsia" w:hAnsiTheme="minorEastAsia" w:eastAsiaTheme="minorEastAsia"/>
          <w:b/>
          <w:bCs/>
          <w:kern w:val="0"/>
          <w:sz w:val="24"/>
        </w:rPr>
        <w:t>2、报价超过采购最高限价为无效响应文件。</w:t>
      </w:r>
    </w:p>
    <w:p>
      <w:pPr>
        <w:pStyle w:val="2"/>
        <w:rPr>
          <w:rFonts w:hint="eastAsia"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5"/>
      <w:bookmarkEnd w:id="6"/>
      <w:r>
        <w:rPr>
          <w:rFonts w:hint="eastAsia" w:ascii="Times New Roman" w:hAnsi="Times New Roman"/>
          <w:sz w:val="36"/>
          <w:szCs w:val="36"/>
        </w:rPr>
        <w:t>和要求</w:t>
      </w:r>
    </w:p>
    <w:p>
      <w:pPr>
        <w:pStyle w:val="2"/>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bookmarkStart w:id="50" w:name="_GoBack"/>
      <w:bookmarkEnd w:id="50"/>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kern w:val="0"/>
          <w:sz w:val="24"/>
          <w:szCs w:val="20"/>
        </w:rPr>
      </w:pPr>
      <w:r>
        <w:rPr>
          <w:rFonts w:ascii="Times New Roman" w:hAnsi="Times New Roman"/>
          <w:kern w:val="0"/>
          <w:sz w:val="24"/>
          <w:szCs w:val="20"/>
        </w:rPr>
        <w:br w:type="page"/>
      </w:r>
    </w:p>
    <w:p>
      <w:pPr>
        <w:widowControl/>
        <w:tabs>
          <w:tab w:val="left" w:pos="900"/>
        </w:tabs>
        <w:spacing w:line="360" w:lineRule="auto"/>
        <w:jc w:val="center"/>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40447267"/>
      <w:bookmarkStart w:id="8" w:name="_Toc33709793"/>
      <w:bookmarkStart w:id="9" w:name="_Toc33698132"/>
      <w:bookmarkStart w:id="10" w:name="_Toc52036326"/>
      <w:bookmarkStart w:id="11" w:name="_Toc34051805"/>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40447268"/>
      <w:bookmarkStart w:id="13" w:name="_Toc33709794"/>
      <w:bookmarkStart w:id="14" w:name="_Toc34051806"/>
      <w:bookmarkStart w:id="15" w:name="_Toc52036327"/>
      <w:bookmarkStart w:id="16" w:name="_Toc33698133"/>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3698134"/>
      <w:bookmarkStart w:id="18" w:name="_Toc34051807"/>
      <w:bookmarkStart w:id="19" w:name="_Toc40447269"/>
      <w:bookmarkStart w:id="20" w:name="_Toc52036328"/>
      <w:bookmarkStart w:id="21" w:name="_Toc33709795"/>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33698135"/>
      <w:bookmarkStart w:id="23" w:name="_Toc52036329"/>
      <w:bookmarkStart w:id="24" w:name="_Toc34051808"/>
      <w:bookmarkStart w:id="25" w:name="_Toc40447270"/>
      <w:bookmarkStart w:id="26" w:name="_Toc33709796"/>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7"/>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7"/>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259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2598"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294"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1294"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7"/>
        <w:tblW w:w="91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307564880"/>
      <w:bookmarkStart w:id="28" w:name="_Toc436410129"/>
      <w:bookmarkStart w:id="29" w:name="_Toc436404120"/>
      <w:bookmarkStart w:id="30" w:name="_Toc436820890"/>
      <w:bookmarkStart w:id="31" w:name="_Toc436385992"/>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7"/>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293"/>
      <w:bookmarkStart w:id="33" w:name="_Toc503986415"/>
      <w:bookmarkStart w:id="34" w:name="_Toc503986838"/>
      <w:bookmarkStart w:id="35" w:name="_Toc503987183"/>
      <w:bookmarkStart w:id="36" w:name="_Toc503987104"/>
      <w:bookmarkStart w:id="37"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52036330"/>
      <w:bookmarkStart w:id="39" w:name="_Toc33698136"/>
      <w:bookmarkStart w:id="40" w:name="_Toc40447271"/>
      <w:bookmarkStart w:id="41" w:name="_Toc34051809"/>
      <w:bookmarkStart w:id="42" w:name="_Toc33709797"/>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w:t>
      </w:r>
      <w:r>
        <w:rPr>
          <w:rFonts w:hint="eastAsia" w:ascii="Times New Roman" w:hAnsi="Times New Roman"/>
          <w:kern w:val="0"/>
          <w:sz w:val="24"/>
          <w:szCs w:val="20"/>
          <w:u w:val="single"/>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52036331"/>
      <w:bookmarkStart w:id="44" w:name="_Toc40447272"/>
      <w:bookmarkStart w:id="45" w:name="_Toc33709798"/>
      <w:bookmarkStart w:id="46" w:name="_Toc34051810"/>
      <w:bookmarkStart w:id="47" w:name="_Toc33698137"/>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w:t>
      </w:r>
      <w:r>
        <w:rPr>
          <w:rFonts w:hint="eastAsia" w:ascii="Times New Roman" w:hAnsi="Times New Roman"/>
          <w:color w:val="000000"/>
          <w:kern w:val="0"/>
          <w:sz w:val="24"/>
          <w:szCs w:val="20"/>
          <w:u w:val="single"/>
          <w:lang w:eastAsia="zh-CN"/>
        </w:rPr>
        <w:t>中医院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714"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34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67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1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900"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84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22" w:type="dxa"/>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48" w:name="_Toc52036333"/>
      <w:r>
        <w:rPr>
          <w:rFonts w:hint="eastAsia" w:ascii="Times New Roman" w:hAnsi="Times New Roman" w:eastAsia="黑体"/>
          <w:b/>
          <w:sz w:val="32"/>
          <w:szCs w:val="32"/>
        </w:rPr>
        <w:t>十一</w:t>
      </w:r>
      <w:r>
        <w:rPr>
          <w:rFonts w:ascii="Times New Roman" w:hAnsi="Times New Roman" w:eastAsia="黑体"/>
          <w:b/>
          <w:sz w:val="32"/>
          <w:szCs w:val="32"/>
        </w:rPr>
        <w:t>、分项报价明细表</w:t>
      </w:r>
      <w:bookmarkEnd w:id="48"/>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3"/>
      <w:bookmarkEnd w:id="4"/>
      <w:bookmarkStart w:id="49"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49"/>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7"/>
        <w:tblW w:w="8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298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30</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=（基准价／投标报价）×30（保留小数点后两位，四舍五入）。</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r>
              <w:rPr>
                <w:rFonts w:hint="eastAsia" w:ascii="宋体" w:hAnsi="宋体"/>
                <w:bCs/>
                <w:szCs w:val="21"/>
                <w:lang w:val="en-US" w:eastAsia="zh-CN"/>
              </w:rPr>
              <w:t>58</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58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w:t>
            </w:r>
            <w:r>
              <w:rPr>
                <w:rFonts w:hint="eastAsia" w:ascii="宋体" w:hAnsi="宋体"/>
                <w:szCs w:val="21"/>
                <w:lang w:val="en-US" w:eastAsia="zh-CN"/>
              </w:rPr>
              <w:t>58</w:t>
            </w:r>
            <w:r>
              <w:rPr>
                <w:rFonts w:ascii="宋体" w:hAnsi="宋体"/>
                <w:szCs w:val="21"/>
              </w:rPr>
              <w:t>分；星号条款(标注▲)的技术参数，一条不满足扣</w:t>
            </w:r>
            <w:r>
              <w:rPr>
                <w:rFonts w:hint="eastAsia" w:ascii="宋体" w:hAnsi="宋体"/>
                <w:szCs w:val="21"/>
                <w:lang w:val="en-US" w:eastAsia="zh-CN"/>
              </w:rPr>
              <w:t>3</w:t>
            </w:r>
            <w:r>
              <w:rPr>
                <w:rFonts w:ascii="宋体" w:hAnsi="宋体"/>
                <w:szCs w:val="21"/>
              </w:rPr>
              <w:t>分，非星号条款的技术参数，一条不满足扣</w:t>
            </w:r>
            <w:r>
              <w:rPr>
                <w:rFonts w:hint="eastAsia" w:ascii="宋体" w:hAnsi="宋体"/>
                <w:szCs w:val="21"/>
                <w:lang w:val="en-US" w:eastAsia="zh-CN"/>
              </w:rPr>
              <w:t>1</w:t>
            </w:r>
            <w:r>
              <w:rPr>
                <w:rFonts w:ascii="宋体" w:hAnsi="宋体"/>
                <w:szCs w:val="21"/>
              </w:rPr>
              <w:t>分（实质性要求除外），扣完为止。</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r>
              <w:rPr>
                <w:rFonts w:hint="eastAsia" w:ascii="宋体" w:hAnsi="宋体"/>
                <w:bCs/>
                <w:szCs w:val="21"/>
                <w:lang w:val="en-US" w:eastAsia="zh-CN"/>
              </w:rPr>
              <w:t>6</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rPr>
              <w:t>20</w:t>
            </w:r>
            <w:r>
              <w:rPr>
                <w:rFonts w:ascii="宋体" w:hAnsi="宋体"/>
                <w:szCs w:val="21"/>
              </w:rPr>
              <w:t>年以来</w:t>
            </w:r>
            <w:r>
              <w:rPr>
                <w:rFonts w:hint="eastAsia" w:ascii="宋体" w:hAnsi="宋体"/>
                <w:szCs w:val="21"/>
              </w:rPr>
              <w:t>类似</w:t>
            </w:r>
            <w:r>
              <w:rPr>
                <w:rFonts w:ascii="宋体" w:hAnsi="宋体"/>
                <w:szCs w:val="21"/>
              </w:rPr>
              <w:t>业绩计算，</w:t>
            </w:r>
            <w:r>
              <w:rPr>
                <w:rFonts w:hint="eastAsia" w:ascii="宋体" w:hAnsi="宋体"/>
                <w:szCs w:val="21"/>
              </w:rPr>
              <w:t>每提供</w:t>
            </w:r>
            <w:r>
              <w:rPr>
                <w:rFonts w:ascii="宋体" w:hAnsi="宋体"/>
                <w:szCs w:val="21"/>
              </w:rPr>
              <w:t>合同一个得</w:t>
            </w:r>
            <w:r>
              <w:rPr>
                <w:rFonts w:hint="eastAsia" w:ascii="宋体" w:hAnsi="宋体"/>
                <w:szCs w:val="21"/>
                <w:lang w:val="en-US" w:eastAsia="zh-CN"/>
              </w:rPr>
              <w:t>1</w:t>
            </w:r>
            <w:r>
              <w:rPr>
                <w:rFonts w:ascii="宋体" w:hAnsi="宋体"/>
                <w:szCs w:val="21"/>
              </w:rPr>
              <w:t>分，最多得</w:t>
            </w:r>
            <w:r>
              <w:rPr>
                <w:rFonts w:hint="eastAsia" w:ascii="宋体" w:hAnsi="宋体"/>
                <w:szCs w:val="21"/>
                <w:lang w:val="en-US" w:eastAsia="zh-CN"/>
              </w:rPr>
              <w:t>6</w:t>
            </w:r>
            <w:r>
              <w:rPr>
                <w:rFonts w:ascii="宋体" w:hAnsi="宋体"/>
                <w:szCs w:val="21"/>
              </w:rPr>
              <w:t>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szCs w:val="21"/>
              </w:rPr>
            </w:pPr>
            <w:r>
              <w:rPr>
                <w:rFonts w:hint="eastAsia" w:ascii="宋体" w:hAnsi="宋体"/>
                <w:szCs w:val="21"/>
              </w:rPr>
              <w:t>类似业绩指：同品牌同型号设备销售业</w:t>
            </w:r>
            <w:r>
              <w:rPr>
                <w:rFonts w:hint="eastAsia" w:ascii="宋体" w:hAnsi="宋体"/>
                <w:szCs w:val="21"/>
                <w:lang w:val="en-US" w:eastAsia="zh-CN"/>
              </w:rPr>
              <w:t>绩</w:t>
            </w:r>
            <w:r>
              <w:rPr>
                <w:rFonts w:hint="eastAsia" w:ascii="宋体" w:hAnsi="宋体"/>
                <w:szCs w:val="21"/>
              </w:rPr>
              <w:t>。</w:t>
            </w:r>
          </w:p>
          <w:p>
            <w:pPr>
              <w:spacing w:line="0" w:lineRule="atLeast"/>
              <w:jc w:val="left"/>
              <w:rPr>
                <w:rFonts w:ascii="宋体" w:hAnsi="宋体"/>
                <w:szCs w:val="21"/>
              </w:rPr>
            </w:pPr>
            <w:r>
              <w:rPr>
                <w:rFonts w:hint="eastAsia" w:ascii="宋体" w:hAnsi="宋体"/>
                <w:szCs w:val="21"/>
              </w:rPr>
              <w:t>提供合同</w:t>
            </w:r>
            <w:r>
              <w:rPr>
                <w:rFonts w:ascii="宋体" w:hAnsi="宋体"/>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投标人提供完善的服务方案,完全符合招标文件商务要求的得6</w:t>
            </w:r>
            <w:r>
              <w:rPr>
                <w:rFonts w:ascii="宋体" w:hAnsi="宋体"/>
                <w:szCs w:val="21"/>
              </w:rPr>
              <w:t>分；每有一项缺项漏项的扣2分，扣完为止；每有一项阐述不清、描述不明、描述错误得扣1分。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footerReference r:id="rId3" w:type="default"/>
      <w:pgSz w:w="11906" w:h="16838"/>
      <w:pgMar w:top="12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087414"/>
    <w:multiLevelType w:val="singleLevel"/>
    <w:tmpl w:val="EC087414"/>
    <w:lvl w:ilvl="0" w:tentative="0">
      <w:start w:val="2"/>
      <w:numFmt w:val="chineseCounting"/>
      <w:suff w:val="space"/>
      <w:lvlText w:val="第%1章"/>
      <w:lvlJc w:val="left"/>
      <w:rPr>
        <w:rFonts w:hint="eastAsia"/>
      </w:rPr>
    </w:lvl>
  </w:abstractNum>
  <w:abstractNum w:abstractNumId="1">
    <w:nsid w:val="0262207A"/>
    <w:multiLevelType w:val="multilevel"/>
    <w:tmpl w:val="0262207A"/>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F3F1E60"/>
    <w:multiLevelType w:val="multilevel"/>
    <w:tmpl w:val="0F3F1E60"/>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26181255"/>
    <w:multiLevelType w:val="multilevel"/>
    <w:tmpl w:val="26181255"/>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424340E1"/>
    <w:multiLevelType w:val="multilevel"/>
    <w:tmpl w:val="424340E1"/>
    <w:lvl w:ilvl="0" w:tentative="0">
      <w:start w:val="1"/>
      <w:numFmt w:val="decimal"/>
      <w:lvlText w:val="%1、"/>
      <w:lvlJc w:val="left"/>
      <w:pPr>
        <w:ind w:left="1440" w:hanging="720"/>
      </w:pPr>
      <w:rPr>
        <w:rFonts w:hint="default"/>
        <w:color w:val="auto"/>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48412325"/>
    <w:multiLevelType w:val="multilevel"/>
    <w:tmpl w:val="48412325"/>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6B7A665A"/>
    <w:multiLevelType w:val="multilevel"/>
    <w:tmpl w:val="6B7A665A"/>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5E0929"/>
    <w:rsid w:val="005F21D9"/>
    <w:rsid w:val="0060439E"/>
    <w:rsid w:val="006055D3"/>
    <w:rsid w:val="00667139"/>
    <w:rsid w:val="00711BA3"/>
    <w:rsid w:val="00750ED5"/>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D4DBD"/>
    <w:rsid w:val="00AE2F1C"/>
    <w:rsid w:val="00B316F5"/>
    <w:rsid w:val="00B53FCB"/>
    <w:rsid w:val="00B90E55"/>
    <w:rsid w:val="00BA33DF"/>
    <w:rsid w:val="00C41F0F"/>
    <w:rsid w:val="00C84C99"/>
    <w:rsid w:val="00CA567C"/>
    <w:rsid w:val="00D97302"/>
    <w:rsid w:val="00DD4D9F"/>
    <w:rsid w:val="00F65A99"/>
    <w:rsid w:val="0AFA5A96"/>
    <w:rsid w:val="0CD27FFC"/>
    <w:rsid w:val="0DAC4D70"/>
    <w:rsid w:val="0E114FE2"/>
    <w:rsid w:val="0E677033"/>
    <w:rsid w:val="0E7F1957"/>
    <w:rsid w:val="15304B56"/>
    <w:rsid w:val="17122347"/>
    <w:rsid w:val="1B4D05AA"/>
    <w:rsid w:val="1C281231"/>
    <w:rsid w:val="1F2324A2"/>
    <w:rsid w:val="1FDE786A"/>
    <w:rsid w:val="20A2053B"/>
    <w:rsid w:val="20D54F08"/>
    <w:rsid w:val="20ED7DFF"/>
    <w:rsid w:val="247F6619"/>
    <w:rsid w:val="26463681"/>
    <w:rsid w:val="29A7364C"/>
    <w:rsid w:val="2A092A55"/>
    <w:rsid w:val="2F5D26AF"/>
    <w:rsid w:val="2FB70420"/>
    <w:rsid w:val="30860F73"/>
    <w:rsid w:val="33D16649"/>
    <w:rsid w:val="352C0BF7"/>
    <w:rsid w:val="35DF103A"/>
    <w:rsid w:val="3609706D"/>
    <w:rsid w:val="39202673"/>
    <w:rsid w:val="39B164F1"/>
    <w:rsid w:val="3BF758E5"/>
    <w:rsid w:val="3F5D4CBD"/>
    <w:rsid w:val="3FDC7247"/>
    <w:rsid w:val="40F37FB8"/>
    <w:rsid w:val="45BE1E11"/>
    <w:rsid w:val="45C659C4"/>
    <w:rsid w:val="48553641"/>
    <w:rsid w:val="4C2C6594"/>
    <w:rsid w:val="4CF27AAB"/>
    <w:rsid w:val="50277BC9"/>
    <w:rsid w:val="50D15CF8"/>
    <w:rsid w:val="51066F16"/>
    <w:rsid w:val="51AE40DC"/>
    <w:rsid w:val="53455021"/>
    <w:rsid w:val="56B93C5A"/>
    <w:rsid w:val="57440EBC"/>
    <w:rsid w:val="578E0FAB"/>
    <w:rsid w:val="58BA1F78"/>
    <w:rsid w:val="59151CCA"/>
    <w:rsid w:val="5AAD383C"/>
    <w:rsid w:val="5DD8138D"/>
    <w:rsid w:val="5DEF0CB7"/>
    <w:rsid w:val="5EBF7E2B"/>
    <w:rsid w:val="5F3729BE"/>
    <w:rsid w:val="611E7ED2"/>
    <w:rsid w:val="63761542"/>
    <w:rsid w:val="659F01D8"/>
    <w:rsid w:val="68B977C1"/>
    <w:rsid w:val="69E4351C"/>
    <w:rsid w:val="6A4F2F1A"/>
    <w:rsid w:val="6B8A20A2"/>
    <w:rsid w:val="6C320399"/>
    <w:rsid w:val="6C755241"/>
    <w:rsid w:val="6F514ADE"/>
    <w:rsid w:val="6F833AC6"/>
    <w:rsid w:val="6FA74BB9"/>
    <w:rsid w:val="713951B9"/>
    <w:rsid w:val="71593422"/>
    <w:rsid w:val="72B059E8"/>
    <w:rsid w:val="732C647B"/>
    <w:rsid w:val="7A1B6C1E"/>
    <w:rsid w:val="7A351B2A"/>
    <w:rsid w:val="7A755207"/>
    <w:rsid w:val="7AB7598A"/>
    <w:rsid w:val="7BB15350"/>
    <w:rsid w:val="7C3F13C0"/>
    <w:rsid w:val="7C686DA7"/>
    <w:rsid w:val="7D8D4B15"/>
    <w:rsid w:val="7E0D277C"/>
    <w:rsid w:val="7F6A314C"/>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61"/>
    <w:qFormat/>
    <w:uiPriority w:val="0"/>
    <w:rPr>
      <w:b/>
      <w:bCs/>
    </w:rPr>
  </w:style>
  <w:style w:type="paragraph" w:styleId="6">
    <w:name w:val="annotation text"/>
    <w:basedOn w:val="1"/>
    <w:link w:val="56"/>
    <w:qFormat/>
    <w:uiPriority w:val="0"/>
    <w:pPr>
      <w:jc w:val="left"/>
    </w:pPr>
    <w:rPr>
      <w:rFonts w:ascii="Times New Roman" w:hAnsi="Times New Roman"/>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Body Text"/>
    <w:basedOn w:val="1"/>
    <w:link w:val="49"/>
    <w:qFormat/>
    <w:uiPriority w:val="0"/>
    <w:pPr>
      <w:spacing w:after="120"/>
    </w:pPr>
    <w:rPr>
      <w:rFonts w:ascii="Times New Roman" w:hAnsi="Times New Roman"/>
    </w:rPr>
  </w:style>
  <w:style w:type="paragraph" w:styleId="9">
    <w:name w:val="Body Text Indent"/>
    <w:basedOn w:val="1"/>
    <w:link w:val="50"/>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55"/>
    <w:qFormat/>
    <w:uiPriority w:val="0"/>
    <w:pPr>
      <w:ind w:left="100" w:leftChars="2500"/>
    </w:pPr>
    <w:rPr>
      <w:rFonts w:ascii="Times New Roman" w:hAnsi="Times New Roman"/>
    </w:rPr>
  </w:style>
  <w:style w:type="paragraph" w:styleId="13">
    <w:name w:val="Body Text Indent 2"/>
    <w:basedOn w:val="1"/>
    <w:link w:val="54"/>
    <w:qFormat/>
    <w:uiPriority w:val="0"/>
    <w:pPr>
      <w:spacing w:after="120" w:line="480" w:lineRule="auto"/>
      <w:ind w:left="420" w:leftChars="200"/>
    </w:pPr>
  </w:style>
  <w:style w:type="paragraph" w:styleId="14">
    <w:name w:val="Balloon Text"/>
    <w:basedOn w:val="1"/>
    <w:link w:val="65"/>
    <w:qFormat/>
    <w:uiPriority w:val="0"/>
    <w:rPr>
      <w:rFonts w:ascii="Times New Roman" w:hAnsi="Times New Roman"/>
      <w:sz w:val="18"/>
      <w:szCs w:val="18"/>
    </w:rPr>
  </w:style>
  <w:style w:type="paragraph" w:styleId="15">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3"/>
    <w:qFormat/>
    <w:uiPriority w:val="0"/>
    <w:pPr>
      <w:spacing w:before="240" w:after="60"/>
      <w:jc w:val="center"/>
      <w:outlineLvl w:val="0"/>
    </w:pPr>
    <w:rPr>
      <w:rFonts w:ascii="Cambria" w:hAnsi="Cambria"/>
      <w:b/>
      <w:bCs/>
      <w:sz w:val="32"/>
      <w:szCs w:val="32"/>
    </w:r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qFormat/>
    <w:uiPriority w:val="0"/>
    <w:rPr>
      <w:color w:val="800080"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character" w:customStyle="1" w:styleId="28">
    <w:name w:val="标题 1 字符"/>
    <w:basedOn w:val="21"/>
    <w:link w:val="2"/>
    <w:qFormat/>
    <w:uiPriority w:val="0"/>
    <w:rPr>
      <w:rFonts w:ascii="Calibri" w:hAnsi="Calibri"/>
      <w:b/>
      <w:bCs/>
      <w:kern w:val="44"/>
      <w:sz w:val="44"/>
      <w:szCs w:val="44"/>
    </w:rPr>
  </w:style>
  <w:style w:type="character" w:customStyle="1" w:styleId="29">
    <w:name w:val="标题 2 字符"/>
    <w:basedOn w:val="21"/>
    <w:link w:val="3"/>
    <w:qFormat/>
    <w:uiPriority w:val="0"/>
    <w:rPr>
      <w:rFonts w:ascii="Arial" w:hAnsi="Arial" w:eastAsia="黑体"/>
      <w:b/>
      <w:bCs/>
      <w:sz w:val="32"/>
      <w:szCs w:val="32"/>
    </w:rPr>
  </w:style>
  <w:style w:type="character" w:customStyle="1" w:styleId="30">
    <w:name w:val="标题 3 字符"/>
    <w:basedOn w:val="21"/>
    <w:link w:val="4"/>
    <w:qFormat/>
    <w:uiPriority w:val="0"/>
    <w:rPr>
      <w:rFonts w:ascii="Calibri" w:hAnsi="Calibri"/>
      <w:b/>
      <w:bCs/>
      <w:kern w:val="2"/>
      <w:sz w:val="32"/>
      <w:szCs w:val="32"/>
    </w:rPr>
  </w:style>
  <w:style w:type="character" w:customStyle="1" w:styleId="31">
    <w:name w:val="批注框文本 Char"/>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qFormat/>
    <w:uiPriority w:val="0"/>
    <w:rPr>
      <w:kern w:val="2"/>
      <w:sz w:val="18"/>
      <w:szCs w:val="18"/>
    </w:rPr>
  </w:style>
  <w:style w:type="character" w:customStyle="1" w:styleId="34">
    <w:name w:val="正文文本缩进 Char"/>
    <w:qFormat/>
    <w:uiPriority w:val="0"/>
    <w:rPr>
      <w:kern w:val="2"/>
      <w:sz w:val="21"/>
      <w:szCs w:val="24"/>
    </w:rPr>
  </w:style>
  <w:style w:type="character" w:customStyle="1" w:styleId="35">
    <w:name w:val="批注主题 Char"/>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1"/>
    <w:qFormat/>
    <w:uiPriority w:val="0"/>
  </w:style>
  <w:style w:type="character" w:customStyle="1" w:styleId="38">
    <w:name w:val="纯文本 Char"/>
    <w:qFormat/>
    <w:locked/>
    <w:uiPriority w:val="0"/>
    <w:rPr>
      <w:rFonts w:ascii="宋体" w:hAnsi="Courier New" w:cs="Courier New"/>
      <w:kern w:val="2"/>
      <w:sz w:val="21"/>
      <w:szCs w:val="21"/>
    </w:rPr>
  </w:style>
  <w:style w:type="character" w:customStyle="1" w:styleId="39">
    <w:name w:val="日期 Char"/>
    <w:qFormat/>
    <w:uiPriority w:val="0"/>
    <w:rPr>
      <w:kern w:val="2"/>
      <w:sz w:val="21"/>
      <w:szCs w:val="24"/>
    </w:rPr>
  </w:style>
  <w:style w:type="character" w:customStyle="1" w:styleId="40">
    <w:name w:val="正文文本 Char"/>
    <w:qFormat/>
    <w:uiPriority w:val="0"/>
    <w:rPr>
      <w:kern w:val="2"/>
      <w:sz w:val="21"/>
      <w:szCs w:val="24"/>
    </w:rPr>
  </w:style>
  <w:style w:type="character" w:customStyle="1" w:styleId="41">
    <w:name w:val="标题 Char"/>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qFormat/>
    <w:uiPriority w:val="0"/>
    <w:rPr>
      <w:kern w:val="2"/>
      <w:sz w:val="21"/>
      <w:szCs w:val="24"/>
    </w:rPr>
  </w:style>
  <w:style w:type="character" w:customStyle="1" w:styleId="45">
    <w:name w:val="NormalCharacter"/>
    <w:qFormat/>
    <w:uiPriority w:val="0"/>
  </w:style>
  <w:style w:type="character" w:customStyle="1" w:styleId="46">
    <w:name w:val="页脚 Char"/>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字符"/>
    <w:basedOn w:val="21"/>
    <w:link w:val="8"/>
    <w:qFormat/>
    <w:uiPriority w:val="0"/>
    <w:rPr>
      <w:rFonts w:ascii="Calibri" w:hAnsi="Calibri"/>
      <w:kern w:val="2"/>
      <w:sz w:val="21"/>
      <w:szCs w:val="24"/>
    </w:rPr>
  </w:style>
  <w:style w:type="character" w:customStyle="1" w:styleId="50">
    <w:name w:val="正文文本缩进 字符"/>
    <w:basedOn w:val="21"/>
    <w:link w:val="9"/>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字符"/>
    <w:basedOn w:val="21"/>
    <w:link w:val="20"/>
    <w:qFormat/>
    <w:uiPriority w:val="0"/>
    <w:rPr>
      <w:rFonts w:asciiTheme="majorHAnsi" w:hAnsiTheme="majorHAnsi" w:cstheme="majorBidi"/>
      <w:b/>
      <w:bCs/>
      <w:kern w:val="2"/>
      <w:sz w:val="32"/>
      <w:szCs w:val="32"/>
    </w:rPr>
  </w:style>
  <w:style w:type="character" w:customStyle="1" w:styleId="54">
    <w:name w:val="正文文本缩进 2 字符"/>
    <w:basedOn w:val="21"/>
    <w:link w:val="13"/>
    <w:qFormat/>
    <w:uiPriority w:val="0"/>
    <w:rPr>
      <w:rFonts w:ascii="Calibri" w:hAnsi="Calibri"/>
      <w:kern w:val="2"/>
      <w:sz w:val="21"/>
      <w:szCs w:val="24"/>
    </w:rPr>
  </w:style>
  <w:style w:type="character" w:customStyle="1" w:styleId="55">
    <w:name w:val="日期 字符"/>
    <w:basedOn w:val="21"/>
    <w:link w:val="12"/>
    <w:qFormat/>
    <w:uiPriority w:val="0"/>
    <w:rPr>
      <w:rFonts w:ascii="Calibri" w:hAnsi="Calibri"/>
      <w:kern w:val="2"/>
      <w:sz w:val="21"/>
      <w:szCs w:val="24"/>
    </w:rPr>
  </w:style>
  <w:style w:type="character" w:customStyle="1" w:styleId="56">
    <w:name w:val="批注文字 字符"/>
    <w:basedOn w:val="21"/>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字符"/>
    <w:basedOn w:val="56"/>
    <w:link w:val="5"/>
    <w:qFormat/>
    <w:uiPriority w:val="0"/>
    <w:rPr>
      <w:rFonts w:ascii="Calibri" w:hAnsi="Calibri"/>
      <w:b/>
      <w:bCs/>
      <w:kern w:val="2"/>
      <w:sz w:val="21"/>
      <w:szCs w:val="24"/>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字符"/>
    <w:basedOn w:val="21"/>
    <w:link w:val="15"/>
    <w:qFormat/>
    <w:uiPriority w:val="0"/>
    <w:rPr>
      <w:rFonts w:ascii="Calibri" w:hAnsi="Calibri"/>
      <w:kern w:val="2"/>
      <w:sz w:val="18"/>
      <w:szCs w:val="18"/>
    </w:rPr>
  </w:style>
  <w:style w:type="character" w:customStyle="1" w:styleId="65">
    <w:name w:val="批注框文本 字符"/>
    <w:basedOn w:val="21"/>
    <w:link w:val="14"/>
    <w:qFormat/>
    <w:uiPriority w:val="0"/>
    <w:rPr>
      <w:rFonts w:ascii="Calibri" w:hAnsi="Calibri"/>
      <w:kern w:val="2"/>
      <w:sz w:val="18"/>
      <w:szCs w:val="18"/>
    </w:rPr>
  </w:style>
  <w:style w:type="character" w:customStyle="1" w:styleId="66">
    <w:name w:val="纯文本 字符"/>
    <w:basedOn w:val="21"/>
    <w:link w:val="11"/>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字符"/>
    <w:basedOn w:val="21"/>
    <w:link w:val="16"/>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1890</Words>
  <Characters>10777</Characters>
  <Lines>89</Lines>
  <Paragraphs>25</Paragraphs>
  <TotalTime>46</TotalTime>
  <ScaleCrop>false</ScaleCrop>
  <LinksUpToDate>false</LinksUpToDate>
  <CharactersWithSpaces>12642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yang</cp:lastModifiedBy>
  <dcterms:modified xsi:type="dcterms:W3CDTF">2022-06-28T08:24:44Z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BD4D87F3D29F4F2EA6B20F283D178D2E</vt:lpwstr>
  </property>
</Properties>
</file>