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7"/>
        <w:rPr>
          <w:rFonts w:ascii="Times New Roman"/>
          <w:sz w:val="23"/>
        </w:rPr>
      </w:pPr>
    </w:p>
    <w:p>
      <w:pPr>
        <w:spacing w:before="37"/>
        <w:ind w:left="0" w:right="350" w:firstLine="0"/>
        <w:jc w:val="center"/>
        <w:rPr>
          <w:sz w:val="44"/>
        </w:rPr>
      </w:pPr>
      <w:r>
        <w:rPr>
          <w:w w:val="49"/>
          <w:sz w:val="44"/>
        </w:rPr>
        <w:t> </w:t>
      </w:r>
    </w:p>
    <w:p>
      <w:pPr>
        <w:spacing w:before="87"/>
        <w:ind w:left="0" w:right="350" w:firstLine="0"/>
        <w:jc w:val="center"/>
        <w:rPr>
          <w:sz w:val="44"/>
        </w:rPr>
      </w:pPr>
      <w:r>
        <w:rPr>
          <w:w w:val="49"/>
          <w:sz w:val="44"/>
        </w:rPr>
        <w:t> </w:t>
      </w:r>
    </w:p>
    <w:p>
      <w:pPr>
        <w:spacing w:before="89"/>
        <w:ind w:left="495" w:right="845" w:firstLine="0"/>
        <w:jc w:val="center"/>
        <w:rPr>
          <w:sz w:val="44"/>
        </w:rPr>
      </w:pPr>
      <w:r>
        <w:rPr>
          <w:sz w:val="44"/>
        </w:rPr>
        <w:t>核技术利用建设项目</w:t>
      </w:r>
      <w:r>
        <w:rPr>
          <w:w w:val="49"/>
          <w:sz w:val="44"/>
        </w:rPr>
        <w:t> </w:t>
      </w:r>
    </w:p>
    <w:p>
      <w:pPr>
        <w:spacing w:before="89"/>
        <w:ind w:left="0" w:right="350" w:firstLine="0"/>
        <w:jc w:val="center"/>
        <w:rPr>
          <w:sz w:val="44"/>
        </w:rPr>
      </w:pPr>
      <w:r>
        <w:rPr>
          <w:w w:val="49"/>
          <w:sz w:val="44"/>
        </w:rPr>
        <w:t> </w:t>
      </w:r>
    </w:p>
    <w:p>
      <w:pPr>
        <w:spacing w:before="196"/>
        <w:ind w:left="517" w:right="844" w:firstLine="0"/>
        <w:jc w:val="center"/>
        <w:rPr>
          <w:sz w:val="52"/>
        </w:rPr>
      </w:pPr>
      <w:r>
        <w:rPr>
          <w:sz w:val="52"/>
        </w:rPr>
        <w:t>三台县中医院</w:t>
      </w:r>
      <w:r>
        <w:rPr>
          <w:w w:val="50"/>
          <w:sz w:val="52"/>
        </w:rPr>
        <w:t> </w:t>
      </w:r>
    </w:p>
    <w:p>
      <w:pPr>
        <w:spacing w:line="352" w:lineRule="auto" w:before="313"/>
        <w:ind w:left="517" w:right="845" w:firstLine="0"/>
        <w:jc w:val="center"/>
        <w:rPr>
          <w:sz w:val="52"/>
        </w:rPr>
      </w:pPr>
      <w:r>
        <w:rPr>
          <w:sz w:val="52"/>
        </w:rPr>
        <w:t>新增数字减影血管造影机使用项目环境影响报告表</w:t>
      </w:r>
      <w:r>
        <w:rPr>
          <w:w w:val="50"/>
          <w:sz w:val="52"/>
        </w:rPr>
        <w:t> </w:t>
      </w:r>
    </w:p>
    <w:p>
      <w:pPr>
        <w:spacing w:line="362" w:lineRule="exact" w:before="0"/>
        <w:ind w:left="388" w:right="845" w:firstLine="0"/>
        <w:jc w:val="center"/>
        <w:rPr>
          <w:sz w:val="30"/>
        </w:rPr>
      </w:pPr>
      <w:r>
        <w:rPr>
          <w:sz w:val="30"/>
        </w:rPr>
        <w:t>（公示本）</w:t>
      </w:r>
    </w:p>
    <w:p>
      <w:pPr>
        <w:spacing w:line="660" w:lineRule="exact" w:before="126"/>
        <w:ind w:left="0" w:right="330" w:firstLine="0"/>
        <w:jc w:val="center"/>
        <w:rPr>
          <w:sz w:val="52"/>
        </w:rPr>
      </w:pPr>
      <w:r>
        <w:rPr>
          <w:w w:val="50"/>
          <w:sz w:val="52"/>
        </w:rPr>
        <w:t> </w:t>
      </w:r>
    </w:p>
    <w:p>
      <w:pPr>
        <w:spacing w:line="653" w:lineRule="exact" w:before="0"/>
        <w:ind w:left="0" w:right="330" w:firstLine="0"/>
        <w:jc w:val="center"/>
        <w:rPr>
          <w:sz w:val="52"/>
        </w:rPr>
      </w:pPr>
      <w:r>
        <w:rPr>
          <w:w w:val="50"/>
          <w:sz w:val="52"/>
        </w:rPr>
        <w:t> </w:t>
      </w:r>
    </w:p>
    <w:p>
      <w:pPr>
        <w:spacing w:line="652" w:lineRule="exact" w:before="0"/>
        <w:ind w:left="0" w:right="330" w:firstLine="0"/>
        <w:jc w:val="center"/>
        <w:rPr>
          <w:sz w:val="52"/>
        </w:rPr>
      </w:pPr>
      <w:r>
        <w:rPr>
          <w:w w:val="50"/>
          <w:sz w:val="52"/>
        </w:rPr>
        <w:t> </w:t>
      </w:r>
    </w:p>
    <w:p>
      <w:pPr>
        <w:spacing w:line="652" w:lineRule="exact" w:before="0"/>
        <w:ind w:left="0" w:right="330" w:firstLine="0"/>
        <w:jc w:val="center"/>
        <w:rPr>
          <w:sz w:val="52"/>
        </w:rPr>
      </w:pPr>
      <w:r>
        <w:rPr>
          <w:w w:val="50"/>
          <w:sz w:val="52"/>
        </w:rPr>
        <w:t> </w:t>
      </w:r>
    </w:p>
    <w:p>
      <w:pPr>
        <w:spacing w:line="653" w:lineRule="exact" w:before="0"/>
        <w:ind w:left="0" w:right="330" w:firstLine="0"/>
        <w:jc w:val="center"/>
        <w:rPr>
          <w:sz w:val="52"/>
        </w:rPr>
      </w:pPr>
      <w:r>
        <w:rPr>
          <w:w w:val="50"/>
          <w:sz w:val="52"/>
        </w:rPr>
        <w:t> </w:t>
      </w:r>
    </w:p>
    <w:p>
      <w:pPr>
        <w:spacing w:line="660" w:lineRule="exact" w:before="0"/>
        <w:ind w:left="0" w:right="330" w:firstLine="0"/>
        <w:jc w:val="center"/>
        <w:rPr>
          <w:sz w:val="52"/>
        </w:rPr>
      </w:pPr>
      <w:r>
        <w:rPr>
          <w:w w:val="50"/>
          <w:sz w:val="52"/>
        </w:rPr>
        <w:t> </w:t>
      </w:r>
    </w:p>
    <w:p>
      <w:pPr>
        <w:spacing w:before="191"/>
        <w:ind w:left="495" w:right="845" w:firstLine="0"/>
        <w:jc w:val="center"/>
        <w:rPr>
          <w:sz w:val="44"/>
        </w:rPr>
      </w:pPr>
      <w:r>
        <w:rPr>
          <w:sz w:val="44"/>
        </w:rPr>
        <w:t>三台县中医院</w:t>
      </w:r>
      <w:r>
        <w:rPr>
          <w:w w:val="49"/>
          <w:sz w:val="44"/>
        </w:rPr>
        <w:t> </w:t>
      </w:r>
    </w:p>
    <w:p>
      <w:pPr>
        <w:spacing w:before="238"/>
        <w:ind w:left="497" w:right="845" w:firstLine="0"/>
        <w:jc w:val="center"/>
        <w:rPr>
          <w:sz w:val="44"/>
        </w:rPr>
      </w:pPr>
      <w:r>
        <w:rPr>
          <w:sz w:val="44"/>
        </w:rPr>
        <w:t>2022</w:t>
      </w:r>
      <w:r>
        <w:rPr>
          <w:spacing w:val="-74"/>
          <w:sz w:val="44"/>
        </w:rPr>
        <w:t> 年 </w:t>
      </w:r>
      <w:r>
        <w:rPr>
          <w:sz w:val="44"/>
        </w:rPr>
        <w:t>3</w:t>
      </w:r>
      <w:r>
        <w:rPr>
          <w:spacing w:val="-55"/>
          <w:sz w:val="44"/>
        </w:rPr>
        <w:t> 月</w:t>
      </w:r>
      <w:r>
        <w:rPr>
          <w:spacing w:val="-55"/>
          <w:w w:val="49"/>
          <w:sz w:val="44"/>
        </w:rPr>
        <w:t> </w:t>
      </w:r>
    </w:p>
    <w:p>
      <w:pPr>
        <w:spacing w:before="315"/>
        <w:ind w:left="386" w:right="845" w:firstLine="0"/>
        <w:jc w:val="center"/>
        <w:rPr>
          <w:sz w:val="36"/>
        </w:rPr>
      </w:pPr>
      <w:r>
        <w:rPr>
          <w:sz w:val="36"/>
        </w:rPr>
        <w:t>生态环境部监制</w:t>
      </w:r>
    </w:p>
    <w:p>
      <w:pPr>
        <w:spacing w:after="0"/>
        <w:jc w:val="center"/>
        <w:rPr>
          <w:sz w:val="36"/>
        </w:rPr>
        <w:sectPr>
          <w:type w:val="continuous"/>
          <w:pgSz w:w="11910" w:h="16840"/>
          <w:pgMar w:top="1580" w:bottom="280" w:left="1520" w:right="1060"/>
        </w:sectPr>
      </w:pPr>
    </w:p>
    <w:p>
      <w:pPr>
        <w:spacing w:before="26"/>
        <w:ind w:left="0" w:right="350" w:firstLine="0"/>
        <w:jc w:val="center"/>
        <w:rPr>
          <w:sz w:val="44"/>
        </w:rPr>
      </w:pPr>
      <w:r>
        <w:rPr>
          <w:w w:val="49"/>
          <w:sz w:val="44"/>
        </w:rPr>
        <w:t> </w:t>
      </w:r>
    </w:p>
    <w:p>
      <w:pPr>
        <w:spacing w:before="89"/>
        <w:ind w:left="0" w:right="350" w:firstLine="0"/>
        <w:jc w:val="center"/>
        <w:rPr>
          <w:sz w:val="44"/>
        </w:rPr>
      </w:pPr>
      <w:r>
        <w:rPr>
          <w:w w:val="49"/>
          <w:sz w:val="44"/>
        </w:rPr>
        <w:t> </w:t>
      </w:r>
    </w:p>
    <w:p>
      <w:pPr>
        <w:spacing w:before="87"/>
        <w:ind w:left="0" w:right="350" w:firstLine="0"/>
        <w:jc w:val="center"/>
        <w:rPr>
          <w:sz w:val="44"/>
        </w:rPr>
      </w:pPr>
      <w:r>
        <w:rPr>
          <w:w w:val="49"/>
          <w:sz w:val="44"/>
        </w:rPr>
        <w:t> </w:t>
      </w:r>
    </w:p>
    <w:p>
      <w:pPr>
        <w:spacing w:before="89"/>
        <w:ind w:left="0" w:right="350" w:firstLine="0"/>
        <w:jc w:val="center"/>
        <w:rPr>
          <w:sz w:val="44"/>
        </w:rPr>
      </w:pPr>
      <w:r>
        <w:rPr>
          <w:w w:val="49"/>
          <w:sz w:val="44"/>
        </w:rPr>
        <w:t> </w:t>
      </w:r>
    </w:p>
    <w:p>
      <w:pPr>
        <w:spacing w:before="89"/>
        <w:ind w:left="495" w:right="845" w:firstLine="0"/>
        <w:jc w:val="center"/>
        <w:rPr>
          <w:sz w:val="44"/>
        </w:rPr>
      </w:pPr>
      <w:r>
        <w:rPr>
          <w:sz w:val="44"/>
        </w:rPr>
        <w:t>核技术利用建设项目</w:t>
      </w:r>
      <w:r>
        <w:rPr>
          <w:w w:val="49"/>
          <w:sz w:val="44"/>
        </w:rPr>
        <w:t> </w:t>
      </w:r>
    </w:p>
    <w:p>
      <w:pPr>
        <w:pStyle w:val="BodyText"/>
        <w:spacing w:before="3"/>
        <w:rPr>
          <w:sz w:val="66"/>
        </w:rPr>
      </w:pPr>
    </w:p>
    <w:p>
      <w:pPr>
        <w:spacing w:before="0"/>
        <w:ind w:left="517" w:right="710" w:firstLine="0"/>
        <w:jc w:val="center"/>
        <w:rPr>
          <w:sz w:val="52"/>
        </w:rPr>
      </w:pPr>
      <w:r>
        <w:rPr>
          <w:sz w:val="52"/>
        </w:rPr>
        <w:t>三台县中医院</w:t>
      </w:r>
      <w:r>
        <w:rPr>
          <w:w w:val="50"/>
          <w:sz w:val="52"/>
        </w:rPr>
        <w:t> </w:t>
      </w:r>
    </w:p>
    <w:p>
      <w:pPr>
        <w:spacing w:line="352" w:lineRule="auto" w:before="311"/>
        <w:ind w:left="517" w:right="845" w:firstLine="0"/>
        <w:jc w:val="center"/>
        <w:rPr>
          <w:sz w:val="52"/>
        </w:rPr>
      </w:pPr>
      <w:r>
        <w:rPr>
          <w:sz w:val="52"/>
        </w:rPr>
        <w:t>新增数字减影血管造影机使用项目环境影响报告表</w:t>
      </w:r>
      <w:r>
        <w:rPr>
          <w:w w:val="50"/>
          <w:sz w:val="52"/>
        </w:rPr>
        <w:t> </w:t>
      </w:r>
    </w:p>
    <w:p>
      <w:pPr>
        <w:spacing w:line="496" w:lineRule="exact" w:before="0"/>
        <w:ind w:left="0" w:right="330" w:firstLine="0"/>
        <w:jc w:val="center"/>
        <w:rPr>
          <w:sz w:val="52"/>
        </w:rPr>
      </w:pPr>
      <w:r>
        <w:rPr>
          <w:w w:val="50"/>
          <w:sz w:val="52"/>
        </w:rPr>
        <w:t> </w:t>
      </w:r>
    </w:p>
    <w:p>
      <w:pPr>
        <w:spacing w:line="653" w:lineRule="exact" w:before="0"/>
        <w:ind w:left="0" w:right="330" w:firstLine="0"/>
        <w:jc w:val="center"/>
        <w:rPr>
          <w:sz w:val="52"/>
        </w:rPr>
      </w:pPr>
      <w:r>
        <w:rPr>
          <w:w w:val="50"/>
          <w:sz w:val="52"/>
        </w:rPr>
        <w:t> </w:t>
      </w:r>
    </w:p>
    <w:p>
      <w:pPr>
        <w:spacing w:line="652" w:lineRule="exact" w:before="0"/>
        <w:ind w:left="0" w:right="330" w:firstLine="0"/>
        <w:jc w:val="center"/>
        <w:rPr>
          <w:sz w:val="52"/>
        </w:rPr>
      </w:pPr>
      <w:r>
        <w:rPr>
          <w:w w:val="50"/>
          <w:sz w:val="52"/>
        </w:rPr>
        <w:t> </w:t>
      </w:r>
    </w:p>
    <w:p>
      <w:pPr>
        <w:spacing w:line="658" w:lineRule="exact" w:before="0"/>
        <w:ind w:left="0" w:right="330" w:firstLine="0"/>
        <w:jc w:val="center"/>
        <w:rPr>
          <w:sz w:val="52"/>
        </w:rPr>
      </w:pPr>
      <w:r>
        <w:rPr>
          <w:w w:val="50"/>
          <w:sz w:val="52"/>
        </w:rPr>
        <w:t> </w:t>
      </w:r>
    </w:p>
    <w:p>
      <w:pPr>
        <w:pStyle w:val="BodyText"/>
        <w:spacing w:before="7"/>
        <w:rPr>
          <w:sz w:val="21"/>
        </w:rPr>
      </w:pPr>
    </w:p>
    <w:p>
      <w:pPr>
        <w:spacing w:before="58"/>
        <w:ind w:left="280" w:right="0" w:firstLine="0"/>
        <w:jc w:val="left"/>
        <w:rPr>
          <w:sz w:val="30"/>
        </w:rPr>
      </w:pPr>
      <w:r>
        <w:rPr>
          <w:sz w:val="30"/>
        </w:rPr>
        <w:t>建设单位名称：三台县中医院</w:t>
      </w:r>
      <w:r>
        <w:rPr>
          <w:w w:val="50"/>
          <w:sz w:val="30"/>
        </w:rPr>
        <w:t> </w:t>
      </w:r>
    </w:p>
    <w:p>
      <w:pPr>
        <w:pStyle w:val="BodyText"/>
        <w:spacing w:before="4"/>
        <w:rPr>
          <w:sz w:val="32"/>
        </w:rPr>
      </w:pPr>
    </w:p>
    <w:p>
      <w:pPr>
        <w:spacing w:before="0"/>
        <w:ind w:left="280" w:right="0" w:firstLine="0"/>
        <w:jc w:val="left"/>
        <w:rPr>
          <w:sz w:val="30"/>
        </w:rPr>
      </w:pPr>
      <w:r>
        <w:rPr>
          <w:sz w:val="30"/>
        </w:rPr>
        <w:t>建设单位法人代表</w:t>
      </w:r>
      <w:r>
        <w:rPr>
          <w:spacing w:val="3"/>
          <w:sz w:val="30"/>
        </w:rPr>
        <w:t>（</w:t>
      </w:r>
      <w:r>
        <w:rPr>
          <w:sz w:val="30"/>
        </w:rPr>
        <w:t>签名或盖章</w:t>
      </w:r>
      <w:r>
        <w:rPr>
          <w:spacing w:val="-150"/>
          <w:sz w:val="30"/>
        </w:rPr>
        <w:t>）</w:t>
      </w:r>
      <w:r>
        <w:rPr>
          <w:spacing w:val="-1"/>
          <w:sz w:val="30"/>
        </w:rPr>
        <w:t>：</w:t>
      </w:r>
      <w:r>
        <w:rPr>
          <w:w w:val="50"/>
          <w:sz w:val="30"/>
        </w:rPr>
        <w:t> </w:t>
      </w:r>
    </w:p>
    <w:p>
      <w:pPr>
        <w:pStyle w:val="BodyText"/>
        <w:spacing w:before="7"/>
        <w:rPr>
          <w:sz w:val="32"/>
        </w:rPr>
      </w:pPr>
    </w:p>
    <w:p>
      <w:pPr>
        <w:spacing w:line="499" w:lineRule="auto" w:before="1"/>
        <w:ind w:left="280" w:right="2432" w:firstLine="0"/>
        <w:jc w:val="left"/>
        <w:rPr>
          <w:sz w:val="30"/>
        </w:rPr>
      </w:pPr>
      <w:r>
        <w:rPr>
          <w:sz w:val="30"/>
        </w:rPr>
        <w:t>通讯地址：四川省绵阳市三台县潼川镇学街 31 号邮 政 编 码 ：***         联 系 人 ：*** 电 子 邮 箱 ：*** 联 系 电 话 ：***</w:t>
      </w:r>
    </w:p>
    <w:p>
      <w:pPr>
        <w:spacing w:after="0" w:line="499" w:lineRule="auto"/>
        <w:jc w:val="left"/>
        <w:rPr>
          <w:sz w:val="30"/>
        </w:rPr>
        <w:sectPr>
          <w:pgSz w:w="11910" w:h="16840"/>
          <w:pgMar w:top="1440" w:bottom="280" w:left="1520" w:right="1060"/>
        </w:sectPr>
      </w:pPr>
    </w:p>
    <w:p>
      <w:pPr>
        <w:spacing w:before="126"/>
        <w:ind w:left="1700" w:right="0" w:firstLine="0"/>
        <w:jc w:val="left"/>
        <w:rPr>
          <w:sz w:val="28"/>
        </w:rPr>
      </w:pPr>
      <w:r>
        <w:rPr>
          <w:sz w:val="32"/>
        </w:rPr>
        <w:t>《建设项目环境影响报告表》编制说明</w:t>
      </w:r>
      <w:r>
        <w:rPr>
          <w:w w:val="50"/>
          <w:sz w:val="28"/>
        </w:rPr>
        <w:t> </w:t>
      </w:r>
    </w:p>
    <w:p>
      <w:pPr>
        <w:pStyle w:val="Heading1"/>
        <w:spacing w:line="434" w:lineRule="auto" w:before="268"/>
        <w:ind w:left="280" w:right="737" w:firstLine="559"/>
      </w:pPr>
      <w:r>
        <w:rPr>
          <w:spacing w:val="-12"/>
        </w:rPr>
        <w:t>《建设项目环境影响报告表》由具有从事环境影响评价资质的单</w:t>
      </w:r>
      <w:r>
        <w:rPr/>
        <w:t>位编制。</w:t>
      </w:r>
    </w:p>
    <w:p>
      <w:pPr>
        <w:pStyle w:val="ListParagraph"/>
        <w:numPr>
          <w:ilvl w:val="0"/>
          <w:numId w:val="1"/>
        </w:numPr>
        <w:tabs>
          <w:tab w:pos="1051" w:val="left" w:leader="none"/>
        </w:tabs>
        <w:spacing w:line="436" w:lineRule="auto" w:before="5" w:after="0"/>
        <w:ind w:left="280" w:right="735" w:firstLine="559"/>
        <w:jc w:val="left"/>
        <w:rPr>
          <w:sz w:val="28"/>
        </w:rPr>
      </w:pPr>
      <w:r>
        <w:rPr>
          <w:spacing w:val="-1"/>
          <w:sz w:val="28"/>
        </w:rPr>
        <w:t>项目名称</w:t>
      </w:r>
      <w:r>
        <w:rPr>
          <w:rFonts w:ascii="Times New Roman" w:hAnsi="Times New Roman" w:eastAsia="Times New Roman"/>
          <w:sz w:val="28"/>
        </w:rPr>
        <w:t>——</w:t>
      </w:r>
      <w:r>
        <w:rPr>
          <w:spacing w:val="-14"/>
          <w:sz w:val="28"/>
        </w:rPr>
        <w:t>指项目立项批复时的名称，应不超过 </w:t>
      </w:r>
      <w:r>
        <w:rPr>
          <w:rFonts w:ascii="Times New Roman" w:hAnsi="Times New Roman" w:eastAsia="Times New Roman"/>
          <w:sz w:val="28"/>
        </w:rPr>
        <w:t>30</w:t>
      </w:r>
      <w:r>
        <w:rPr>
          <w:rFonts w:ascii="Times New Roman" w:hAnsi="Times New Roman" w:eastAsia="Times New Roman"/>
          <w:spacing w:val="7"/>
          <w:sz w:val="28"/>
        </w:rPr>
        <w:t> </w:t>
      </w:r>
      <w:r>
        <w:rPr>
          <w:spacing w:val="-43"/>
          <w:sz w:val="28"/>
        </w:rPr>
        <w:t>个字</w:t>
      </w:r>
      <w:r>
        <w:rPr>
          <w:sz w:val="28"/>
        </w:rPr>
        <w:t>（</w:t>
      </w:r>
      <w:r>
        <w:rPr>
          <w:spacing w:val="-13"/>
          <w:sz w:val="28"/>
        </w:rPr>
        <w:t>两</w:t>
      </w:r>
      <w:r>
        <w:rPr>
          <w:spacing w:val="-3"/>
          <w:w w:val="100"/>
          <w:sz w:val="28"/>
        </w:rPr>
        <w:t>个英文字段作一个汉字</w:t>
      </w:r>
      <w:r>
        <w:rPr>
          <w:spacing w:val="-141"/>
          <w:w w:val="100"/>
          <w:sz w:val="28"/>
        </w:rPr>
        <w:t>）</w:t>
      </w:r>
      <w:r>
        <w:rPr>
          <w:w w:val="100"/>
          <w:sz w:val="28"/>
        </w:rPr>
        <w:t>；</w:t>
      </w:r>
    </w:p>
    <w:p>
      <w:pPr>
        <w:pStyle w:val="ListParagraph"/>
        <w:numPr>
          <w:ilvl w:val="0"/>
          <w:numId w:val="1"/>
        </w:numPr>
        <w:tabs>
          <w:tab w:pos="1051" w:val="left" w:leader="none"/>
        </w:tabs>
        <w:spacing w:line="436" w:lineRule="auto" w:before="0" w:after="0"/>
        <w:ind w:left="280" w:right="736" w:firstLine="559"/>
        <w:jc w:val="left"/>
        <w:rPr>
          <w:sz w:val="28"/>
        </w:rPr>
      </w:pPr>
      <w:r>
        <w:rPr>
          <w:spacing w:val="-1"/>
          <w:sz w:val="28"/>
        </w:rPr>
        <w:t>建设地点</w:t>
      </w:r>
      <w:r>
        <w:rPr>
          <w:rFonts w:ascii="Times New Roman" w:hAnsi="Times New Roman" w:eastAsia="Times New Roman"/>
          <w:sz w:val="28"/>
        </w:rPr>
        <w:t>——</w:t>
      </w:r>
      <w:r>
        <w:rPr>
          <w:spacing w:val="-7"/>
          <w:sz w:val="28"/>
        </w:rPr>
        <w:t>指项目所在地详细地址，公路、铁路应填写起止</w:t>
      </w:r>
      <w:r>
        <w:rPr>
          <w:sz w:val="28"/>
        </w:rPr>
        <w:t>地点；</w:t>
      </w:r>
    </w:p>
    <w:p>
      <w:pPr>
        <w:pStyle w:val="ListParagraph"/>
        <w:numPr>
          <w:ilvl w:val="0"/>
          <w:numId w:val="1"/>
        </w:numPr>
        <w:tabs>
          <w:tab w:pos="1051" w:val="left" w:leader="none"/>
        </w:tabs>
        <w:spacing w:line="358" w:lineRule="exact" w:before="0" w:after="0"/>
        <w:ind w:left="1050" w:right="0" w:hanging="211"/>
        <w:jc w:val="left"/>
        <w:rPr>
          <w:sz w:val="28"/>
        </w:rPr>
      </w:pPr>
      <w:r>
        <w:rPr>
          <w:spacing w:val="-1"/>
          <w:sz w:val="28"/>
        </w:rPr>
        <w:t>行业类别</w:t>
      </w:r>
      <w:r>
        <w:rPr>
          <w:rFonts w:ascii="Times New Roman" w:hAnsi="Times New Roman" w:eastAsia="Times New Roman"/>
          <w:sz w:val="28"/>
        </w:rPr>
        <w:t>——</w:t>
      </w:r>
      <w:r>
        <w:rPr>
          <w:spacing w:val="-2"/>
          <w:sz w:val="28"/>
        </w:rPr>
        <w:t>按国标填写；</w:t>
      </w:r>
    </w:p>
    <w:p>
      <w:pPr>
        <w:pStyle w:val="ListParagraph"/>
        <w:numPr>
          <w:ilvl w:val="0"/>
          <w:numId w:val="1"/>
        </w:numPr>
        <w:tabs>
          <w:tab w:pos="1051" w:val="left" w:leader="none"/>
        </w:tabs>
        <w:spacing w:line="240" w:lineRule="auto" w:before="289" w:after="0"/>
        <w:ind w:left="1050" w:right="0" w:hanging="211"/>
        <w:jc w:val="left"/>
        <w:rPr>
          <w:sz w:val="28"/>
        </w:rPr>
      </w:pPr>
      <w:r>
        <w:rPr>
          <w:spacing w:val="-1"/>
          <w:sz w:val="28"/>
        </w:rPr>
        <w:t>总投资</w:t>
      </w:r>
      <w:r>
        <w:rPr>
          <w:rFonts w:ascii="Times New Roman" w:hAnsi="Times New Roman" w:eastAsia="Times New Roman"/>
          <w:sz w:val="28"/>
        </w:rPr>
        <w:t>——</w:t>
      </w:r>
      <w:r>
        <w:rPr>
          <w:spacing w:val="-3"/>
          <w:sz w:val="28"/>
        </w:rPr>
        <w:t>指项目投资总额；</w:t>
      </w:r>
    </w:p>
    <w:p>
      <w:pPr>
        <w:pStyle w:val="ListParagraph"/>
        <w:numPr>
          <w:ilvl w:val="0"/>
          <w:numId w:val="1"/>
        </w:numPr>
        <w:tabs>
          <w:tab w:pos="1060" w:val="left" w:leader="none"/>
        </w:tabs>
        <w:spacing w:line="436" w:lineRule="auto" w:before="294" w:after="0"/>
        <w:ind w:left="280" w:right="594" w:firstLine="559"/>
        <w:jc w:val="left"/>
        <w:rPr>
          <w:sz w:val="28"/>
        </w:rPr>
      </w:pPr>
      <w:r>
        <w:rPr>
          <w:spacing w:val="8"/>
          <w:sz w:val="28"/>
        </w:rPr>
        <w:t>主要环境保护目标</w:t>
      </w:r>
      <w:r>
        <w:rPr>
          <w:rFonts w:ascii="Times New Roman" w:hAnsi="Times New Roman" w:eastAsia="Times New Roman"/>
          <w:spacing w:val="4"/>
          <w:sz w:val="28"/>
        </w:rPr>
        <w:t>——</w:t>
      </w:r>
      <w:r>
        <w:rPr>
          <w:spacing w:val="6"/>
          <w:sz w:val="28"/>
        </w:rPr>
        <w:t>指项目周围一定范围内集中居民住宅区、学校、医院、保护文物、风景名胜区、水源地和生态敏感点等， </w:t>
      </w:r>
      <w:r>
        <w:rPr>
          <w:spacing w:val="-3"/>
          <w:sz w:val="28"/>
        </w:rPr>
        <w:t>应尽可能给出保护目标、性质、规模和距厂界距离等；</w:t>
      </w:r>
    </w:p>
    <w:p>
      <w:pPr>
        <w:pStyle w:val="ListParagraph"/>
        <w:numPr>
          <w:ilvl w:val="0"/>
          <w:numId w:val="1"/>
        </w:numPr>
        <w:tabs>
          <w:tab w:pos="1051" w:val="left" w:leader="none"/>
        </w:tabs>
        <w:spacing w:line="436" w:lineRule="auto" w:before="0" w:after="0"/>
        <w:ind w:left="280" w:right="735" w:firstLine="559"/>
        <w:jc w:val="both"/>
        <w:rPr>
          <w:sz w:val="28"/>
        </w:rPr>
      </w:pPr>
      <w:r>
        <w:rPr>
          <w:spacing w:val="-1"/>
          <w:sz w:val="28"/>
        </w:rPr>
        <w:t>结论与建议</w:t>
      </w:r>
      <w:r>
        <w:rPr>
          <w:rFonts w:ascii="Times New Roman" w:hAnsi="Times New Roman" w:eastAsia="Times New Roman"/>
          <w:sz w:val="28"/>
        </w:rPr>
        <w:t>——</w:t>
      </w:r>
      <w:r>
        <w:rPr>
          <w:spacing w:val="-7"/>
          <w:sz w:val="28"/>
        </w:rPr>
        <w:t>给出本项目清洁生产、达标排放和总量控制的</w:t>
      </w:r>
      <w:r>
        <w:rPr>
          <w:spacing w:val="-12"/>
          <w:sz w:val="28"/>
        </w:rPr>
        <w:t>分析结构，确定污染防治措施的有效性，说明本项目对环境造成的影响，给出建设项目环境可行性的明确结论。同时提出减少环境影响的</w:t>
      </w:r>
      <w:r>
        <w:rPr>
          <w:spacing w:val="-1"/>
          <w:sz w:val="28"/>
        </w:rPr>
        <w:t>其他建议；</w:t>
      </w:r>
    </w:p>
    <w:p>
      <w:pPr>
        <w:pStyle w:val="ListParagraph"/>
        <w:numPr>
          <w:ilvl w:val="0"/>
          <w:numId w:val="1"/>
        </w:numPr>
        <w:tabs>
          <w:tab w:pos="1051" w:val="left" w:leader="none"/>
        </w:tabs>
        <w:spacing w:line="434" w:lineRule="auto" w:before="0" w:after="0"/>
        <w:ind w:left="280" w:right="458" w:firstLine="559"/>
        <w:jc w:val="left"/>
        <w:rPr>
          <w:sz w:val="28"/>
        </w:rPr>
      </w:pPr>
      <w:r>
        <w:rPr>
          <w:spacing w:val="-1"/>
          <w:sz w:val="28"/>
        </w:rPr>
        <w:t>预审意见</w:t>
      </w:r>
      <w:r>
        <w:rPr>
          <w:rFonts w:ascii="Times New Roman" w:hAnsi="Times New Roman" w:eastAsia="Times New Roman"/>
          <w:sz w:val="28"/>
        </w:rPr>
        <w:t>——</w:t>
      </w:r>
      <w:r>
        <w:rPr>
          <w:spacing w:val="-6"/>
          <w:sz w:val="28"/>
        </w:rPr>
        <w:t>由行业主管部门填写答复意见，无主管部门项目， </w:t>
      </w:r>
      <w:r>
        <w:rPr>
          <w:sz w:val="28"/>
        </w:rPr>
        <w:t>可不填；</w:t>
      </w:r>
    </w:p>
    <w:p>
      <w:pPr>
        <w:pStyle w:val="ListParagraph"/>
        <w:numPr>
          <w:ilvl w:val="0"/>
          <w:numId w:val="1"/>
        </w:numPr>
        <w:tabs>
          <w:tab w:pos="1060" w:val="left" w:leader="none"/>
        </w:tabs>
        <w:spacing w:line="436" w:lineRule="auto" w:before="0" w:after="0"/>
        <w:ind w:left="280" w:right="735" w:firstLine="559"/>
        <w:jc w:val="left"/>
        <w:rPr>
          <w:sz w:val="28"/>
        </w:rPr>
      </w:pPr>
      <w:r>
        <w:rPr>
          <w:spacing w:val="8"/>
          <w:sz w:val="28"/>
        </w:rPr>
        <w:t>审批意见</w:t>
      </w:r>
      <w:r>
        <w:rPr>
          <w:rFonts w:ascii="Times New Roman" w:hAnsi="Times New Roman" w:eastAsia="Times New Roman"/>
          <w:spacing w:val="4"/>
          <w:sz w:val="28"/>
        </w:rPr>
        <w:t>——</w:t>
      </w:r>
      <w:r>
        <w:rPr>
          <w:spacing w:val="7"/>
          <w:sz w:val="28"/>
        </w:rPr>
        <w:t>由负责审批该项目的生态环境行政主管部门批复。</w:t>
      </w:r>
    </w:p>
    <w:p>
      <w:pPr>
        <w:spacing w:after="0" w:line="436" w:lineRule="auto"/>
        <w:jc w:val="left"/>
        <w:rPr>
          <w:sz w:val="28"/>
        </w:rPr>
        <w:sectPr>
          <w:pgSz w:w="11910" w:h="16840"/>
          <w:pgMar w:top="1580" w:bottom="280" w:left="1520" w:right="1060"/>
        </w:sectPr>
      </w:pPr>
    </w:p>
    <w:p>
      <w:pPr>
        <w:spacing w:before="17"/>
        <w:ind w:left="385" w:right="845" w:firstLine="0"/>
        <w:jc w:val="center"/>
        <w:rPr>
          <w:sz w:val="36"/>
        </w:rPr>
      </w:pPr>
      <w:r>
        <w:rPr>
          <w:sz w:val="36"/>
        </w:rPr>
        <w:t>目 录</w:t>
      </w:r>
    </w:p>
    <w:p>
      <w:pPr>
        <w:pStyle w:val="BodyText"/>
        <w:tabs>
          <w:tab w:pos="8080" w:val="left" w:leader="dot"/>
        </w:tabs>
        <w:spacing w:before="144"/>
        <w:ind w:left="280"/>
        <w:rPr>
          <w:rFonts w:ascii="Times New Roman" w:eastAsia="Times New Roman"/>
        </w:rPr>
      </w:pPr>
      <w:r>
        <w:rPr/>
        <w:t>表</w:t>
      </w:r>
      <w:r>
        <w:rPr>
          <w:spacing w:val="-60"/>
        </w:rPr>
        <w:t> </w:t>
      </w:r>
      <w:r>
        <w:rPr>
          <w:rFonts w:ascii="Times New Roman" w:eastAsia="Times New Roman"/>
        </w:rPr>
        <w:t>1 </w:t>
      </w:r>
      <w:r>
        <w:rPr/>
        <w:t>项目基本情况</w:t>
        <w:tab/>
      </w:r>
      <w:r>
        <w:rPr>
          <w:rFonts w:ascii="Times New Roman" w:eastAsia="Times New Roman"/>
        </w:rPr>
        <w:t>. - 1</w:t>
      </w:r>
      <w:r>
        <w:rPr>
          <w:rFonts w:ascii="Times New Roman" w:eastAsia="Times New Roman"/>
          <w:spacing w:val="-24"/>
        </w:rPr>
        <w:t> </w:t>
      </w:r>
      <w:r>
        <w:rPr>
          <w:rFonts w:ascii="Times New Roman" w:eastAsia="Times New Roman"/>
        </w:rPr>
        <w:t>-</w:t>
      </w:r>
    </w:p>
    <w:p>
      <w:pPr>
        <w:pStyle w:val="BodyText"/>
        <w:spacing w:before="52"/>
        <w:ind w:left="280"/>
        <w:jc w:val="both"/>
        <w:rPr>
          <w:rFonts w:ascii="Times New Roman" w:eastAsia="Times New Roman"/>
        </w:rPr>
      </w:pPr>
      <w:r>
        <w:rPr>
          <w:spacing w:val="-31"/>
        </w:rPr>
        <w:t>表 </w:t>
      </w:r>
      <w:r>
        <w:rPr>
          <w:rFonts w:ascii="Times New Roman" w:eastAsia="Times New Roman"/>
        </w:rPr>
        <w:t>2 </w:t>
      </w:r>
      <w:r>
        <w:rPr/>
        <w:t>放射源</w:t>
      </w:r>
      <w:r>
        <w:rPr>
          <w:rFonts w:ascii="Times New Roman" w:eastAsia="Times New Roman"/>
          <w:spacing w:val="-1"/>
        </w:rPr>
        <w:t>............................................................................................................... - </w:t>
      </w:r>
      <w:r>
        <w:rPr>
          <w:rFonts w:ascii="Times New Roman" w:eastAsia="Times New Roman"/>
        </w:rPr>
        <w:t>8 -</w:t>
      </w:r>
    </w:p>
    <w:p>
      <w:pPr>
        <w:pStyle w:val="BodyText"/>
        <w:spacing w:before="53"/>
        <w:ind w:left="280"/>
        <w:jc w:val="both"/>
        <w:rPr>
          <w:rFonts w:ascii="Times New Roman" w:eastAsia="Times New Roman"/>
        </w:rPr>
      </w:pPr>
      <w:r>
        <w:rPr>
          <w:spacing w:val="-31"/>
        </w:rPr>
        <w:t>表 </w:t>
      </w:r>
      <w:r>
        <w:rPr>
          <w:rFonts w:ascii="Times New Roman" w:eastAsia="Times New Roman"/>
        </w:rPr>
        <w:t>3 </w:t>
      </w:r>
      <w:r>
        <w:rPr/>
        <w:t>非密封放射性物质</w:t>
      </w:r>
      <w:r>
        <w:rPr>
          <w:rFonts w:ascii="Times New Roman" w:eastAsia="Times New Roman"/>
          <w:spacing w:val="-1"/>
        </w:rPr>
        <w:t>........................................................................................... - </w:t>
      </w:r>
      <w:r>
        <w:rPr>
          <w:rFonts w:ascii="Times New Roman" w:eastAsia="Times New Roman"/>
        </w:rPr>
        <w:t>8 -</w:t>
      </w:r>
    </w:p>
    <w:p>
      <w:pPr>
        <w:pStyle w:val="BodyText"/>
        <w:spacing w:line="280" w:lineRule="auto" w:before="52"/>
        <w:ind w:left="280" w:right="748"/>
        <w:jc w:val="both"/>
        <w:rPr>
          <w:rFonts w:ascii="Times New Roman" w:eastAsia="Times New Roman"/>
        </w:rPr>
      </w:pPr>
      <w:r>
        <w:rPr>
          <w:spacing w:val="-31"/>
        </w:rPr>
        <w:t>表 </w:t>
      </w:r>
      <w:r>
        <w:rPr>
          <w:rFonts w:ascii="Times New Roman" w:eastAsia="Times New Roman"/>
        </w:rPr>
        <w:t>4 </w:t>
      </w:r>
      <w:r>
        <w:rPr/>
        <w:t>射线装置</w:t>
      </w:r>
      <w:r>
        <w:rPr>
          <w:rFonts w:ascii="Times New Roman" w:eastAsia="Times New Roman"/>
          <w:spacing w:val="-1"/>
        </w:rPr>
        <w:t>........................................................................................................... - </w:t>
      </w:r>
      <w:r>
        <w:rPr>
          <w:rFonts w:ascii="Times New Roman" w:eastAsia="Times New Roman"/>
        </w:rPr>
        <w:t>9</w:t>
      </w:r>
      <w:r>
        <w:rPr>
          <w:rFonts w:ascii="Times New Roman" w:eastAsia="Times New Roman"/>
          <w:spacing w:val="-9"/>
        </w:rPr>
        <w:t> - </w:t>
      </w:r>
      <w:r>
        <w:rPr>
          <w:spacing w:val="-31"/>
        </w:rPr>
        <w:t>表 </w:t>
      </w:r>
      <w:r>
        <w:rPr>
          <w:rFonts w:ascii="Times New Roman" w:eastAsia="Times New Roman"/>
        </w:rPr>
        <w:t>5 </w:t>
      </w:r>
      <w:r>
        <w:rPr/>
        <w:t>废弃物（重点是放射性废弃物）</w:t>
      </w:r>
      <w:r>
        <w:rPr>
          <w:rFonts w:ascii="Times New Roman" w:eastAsia="Times New Roman"/>
          <w:spacing w:val="-1"/>
        </w:rPr>
        <w:t>................................................................. - </w:t>
      </w:r>
      <w:r>
        <w:rPr>
          <w:rFonts w:ascii="Times New Roman" w:eastAsia="Times New Roman"/>
        </w:rPr>
        <w:t>10</w:t>
      </w:r>
      <w:r>
        <w:rPr>
          <w:rFonts w:ascii="Times New Roman" w:eastAsia="Times New Roman"/>
          <w:spacing w:val="-9"/>
        </w:rPr>
        <w:t> - </w:t>
      </w:r>
      <w:r>
        <w:rPr>
          <w:spacing w:val="-31"/>
        </w:rPr>
        <w:t>表 </w:t>
      </w:r>
      <w:r>
        <w:rPr>
          <w:rFonts w:ascii="Times New Roman" w:eastAsia="Times New Roman"/>
        </w:rPr>
        <w:t>6 </w:t>
      </w:r>
      <w:r>
        <w:rPr/>
        <w:t>评价依据</w:t>
      </w:r>
      <w:r>
        <w:rPr>
          <w:rFonts w:ascii="Times New Roman" w:eastAsia="Times New Roman"/>
          <w:spacing w:val="-1"/>
        </w:rPr>
        <w:t>......................................................................................................... - </w:t>
      </w:r>
      <w:r>
        <w:rPr>
          <w:rFonts w:ascii="Times New Roman" w:eastAsia="Times New Roman"/>
        </w:rPr>
        <w:t>11</w:t>
      </w:r>
      <w:r>
        <w:rPr>
          <w:rFonts w:ascii="Times New Roman" w:eastAsia="Times New Roman"/>
          <w:spacing w:val="-9"/>
        </w:rPr>
        <w:t> -</w:t>
      </w:r>
    </w:p>
    <w:p>
      <w:pPr>
        <w:pStyle w:val="BodyText"/>
        <w:spacing w:before="1"/>
        <w:ind w:left="280"/>
        <w:jc w:val="both"/>
        <w:rPr>
          <w:rFonts w:ascii="Times New Roman" w:eastAsia="Times New Roman"/>
        </w:rPr>
      </w:pPr>
      <w:r>
        <w:rPr>
          <w:spacing w:val="-31"/>
        </w:rPr>
        <w:t>表 </w:t>
      </w:r>
      <w:r>
        <w:rPr>
          <w:rFonts w:ascii="Times New Roman" w:eastAsia="Times New Roman"/>
        </w:rPr>
        <w:t>7 </w:t>
      </w:r>
      <w:r>
        <w:rPr/>
        <w:t>保护目标与评价标准</w:t>
      </w:r>
      <w:r>
        <w:rPr>
          <w:rFonts w:ascii="Times New Roman" w:eastAsia="Times New Roman"/>
          <w:spacing w:val="-1"/>
        </w:rPr>
        <w:t>..................................................................................... - </w:t>
      </w:r>
      <w:r>
        <w:rPr>
          <w:rFonts w:ascii="Times New Roman" w:eastAsia="Times New Roman"/>
        </w:rPr>
        <w:t>13 -</w:t>
      </w:r>
    </w:p>
    <w:p>
      <w:pPr>
        <w:pStyle w:val="BodyText"/>
        <w:spacing w:before="53"/>
        <w:ind w:left="280"/>
        <w:jc w:val="both"/>
        <w:rPr>
          <w:rFonts w:ascii="Times New Roman" w:eastAsia="Times New Roman"/>
        </w:rPr>
      </w:pPr>
      <w:r>
        <w:rPr>
          <w:spacing w:val="-31"/>
        </w:rPr>
        <w:t>表 </w:t>
      </w:r>
      <w:r>
        <w:rPr>
          <w:rFonts w:ascii="Times New Roman" w:eastAsia="Times New Roman"/>
        </w:rPr>
        <w:t>8 </w:t>
      </w:r>
      <w:r>
        <w:rPr/>
        <w:t>环境质量和辐射现状</w:t>
      </w:r>
      <w:r>
        <w:rPr>
          <w:rFonts w:ascii="Times New Roman" w:eastAsia="Times New Roman"/>
          <w:spacing w:val="-1"/>
        </w:rPr>
        <w:t>..................................................................................... - </w:t>
      </w:r>
      <w:r>
        <w:rPr>
          <w:rFonts w:ascii="Times New Roman" w:eastAsia="Times New Roman"/>
        </w:rPr>
        <w:t>18 -</w:t>
      </w:r>
    </w:p>
    <w:p>
      <w:pPr>
        <w:pStyle w:val="BodyText"/>
        <w:spacing w:before="52"/>
        <w:ind w:left="280"/>
        <w:jc w:val="both"/>
        <w:rPr>
          <w:rFonts w:ascii="Times New Roman" w:eastAsia="Times New Roman"/>
        </w:rPr>
      </w:pPr>
      <w:r>
        <w:rPr>
          <w:spacing w:val="-31"/>
        </w:rPr>
        <w:t>表 </w:t>
      </w:r>
      <w:r>
        <w:rPr>
          <w:rFonts w:ascii="Times New Roman" w:eastAsia="Times New Roman"/>
        </w:rPr>
        <w:t>9 </w:t>
      </w:r>
      <w:r>
        <w:rPr/>
        <w:t>项目工程分析与源项</w:t>
      </w:r>
      <w:r>
        <w:rPr>
          <w:rFonts w:ascii="Times New Roman" w:eastAsia="Times New Roman"/>
          <w:spacing w:val="-1"/>
        </w:rPr>
        <w:t>..................................................................................... - </w:t>
      </w:r>
      <w:r>
        <w:rPr>
          <w:rFonts w:ascii="Times New Roman" w:eastAsia="Times New Roman"/>
        </w:rPr>
        <w:t>22 -</w:t>
      </w:r>
    </w:p>
    <w:p>
      <w:pPr>
        <w:pStyle w:val="BodyText"/>
        <w:spacing w:before="53"/>
        <w:ind w:left="280"/>
        <w:jc w:val="both"/>
        <w:rPr>
          <w:rFonts w:ascii="Times New Roman" w:eastAsia="Times New Roman"/>
        </w:rPr>
      </w:pPr>
      <w:r>
        <w:rPr>
          <w:spacing w:val="-31"/>
        </w:rPr>
        <w:t>表 </w:t>
      </w:r>
      <w:r>
        <w:rPr>
          <w:rFonts w:ascii="Times New Roman" w:eastAsia="Times New Roman"/>
        </w:rPr>
        <w:t>10 </w:t>
      </w:r>
      <w:r>
        <w:rPr/>
        <w:t>辐射安全与防护</w:t>
      </w:r>
      <w:r>
        <w:rPr>
          <w:rFonts w:ascii="Times New Roman" w:eastAsia="Times New Roman"/>
          <w:spacing w:val="-1"/>
        </w:rPr>
        <w:t>........................................................................................... - </w:t>
      </w:r>
      <w:r>
        <w:rPr>
          <w:rFonts w:ascii="Times New Roman" w:eastAsia="Times New Roman"/>
        </w:rPr>
        <w:t>27 -</w:t>
      </w:r>
    </w:p>
    <w:p>
      <w:pPr>
        <w:pStyle w:val="BodyText"/>
        <w:spacing w:before="52"/>
        <w:ind w:left="280"/>
        <w:jc w:val="both"/>
        <w:rPr>
          <w:rFonts w:ascii="Times New Roman" w:eastAsia="Times New Roman"/>
        </w:rPr>
      </w:pPr>
      <w:r>
        <w:rPr>
          <w:spacing w:val="-31"/>
        </w:rPr>
        <w:t>表 </w:t>
      </w:r>
      <w:r>
        <w:rPr>
          <w:rFonts w:ascii="Times New Roman" w:eastAsia="Times New Roman"/>
        </w:rPr>
        <w:t>11 </w:t>
      </w:r>
      <w:r>
        <w:rPr/>
        <w:t>环境影响分析</w:t>
      </w:r>
      <w:r>
        <w:rPr>
          <w:rFonts w:ascii="Times New Roman" w:eastAsia="Times New Roman"/>
          <w:spacing w:val="-1"/>
        </w:rPr>
        <w:t>............................................................................................... - </w:t>
      </w:r>
      <w:r>
        <w:rPr>
          <w:rFonts w:ascii="Times New Roman" w:eastAsia="Times New Roman"/>
        </w:rPr>
        <w:t>37 -</w:t>
      </w:r>
    </w:p>
    <w:p>
      <w:pPr>
        <w:pStyle w:val="BodyText"/>
        <w:spacing w:before="53"/>
        <w:ind w:left="280"/>
        <w:jc w:val="both"/>
        <w:rPr>
          <w:rFonts w:ascii="Times New Roman" w:eastAsia="Times New Roman"/>
        </w:rPr>
      </w:pPr>
      <w:r>
        <w:rPr>
          <w:spacing w:val="-31"/>
        </w:rPr>
        <w:t>表 </w:t>
      </w:r>
      <w:r>
        <w:rPr>
          <w:rFonts w:ascii="Times New Roman" w:eastAsia="Times New Roman"/>
        </w:rPr>
        <w:t>12 </w:t>
      </w:r>
      <w:r>
        <w:rPr/>
        <w:t>辐射安全管理</w:t>
      </w:r>
      <w:r>
        <w:rPr>
          <w:rFonts w:ascii="Times New Roman" w:eastAsia="Times New Roman"/>
          <w:spacing w:val="-1"/>
        </w:rPr>
        <w:t>............................................................................................... - </w:t>
      </w:r>
      <w:r>
        <w:rPr>
          <w:rFonts w:ascii="Times New Roman" w:eastAsia="Times New Roman"/>
        </w:rPr>
        <w:t>56 -</w:t>
      </w:r>
    </w:p>
    <w:p>
      <w:pPr>
        <w:pStyle w:val="BodyText"/>
        <w:spacing w:before="52"/>
        <w:ind w:left="280"/>
        <w:jc w:val="both"/>
        <w:rPr>
          <w:rFonts w:ascii="Times New Roman" w:eastAsia="Times New Roman"/>
        </w:rPr>
      </w:pPr>
      <w:r>
        <w:rPr>
          <w:spacing w:val="-31"/>
        </w:rPr>
        <w:t>表 </w:t>
      </w:r>
      <w:r>
        <w:rPr>
          <w:rFonts w:ascii="Times New Roman" w:eastAsia="Times New Roman"/>
        </w:rPr>
        <w:t>13 </w:t>
      </w:r>
      <w:r>
        <w:rPr/>
        <w:t>结论与建议</w:t>
      </w:r>
      <w:r>
        <w:rPr>
          <w:rFonts w:ascii="Times New Roman" w:eastAsia="Times New Roman"/>
          <w:spacing w:val="-1"/>
        </w:rPr>
        <w:t>................................................................................................... - </w:t>
      </w:r>
      <w:r>
        <w:rPr>
          <w:rFonts w:ascii="Times New Roman" w:eastAsia="Times New Roman"/>
        </w:rPr>
        <w:t>63 -</w:t>
      </w:r>
    </w:p>
    <w:p>
      <w:pPr>
        <w:pStyle w:val="BodyText"/>
        <w:spacing w:before="53"/>
        <w:ind w:left="280"/>
        <w:jc w:val="both"/>
        <w:rPr>
          <w:rFonts w:ascii="Times New Roman" w:eastAsia="Times New Roman"/>
        </w:rPr>
      </w:pPr>
      <w:r>
        <w:rPr>
          <w:spacing w:val="-31"/>
        </w:rPr>
        <w:t>表 </w:t>
      </w:r>
      <w:r>
        <w:rPr>
          <w:rFonts w:ascii="Times New Roman" w:eastAsia="Times New Roman"/>
        </w:rPr>
        <w:t>14 </w:t>
      </w:r>
      <w:r>
        <w:rPr/>
        <w:t>审批</w:t>
      </w:r>
      <w:r>
        <w:rPr>
          <w:rFonts w:ascii="Times New Roman" w:eastAsia="Times New Roman"/>
          <w:spacing w:val="-1"/>
        </w:rPr>
        <w:t>............................................................................................................... - </w:t>
      </w:r>
      <w:r>
        <w:rPr>
          <w:rFonts w:ascii="Times New Roman" w:eastAsia="Times New Roman"/>
        </w:rPr>
        <w:t>69 -</w:t>
      </w:r>
    </w:p>
    <w:p>
      <w:pPr>
        <w:spacing w:after="0"/>
        <w:jc w:val="both"/>
        <w:rPr>
          <w:rFonts w:ascii="Times New Roman" w:eastAsia="Times New Roman"/>
        </w:rPr>
        <w:sectPr>
          <w:pgSz w:w="11910" w:h="16840"/>
          <w:pgMar w:top="1500" w:bottom="280" w:left="1520" w:right="1060"/>
        </w:sectPr>
      </w:pPr>
    </w:p>
    <w:p>
      <w:pPr>
        <w:pStyle w:val="Heading1"/>
        <w:ind w:left="181"/>
      </w:pPr>
      <w:r>
        <w:rPr/>
        <w:t>表 1 项目基本情况</w:t>
      </w:r>
      <w:r>
        <w:rPr>
          <w:w w:val="50"/>
        </w:rPr>
        <w:t> </w:t>
      </w:r>
    </w:p>
    <w:p>
      <w:pPr>
        <w:pStyle w:val="BodyText"/>
        <w:spacing w:before="4"/>
        <w:rPr>
          <w:sz w:val="10"/>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0"/>
        <w:gridCol w:w="1052"/>
        <w:gridCol w:w="1062"/>
        <w:gridCol w:w="1458"/>
        <w:gridCol w:w="1643"/>
        <w:gridCol w:w="1240"/>
        <w:gridCol w:w="779"/>
        <w:gridCol w:w="997"/>
      </w:tblGrid>
      <w:tr>
        <w:trPr>
          <w:trHeight w:val="565" w:hRule="atLeast"/>
        </w:trPr>
        <w:tc>
          <w:tcPr>
            <w:tcW w:w="1902" w:type="dxa"/>
            <w:gridSpan w:val="2"/>
          </w:tcPr>
          <w:p>
            <w:pPr>
              <w:pStyle w:val="TableParagraph"/>
              <w:spacing w:before="129"/>
              <w:ind w:left="230"/>
              <w:jc w:val="left"/>
              <w:rPr>
                <w:sz w:val="24"/>
              </w:rPr>
            </w:pPr>
            <w:r>
              <w:rPr>
                <w:sz w:val="24"/>
              </w:rPr>
              <w:t>建设项目名称</w:t>
            </w:r>
          </w:p>
        </w:tc>
        <w:tc>
          <w:tcPr>
            <w:tcW w:w="7179" w:type="dxa"/>
            <w:gridSpan w:val="6"/>
          </w:tcPr>
          <w:p>
            <w:pPr>
              <w:pStyle w:val="TableParagraph"/>
              <w:spacing w:before="129"/>
              <w:ind w:left="1064"/>
              <w:jc w:val="left"/>
              <w:rPr>
                <w:sz w:val="24"/>
              </w:rPr>
            </w:pPr>
            <w:r>
              <w:rPr>
                <w:sz w:val="24"/>
              </w:rPr>
              <w:t>三台县中医院新增数字减影血管造影机使用项目</w:t>
            </w:r>
          </w:p>
        </w:tc>
      </w:tr>
      <w:tr>
        <w:trPr>
          <w:trHeight w:val="566" w:hRule="atLeast"/>
        </w:trPr>
        <w:tc>
          <w:tcPr>
            <w:tcW w:w="1902" w:type="dxa"/>
            <w:gridSpan w:val="2"/>
          </w:tcPr>
          <w:p>
            <w:pPr>
              <w:pStyle w:val="TableParagraph"/>
              <w:spacing w:before="129"/>
              <w:ind w:left="470"/>
              <w:jc w:val="left"/>
              <w:rPr>
                <w:sz w:val="24"/>
              </w:rPr>
            </w:pPr>
            <w:r>
              <w:rPr>
                <w:sz w:val="24"/>
              </w:rPr>
              <w:t>建设单位</w:t>
            </w:r>
          </w:p>
        </w:tc>
        <w:tc>
          <w:tcPr>
            <w:tcW w:w="7179" w:type="dxa"/>
            <w:gridSpan w:val="6"/>
          </w:tcPr>
          <w:p>
            <w:pPr>
              <w:pStyle w:val="TableParagraph"/>
              <w:spacing w:before="129"/>
              <w:ind w:left="2844" w:right="2844"/>
              <w:rPr>
                <w:sz w:val="24"/>
              </w:rPr>
            </w:pPr>
            <w:r>
              <w:rPr>
                <w:sz w:val="24"/>
              </w:rPr>
              <w:t>三台县中医院</w:t>
            </w:r>
          </w:p>
        </w:tc>
      </w:tr>
      <w:tr>
        <w:trPr>
          <w:trHeight w:val="568" w:hRule="atLeast"/>
        </w:trPr>
        <w:tc>
          <w:tcPr>
            <w:tcW w:w="1902" w:type="dxa"/>
            <w:gridSpan w:val="2"/>
          </w:tcPr>
          <w:p>
            <w:pPr>
              <w:pStyle w:val="TableParagraph"/>
              <w:spacing w:before="131"/>
              <w:ind w:left="470"/>
              <w:jc w:val="left"/>
              <w:rPr>
                <w:sz w:val="24"/>
              </w:rPr>
            </w:pPr>
            <w:r>
              <w:rPr>
                <w:sz w:val="24"/>
              </w:rPr>
              <w:t>法人代表</w:t>
            </w:r>
          </w:p>
        </w:tc>
        <w:tc>
          <w:tcPr>
            <w:tcW w:w="1062" w:type="dxa"/>
          </w:tcPr>
          <w:p>
            <w:pPr>
              <w:pStyle w:val="TableParagraph"/>
              <w:spacing w:before="147"/>
              <w:ind w:left="129" w:right="123"/>
              <w:rPr>
                <w:rFonts w:ascii="Times New Roman"/>
                <w:sz w:val="24"/>
              </w:rPr>
            </w:pPr>
            <w:r>
              <w:rPr>
                <w:rFonts w:ascii="Times New Roman"/>
                <w:sz w:val="24"/>
              </w:rPr>
              <w:t>***</w:t>
            </w:r>
          </w:p>
        </w:tc>
        <w:tc>
          <w:tcPr>
            <w:tcW w:w="1458" w:type="dxa"/>
          </w:tcPr>
          <w:p>
            <w:pPr>
              <w:pStyle w:val="TableParagraph"/>
              <w:spacing w:before="131"/>
              <w:ind w:left="364"/>
              <w:jc w:val="left"/>
              <w:rPr>
                <w:sz w:val="24"/>
              </w:rPr>
            </w:pPr>
            <w:r>
              <w:rPr>
                <w:sz w:val="24"/>
              </w:rPr>
              <w:t>联系人</w:t>
            </w:r>
          </w:p>
        </w:tc>
        <w:tc>
          <w:tcPr>
            <w:tcW w:w="1643" w:type="dxa"/>
          </w:tcPr>
          <w:p>
            <w:pPr>
              <w:pStyle w:val="TableParagraph"/>
              <w:spacing w:before="147"/>
              <w:ind w:left="317" w:right="316"/>
              <w:rPr>
                <w:rFonts w:ascii="Times New Roman"/>
                <w:sz w:val="24"/>
              </w:rPr>
            </w:pPr>
            <w:r>
              <w:rPr>
                <w:rFonts w:ascii="Times New Roman"/>
                <w:sz w:val="24"/>
              </w:rPr>
              <w:t>***</w:t>
            </w:r>
          </w:p>
        </w:tc>
        <w:tc>
          <w:tcPr>
            <w:tcW w:w="1240" w:type="dxa"/>
          </w:tcPr>
          <w:p>
            <w:pPr>
              <w:pStyle w:val="TableParagraph"/>
              <w:spacing w:before="131"/>
              <w:ind w:left="134"/>
              <w:jc w:val="left"/>
              <w:rPr>
                <w:sz w:val="24"/>
              </w:rPr>
            </w:pPr>
            <w:r>
              <w:rPr>
                <w:sz w:val="24"/>
              </w:rPr>
              <w:t>联系电话</w:t>
            </w:r>
          </w:p>
        </w:tc>
        <w:tc>
          <w:tcPr>
            <w:tcW w:w="1776" w:type="dxa"/>
            <w:gridSpan w:val="2"/>
          </w:tcPr>
          <w:p>
            <w:pPr>
              <w:pStyle w:val="TableParagraph"/>
              <w:spacing w:before="147"/>
              <w:ind w:left="680" w:right="686"/>
              <w:rPr>
                <w:rFonts w:ascii="Times New Roman"/>
                <w:sz w:val="24"/>
              </w:rPr>
            </w:pPr>
            <w:r>
              <w:rPr>
                <w:rFonts w:ascii="Times New Roman"/>
                <w:sz w:val="24"/>
              </w:rPr>
              <w:t>***</w:t>
            </w:r>
          </w:p>
        </w:tc>
      </w:tr>
      <w:tr>
        <w:trPr>
          <w:trHeight w:val="566" w:hRule="atLeast"/>
        </w:trPr>
        <w:tc>
          <w:tcPr>
            <w:tcW w:w="1902" w:type="dxa"/>
            <w:gridSpan w:val="2"/>
          </w:tcPr>
          <w:p>
            <w:pPr>
              <w:pStyle w:val="TableParagraph"/>
              <w:spacing w:before="129"/>
              <w:ind w:left="470"/>
              <w:jc w:val="left"/>
              <w:rPr>
                <w:sz w:val="24"/>
              </w:rPr>
            </w:pPr>
            <w:r>
              <w:rPr>
                <w:sz w:val="24"/>
              </w:rPr>
              <w:t>注册地址</w:t>
            </w:r>
          </w:p>
        </w:tc>
        <w:tc>
          <w:tcPr>
            <w:tcW w:w="7179" w:type="dxa"/>
            <w:gridSpan w:val="6"/>
          </w:tcPr>
          <w:p>
            <w:pPr>
              <w:pStyle w:val="TableParagraph"/>
              <w:spacing w:before="129"/>
              <w:ind w:left="1604"/>
              <w:jc w:val="left"/>
              <w:rPr>
                <w:sz w:val="24"/>
              </w:rPr>
            </w:pPr>
            <w:r>
              <w:rPr>
                <w:sz w:val="24"/>
              </w:rPr>
              <w:t>四川省绵阳市三台县潼川镇学街 </w:t>
            </w:r>
            <w:r>
              <w:rPr>
                <w:rFonts w:ascii="Times New Roman" w:eastAsia="Times New Roman"/>
                <w:sz w:val="24"/>
              </w:rPr>
              <w:t>31 </w:t>
            </w:r>
            <w:r>
              <w:rPr>
                <w:sz w:val="24"/>
              </w:rPr>
              <w:t>号</w:t>
            </w:r>
          </w:p>
        </w:tc>
      </w:tr>
      <w:tr>
        <w:trPr>
          <w:trHeight w:val="568" w:hRule="atLeast"/>
        </w:trPr>
        <w:tc>
          <w:tcPr>
            <w:tcW w:w="1902" w:type="dxa"/>
            <w:gridSpan w:val="2"/>
          </w:tcPr>
          <w:p>
            <w:pPr>
              <w:pStyle w:val="TableParagraph"/>
              <w:spacing w:before="131"/>
              <w:ind w:left="230"/>
              <w:jc w:val="left"/>
              <w:rPr>
                <w:sz w:val="24"/>
              </w:rPr>
            </w:pPr>
            <w:r>
              <w:rPr>
                <w:sz w:val="24"/>
              </w:rPr>
              <w:t>项目建设地点</w:t>
            </w:r>
          </w:p>
        </w:tc>
        <w:tc>
          <w:tcPr>
            <w:tcW w:w="7179" w:type="dxa"/>
            <w:gridSpan w:val="6"/>
          </w:tcPr>
          <w:p>
            <w:pPr>
              <w:pStyle w:val="TableParagraph"/>
              <w:spacing w:before="131"/>
              <w:ind w:left="1244"/>
              <w:jc w:val="left"/>
              <w:rPr>
                <w:sz w:val="24"/>
              </w:rPr>
            </w:pPr>
            <w:r>
              <w:rPr>
                <w:sz w:val="24"/>
              </w:rPr>
              <w:t>四川省绵阳市三台县潼川镇学街 </w:t>
            </w:r>
            <w:r>
              <w:rPr>
                <w:rFonts w:ascii="Times New Roman" w:eastAsia="Times New Roman"/>
                <w:sz w:val="24"/>
              </w:rPr>
              <w:t>31 </w:t>
            </w:r>
            <w:r>
              <w:rPr>
                <w:sz w:val="24"/>
              </w:rPr>
              <w:t>号医院内</w:t>
            </w:r>
          </w:p>
        </w:tc>
      </w:tr>
      <w:tr>
        <w:trPr>
          <w:trHeight w:val="565" w:hRule="atLeast"/>
        </w:trPr>
        <w:tc>
          <w:tcPr>
            <w:tcW w:w="1902" w:type="dxa"/>
            <w:gridSpan w:val="2"/>
          </w:tcPr>
          <w:p>
            <w:pPr>
              <w:pStyle w:val="TableParagraph"/>
              <w:spacing w:before="129"/>
              <w:ind w:left="230"/>
              <w:jc w:val="left"/>
              <w:rPr>
                <w:sz w:val="24"/>
              </w:rPr>
            </w:pPr>
            <w:r>
              <w:rPr>
                <w:sz w:val="24"/>
              </w:rPr>
              <w:t>立项审批部门</w:t>
            </w:r>
          </w:p>
        </w:tc>
        <w:tc>
          <w:tcPr>
            <w:tcW w:w="2520" w:type="dxa"/>
            <w:gridSpan w:val="2"/>
          </w:tcPr>
          <w:p>
            <w:pPr>
              <w:pStyle w:val="TableParagraph"/>
              <w:spacing w:before="145"/>
              <w:ind w:left="1"/>
              <w:rPr>
                <w:rFonts w:ascii="Times New Roman"/>
                <w:sz w:val="24"/>
              </w:rPr>
            </w:pPr>
            <w:r>
              <w:rPr>
                <w:rFonts w:ascii="Times New Roman"/>
                <w:w w:val="99"/>
                <w:sz w:val="24"/>
              </w:rPr>
              <w:t>/</w:t>
            </w:r>
          </w:p>
        </w:tc>
        <w:tc>
          <w:tcPr>
            <w:tcW w:w="1643" w:type="dxa"/>
          </w:tcPr>
          <w:p>
            <w:pPr>
              <w:pStyle w:val="TableParagraph"/>
              <w:spacing w:before="129"/>
              <w:ind w:left="317" w:right="316"/>
              <w:rPr>
                <w:sz w:val="24"/>
              </w:rPr>
            </w:pPr>
            <w:r>
              <w:rPr>
                <w:sz w:val="24"/>
              </w:rPr>
              <w:t>批准文号</w:t>
            </w:r>
          </w:p>
        </w:tc>
        <w:tc>
          <w:tcPr>
            <w:tcW w:w="3016" w:type="dxa"/>
            <w:gridSpan w:val="3"/>
          </w:tcPr>
          <w:p>
            <w:pPr>
              <w:pStyle w:val="TableParagraph"/>
              <w:spacing w:before="145"/>
              <w:ind w:right="5"/>
              <w:rPr>
                <w:rFonts w:ascii="Times New Roman"/>
                <w:sz w:val="24"/>
              </w:rPr>
            </w:pPr>
            <w:r>
              <w:rPr>
                <w:rFonts w:ascii="Times New Roman"/>
                <w:w w:val="99"/>
                <w:sz w:val="24"/>
              </w:rPr>
              <w:t>/</w:t>
            </w:r>
          </w:p>
        </w:tc>
      </w:tr>
      <w:tr>
        <w:trPr>
          <w:trHeight w:val="623" w:hRule="atLeast"/>
        </w:trPr>
        <w:tc>
          <w:tcPr>
            <w:tcW w:w="1902" w:type="dxa"/>
            <w:gridSpan w:val="2"/>
          </w:tcPr>
          <w:p>
            <w:pPr>
              <w:pStyle w:val="TableParagraph"/>
              <w:spacing w:before="2"/>
              <w:ind w:left="90" w:right="82"/>
              <w:rPr>
                <w:sz w:val="24"/>
              </w:rPr>
            </w:pPr>
            <w:r>
              <w:rPr>
                <w:sz w:val="24"/>
              </w:rPr>
              <w:t>建设项目总投资</w:t>
            </w:r>
          </w:p>
          <w:p>
            <w:pPr>
              <w:pStyle w:val="TableParagraph"/>
              <w:spacing w:line="289" w:lineRule="exact" w:before="4"/>
              <w:ind w:left="90" w:right="82"/>
              <w:rPr>
                <w:sz w:val="24"/>
              </w:rPr>
            </w:pPr>
            <w:r>
              <w:rPr>
                <w:sz w:val="24"/>
              </w:rPr>
              <w:t>（万元）</w:t>
            </w:r>
          </w:p>
        </w:tc>
        <w:tc>
          <w:tcPr>
            <w:tcW w:w="1062" w:type="dxa"/>
          </w:tcPr>
          <w:p>
            <w:pPr>
              <w:pStyle w:val="TableParagraph"/>
              <w:spacing w:before="174"/>
              <w:ind w:left="129" w:right="123"/>
              <w:rPr>
                <w:rFonts w:ascii="Times New Roman"/>
                <w:sz w:val="24"/>
              </w:rPr>
            </w:pPr>
            <w:r>
              <w:rPr>
                <w:rFonts w:ascii="Times New Roman"/>
                <w:sz w:val="24"/>
              </w:rPr>
              <w:t>***</w:t>
            </w:r>
          </w:p>
        </w:tc>
        <w:tc>
          <w:tcPr>
            <w:tcW w:w="1458" w:type="dxa"/>
          </w:tcPr>
          <w:p>
            <w:pPr>
              <w:pStyle w:val="TableParagraph"/>
              <w:spacing w:before="2"/>
              <w:ind w:left="124"/>
              <w:jc w:val="left"/>
              <w:rPr>
                <w:sz w:val="24"/>
              </w:rPr>
            </w:pPr>
            <w:r>
              <w:rPr>
                <w:sz w:val="24"/>
              </w:rPr>
              <w:t>项目环保投</w:t>
            </w:r>
          </w:p>
          <w:p>
            <w:pPr>
              <w:pStyle w:val="TableParagraph"/>
              <w:spacing w:line="289" w:lineRule="exact" w:before="4"/>
              <w:ind w:left="124"/>
              <w:jc w:val="left"/>
              <w:rPr>
                <w:sz w:val="24"/>
              </w:rPr>
            </w:pPr>
            <w:r>
              <w:rPr>
                <w:sz w:val="24"/>
              </w:rPr>
              <w:t>资（万元）</w:t>
            </w:r>
          </w:p>
        </w:tc>
        <w:tc>
          <w:tcPr>
            <w:tcW w:w="1643" w:type="dxa"/>
          </w:tcPr>
          <w:p>
            <w:pPr>
              <w:pStyle w:val="TableParagraph"/>
              <w:spacing w:before="174"/>
              <w:ind w:left="317" w:right="316"/>
              <w:rPr>
                <w:rFonts w:ascii="Times New Roman"/>
                <w:sz w:val="24"/>
              </w:rPr>
            </w:pPr>
            <w:r>
              <w:rPr>
                <w:rFonts w:ascii="Times New Roman"/>
                <w:sz w:val="24"/>
              </w:rPr>
              <w:t>***</w:t>
            </w:r>
          </w:p>
        </w:tc>
        <w:tc>
          <w:tcPr>
            <w:tcW w:w="2019" w:type="dxa"/>
            <w:gridSpan w:val="2"/>
          </w:tcPr>
          <w:p>
            <w:pPr>
              <w:pStyle w:val="TableParagraph"/>
              <w:spacing w:before="2"/>
              <w:ind w:left="162"/>
              <w:jc w:val="left"/>
              <w:rPr>
                <w:sz w:val="24"/>
              </w:rPr>
            </w:pPr>
            <w:r>
              <w:rPr>
                <w:sz w:val="24"/>
              </w:rPr>
              <w:t>投资比例（环保</w:t>
            </w:r>
          </w:p>
          <w:p>
            <w:pPr>
              <w:pStyle w:val="TableParagraph"/>
              <w:spacing w:line="289" w:lineRule="exact" w:before="4"/>
              <w:ind w:left="249"/>
              <w:jc w:val="left"/>
              <w:rPr>
                <w:sz w:val="24"/>
              </w:rPr>
            </w:pPr>
            <w:r>
              <w:rPr>
                <w:spacing w:val="-1"/>
                <w:w w:val="95"/>
                <w:sz w:val="24"/>
              </w:rPr>
              <w:t>投资</w:t>
            </w:r>
            <w:r>
              <w:rPr>
                <w:rFonts w:ascii="Times New Roman" w:eastAsia="Times New Roman"/>
                <w:w w:val="95"/>
                <w:sz w:val="24"/>
              </w:rPr>
              <w:t>/</w:t>
            </w:r>
            <w:r>
              <w:rPr>
                <w:w w:val="95"/>
                <w:sz w:val="24"/>
              </w:rPr>
              <w:t>总投资）</w:t>
            </w:r>
          </w:p>
        </w:tc>
        <w:tc>
          <w:tcPr>
            <w:tcW w:w="997" w:type="dxa"/>
          </w:tcPr>
          <w:p>
            <w:pPr>
              <w:pStyle w:val="TableParagraph"/>
              <w:spacing w:before="174"/>
              <w:ind w:left="290" w:right="297"/>
              <w:rPr>
                <w:rFonts w:ascii="Times New Roman"/>
                <w:sz w:val="24"/>
              </w:rPr>
            </w:pPr>
            <w:r>
              <w:rPr>
                <w:rFonts w:ascii="Times New Roman"/>
                <w:sz w:val="24"/>
              </w:rPr>
              <w:t>***</w:t>
            </w:r>
          </w:p>
        </w:tc>
      </w:tr>
      <w:tr>
        <w:trPr>
          <w:trHeight w:val="568" w:hRule="atLeast"/>
        </w:trPr>
        <w:tc>
          <w:tcPr>
            <w:tcW w:w="1902" w:type="dxa"/>
            <w:gridSpan w:val="2"/>
          </w:tcPr>
          <w:p>
            <w:pPr>
              <w:pStyle w:val="TableParagraph"/>
              <w:spacing w:before="132"/>
              <w:ind w:left="470"/>
              <w:jc w:val="left"/>
              <w:rPr>
                <w:sz w:val="24"/>
              </w:rPr>
            </w:pPr>
            <w:r>
              <w:rPr>
                <w:sz w:val="24"/>
              </w:rPr>
              <w:t>项目性质</w:t>
            </w:r>
          </w:p>
        </w:tc>
        <w:tc>
          <w:tcPr>
            <w:tcW w:w="4163" w:type="dxa"/>
            <w:gridSpan w:val="3"/>
          </w:tcPr>
          <w:p>
            <w:pPr>
              <w:pStyle w:val="TableParagraph"/>
              <w:spacing w:before="132"/>
              <w:ind w:left="432"/>
              <w:jc w:val="left"/>
              <w:rPr>
                <w:sz w:val="24"/>
              </w:rPr>
            </w:pPr>
            <w:r>
              <w:rPr>
                <w:sz w:val="24"/>
              </w:rPr>
              <w:t>□新建 </w:t>
            </w:r>
            <w:r>
              <w:rPr>
                <w:rFonts w:ascii="Times New Roman" w:hAnsi="Times New Roman" w:eastAsia="Times New Roman"/>
                <w:sz w:val="24"/>
              </w:rPr>
              <w:t> </w:t>
            </w:r>
            <w:r>
              <w:rPr>
                <w:sz w:val="24"/>
              </w:rPr>
              <w:t>改建 □扩建 </w:t>
            </w:r>
            <w:r>
              <w:rPr>
                <w:rFonts w:ascii="Times New Roman" w:hAnsi="Times New Roman" w:eastAsia="Times New Roman"/>
                <w:sz w:val="24"/>
              </w:rPr>
              <w:t></w:t>
            </w:r>
            <w:r>
              <w:rPr>
                <w:sz w:val="24"/>
              </w:rPr>
              <w:t>其他</w:t>
            </w:r>
          </w:p>
        </w:tc>
        <w:tc>
          <w:tcPr>
            <w:tcW w:w="2019" w:type="dxa"/>
            <w:gridSpan w:val="2"/>
          </w:tcPr>
          <w:p>
            <w:pPr>
              <w:pStyle w:val="TableParagraph"/>
              <w:spacing w:before="132"/>
              <w:ind w:left="148"/>
              <w:jc w:val="left"/>
              <w:rPr>
                <w:sz w:val="24"/>
              </w:rPr>
            </w:pPr>
            <w:r>
              <w:rPr>
                <w:sz w:val="24"/>
              </w:rPr>
              <w:t>占地面积（</w:t>
            </w:r>
            <w:r>
              <w:rPr>
                <w:rFonts w:ascii="Times New Roman" w:eastAsia="Times New Roman"/>
                <w:sz w:val="24"/>
              </w:rPr>
              <w:t>m</w:t>
            </w:r>
            <w:r>
              <w:rPr>
                <w:rFonts w:ascii="Times New Roman" w:eastAsia="Times New Roman"/>
                <w:position w:val="9"/>
                <w:sz w:val="16"/>
              </w:rPr>
              <w:t>2</w:t>
            </w:r>
            <w:r>
              <w:rPr>
                <w:sz w:val="24"/>
              </w:rPr>
              <w:t>）</w:t>
            </w:r>
          </w:p>
        </w:tc>
        <w:tc>
          <w:tcPr>
            <w:tcW w:w="997" w:type="dxa"/>
          </w:tcPr>
          <w:p>
            <w:pPr>
              <w:pStyle w:val="TableParagraph"/>
              <w:spacing w:before="147"/>
              <w:ind w:right="8"/>
              <w:rPr>
                <w:rFonts w:ascii="Times New Roman"/>
                <w:sz w:val="24"/>
              </w:rPr>
            </w:pPr>
            <w:r>
              <w:rPr>
                <w:rFonts w:ascii="Times New Roman"/>
                <w:w w:val="99"/>
                <w:sz w:val="24"/>
              </w:rPr>
              <w:t>/</w:t>
            </w:r>
          </w:p>
        </w:tc>
      </w:tr>
      <w:tr>
        <w:trPr>
          <w:trHeight w:val="565" w:hRule="atLeast"/>
        </w:trPr>
        <w:tc>
          <w:tcPr>
            <w:tcW w:w="850" w:type="dxa"/>
            <w:vMerge w:val="restart"/>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spacing w:before="9"/>
              <w:jc w:val="left"/>
              <w:rPr>
                <w:sz w:val="41"/>
              </w:rPr>
            </w:pPr>
          </w:p>
          <w:p>
            <w:pPr>
              <w:pStyle w:val="TableParagraph"/>
              <w:spacing w:line="242" w:lineRule="auto" w:before="1"/>
              <w:ind w:left="304" w:right="293"/>
              <w:jc w:val="both"/>
              <w:rPr>
                <w:sz w:val="24"/>
              </w:rPr>
            </w:pPr>
            <w:r>
              <w:rPr>
                <w:sz w:val="24"/>
              </w:rPr>
              <w:t>应用类型</w:t>
            </w:r>
          </w:p>
        </w:tc>
        <w:tc>
          <w:tcPr>
            <w:tcW w:w="1052" w:type="dxa"/>
            <w:vMerge w:val="restart"/>
          </w:tcPr>
          <w:p>
            <w:pPr>
              <w:pStyle w:val="TableParagraph"/>
              <w:spacing w:before="7"/>
              <w:jc w:val="left"/>
              <w:rPr>
                <w:sz w:val="32"/>
              </w:rPr>
            </w:pPr>
          </w:p>
          <w:p>
            <w:pPr>
              <w:pStyle w:val="TableParagraph"/>
              <w:ind w:left="164"/>
              <w:jc w:val="left"/>
              <w:rPr>
                <w:sz w:val="24"/>
              </w:rPr>
            </w:pPr>
            <w:r>
              <w:rPr>
                <w:sz w:val="24"/>
              </w:rPr>
              <w:t>放射源</w:t>
            </w:r>
          </w:p>
        </w:tc>
        <w:tc>
          <w:tcPr>
            <w:tcW w:w="1062" w:type="dxa"/>
          </w:tcPr>
          <w:p>
            <w:pPr>
              <w:pStyle w:val="TableParagraph"/>
              <w:spacing w:before="129"/>
              <w:ind w:left="129" w:right="123"/>
              <w:rPr>
                <w:sz w:val="24"/>
              </w:rPr>
            </w:pPr>
            <w:r>
              <w:rPr>
                <w:sz w:val="24"/>
              </w:rPr>
              <w:t>□销售</w:t>
            </w:r>
          </w:p>
        </w:tc>
        <w:tc>
          <w:tcPr>
            <w:tcW w:w="6117" w:type="dxa"/>
            <w:gridSpan w:val="5"/>
          </w:tcPr>
          <w:p>
            <w:pPr>
              <w:pStyle w:val="TableParagraph"/>
              <w:spacing w:before="129"/>
              <w:ind w:left="1406"/>
              <w:jc w:val="left"/>
              <w:rPr>
                <w:sz w:val="24"/>
              </w:rPr>
            </w:pPr>
            <w:r>
              <w:rPr>
                <w:sz w:val="24"/>
              </w:rPr>
              <w:t>□</w:t>
            </w:r>
            <w:r>
              <w:rPr>
                <w:rFonts w:ascii="Times New Roman" w:hAnsi="Times New Roman" w:eastAsia="Times New Roman"/>
                <w:sz w:val="24"/>
              </w:rPr>
              <w:t>Ⅰ</w:t>
            </w:r>
            <w:r>
              <w:rPr>
                <w:sz w:val="24"/>
              </w:rPr>
              <w:t>类□</w:t>
            </w:r>
            <w:r>
              <w:rPr>
                <w:rFonts w:ascii="Times New Roman" w:hAnsi="Times New Roman" w:eastAsia="Times New Roman"/>
                <w:sz w:val="24"/>
              </w:rPr>
              <w:t>Ⅱ</w:t>
            </w:r>
            <w:r>
              <w:rPr>
                <w:sz w:val="24"/>
              </w:rPr>
              <w:t>类□</w:t>
            </w:r>
            <w:r>
              <w:rPr>
                <w:rFonts w:ascii="Times New Roman" w:hAnsi="Times New Roman" w:eastAsia="Times New Roman"/>
                <w:sz w:val="24"/>
              </w:rPr>
              <w:t>Ⅲ</w:t>
            </w:r>
            <w:r>
              <w:rPr>
                <w:sz w:val="24"/>
              </w:rPr>
              <w:t>类□</w:t>
            </w:r>
            <w:r>
              <w:rPr>
                <w:rFonts w:ascii="Times New Roman" w:hAnsi="Times New Roman" w:eastAsia="Times New Roman"/>
                <w:sz w:val="24"/>
              </w:rPr>
              <w:t>Ⅳ</w:t>
            </w:r>
            <w:r>
              <w:rPr>
                <w:sz w:val="24"/>
              </w:rPr>
              <w:t>类□</w:t>
            </w:r>
            <w:r>
              <w:rPr>
                <w:rFonts w:ascii="Times New Roman" w:hAnsi="Times New Roman" w:eastAsia="Times New Roman"/>
                <w:sz w:val="24"/>
              </w:rPr>
              <w:t>Ⅴ</w:t>
            </w:r>
            <w:r>
              <w:rPr>
                <w:sz w:val="24"/>
              </w:rPr>
              <w:t>类</w:t>
            </w:r>
          </w:p>
        </w:tc>
      </w:tr>
      <w:tr>
        <w:trPr>
          <w:trHeight w:val="568" w:hRule="atLeast"/>
        </w:trPr>
        <w:tc>
          <w:tcPr>
            <w:tcW w:w="850" w:type="dxa"/>
            <w:vMerge/>
            <w:tcBorders>
              <w:top w:val="nil"/>
            </w:tcBorders>
          </w:tcPr>
          <w:p>
            <w:pPr>
              <w:rPr>
                <w:sz w:val="2"/>
                <w:szCs w:val="2"/>
              </w:rPr>
            </w:pPr>
          </w:p>
        </w:tc>
        <w:tc>
          <w:tcPr>
            <w:tcW w:w="1052" w:type="dxa"/>
            <w:vMerge/>
            <w:tcBorders>
              <w:top w:val="nil"/>
            </w:tcBorders>
          </w:tcPr>
          <w:p>
            <w:pPr>
              <w:rPr>
                <w:sz w:val="2"/>
                <w:szCs w:val="2"/>
              </w:rPr>
            </w:pPr>
          </w:p>
        </w:tc>
        <w:tc>
          <w:tcPr>
            <w:tcW w:w="1062" w:type="dxa"/>
          </w:tcPr>
          <w:p>
            <w:pPr>
              <w:pStyle w:val="TableParagraph"/>
              <w:spacing w:before="129"/>
              <w:ind w:left="129" w:right="123"/>
              <w:rPr>
                <w:sz w:val="24"/>
              </w:rPr>
            </w:pPr>
            <w:r>
              <w:rPr>
                <w:sz w:val="24"/>
              </w:rPr>
              <w:t>□使用</w:t>
            </w:r>
          </w:p>
        </w:tc>
        <w:tc>
          <w:tcPr>
            <w:tcW w:w="6117" w:type="dxa"/>
            <w:gridSpan w:val="5"/>
          </w:tcPr>
          <w:p>
            <w:pPr>
              <w:pStyle w:val="TableParagraph"/>
              <w:spacing w:before="129"/>
              <w:ind w:left="686"/>
              <w:jc w:val="left"/>
              <w:rPr>
                <w:sz w:val="24"/>
              </w:rPr>
            </w:pPr>
            <w:r>
              <w:rPr>
                <w:sz w:val="24"/>
              </w:rPr>
              <w:t>□</w:t>
            </w:r>
            <w:r>
              <w:rPr>
                <w:rFonts w:ascii="Times New Roman" w:hAnsi="Times New Roman" w:eastAsia="Times New Roman"/>
                <w:sz w:val="24"/>
              </w:rPr>
              <w:t>Ⅰ</w:t>
            </w:r>
            <w:r>
              <w:rPr>
                <w:sz w:val="24"/>
              </w:rPr>
              <w:t>类（医疗使用）□</w:t>
            </w:r>
            <w:r>
              <w:rPr>
                <w:rFonts w:ascii="Times New Roman" w:hAnsi="Times New Roman" w:eastAsia="Times New Roman"/>
                <w:sz w:val="24"/>
              </w:rPr>
              <w:t>Ⅱ</w:t>
            </w:r>
            <w:r>
              <w:rPr>
                <w:sz w:val="24"/>
              </w:rPr>
              <w:t>类□</w:t>
            </w:r>
            <w:r>
              <w:rPr>
                <w:rFonts w:ascii="Times New Roman" w:hAnsi="Times New Roman" w:eastAsia="Times New Roman"/>
                <w:sz w:val="24"/>
              </w:rPr>
              <w:t>Ⅲ</w:t>
            </w:r>
            <w:r>
              <w:rPr>
                <w:sz w:val="24"/>
              </w:rPr>
              <w:t>类□</w:t>
            </w:r>
            <w:r>
              <w:rPr>
                <w:rFonts w:ascii="Times New Roman" w:hAnsi="Times New Roman" w:eastAsia="Times New Roman"/>
                <w:sz w:val="24"/>
              </w:rPr>
              <w:t>Ⅳ</w:t>
            </w:r>
            <w:r>
              <w:rPr>
                <w:sz w:val="24"/>
              </w:rPr>
              <w:t>类□</w:t>
            </w:r>
            <w:r>
              <w:rPr>
                <w:rFonts w:ascii="Times New Roman" w:hAnsi="Times New Roman" w:eastAsia="Times New Roman"/>
                <w:sz w:val="24"/>
              </w:rPr>
              <w:t>Ⅴ</w:t>
            </w:r>
            <w:r>
              <w:rPr>
                <w:sz w:val="24"/>
              </w:rPr>
              <w:t>类</w:t>
            </w:r>
          </w:p>
        </w:tc>
      </w:tr>
      <w:tr>
        <w:trPr>
          <w:trHeight w:val="565" w:hRule="atLeast"/>
        </w:trPr>
        <w:tc>
          <w:tcPr>
            <w:tcW w:w="850" w:type="dxa"/>
            <w:vMerge/>
            <w:tcBorders>
              <w:top w:val="nil"/>
            </w:tcBorders>
          </w:tcPr>
          <w:p>
            <w:pPr>
              <w:rPr>
                <w:sz w:val="2"/>
                <w:szCs w:val="2"/>
              </w:rPr>
            </w:pPr>
          </w:p>
        </w:tc>
        <w:tc>
          <w:tcPr>
            <w:tcW w:w="1052" w:type="dxa"/>
            <w:vMerge w:val="restart"/>
          </w:tcPr>
          <w:p>
            <w:pPr>
              <w:pStyle w:val="TableParagraph"/>
              <w:spacing w:before="9"/>
              <w:jc w:val="left"/>
              <w:rPr>
                <w:sz w:val="30"/>
              </w:rPr>
            </w:pPr>
          </w:p>
          <w:p>
            <w:pPr>
              <w:pStyle w:val="TableParagraph"/>
              <w:spacing w:line="242" w:lineRule="auto"/>
              <w:ind w:left="164" w:right="154"/>
              <w:jc w:val="both"/>
              <w:rPr>
                <w:sz w:val="24"/>
              </w:rPr>
            </w:pPr>
            <w:r>
              <w:rPr>
                <w:sz w:val="24"/>
              </w:rPr>
              <w:t>非密封放射性物质</w:t>
            </w:r>
          </w:p>
        </w:tc>
        <w:tc>
          <w:tcPr>
            <w:tcW w:w="1062" w:type="dxa"/>
          </w:tcPr>
          <w:p>
            <w:pPr>
              <w:pStyle w:val="TableParagraph"/>
              <w:spacing w:before="129"/>
              <w:ind w:left="129" w:right="123"/>
              <w:rPr>
                <w:sz w:val="24"/>
              </w:rPr>
            </w:pPr>
            <w:r>
              <w:rPr>
                <w:sz w:val="24"/>
              </w:rPr>
              <w:t>□生产</w:t>
            </w:r>
          </w:p>
        </w:tc>
        <w:tc>
          <w:tcPr>
            <w:tcW w:w="6117" w:type="dxa"/>
            <w:gridSpan w:val="5"/>
          </w:tcPr>
          <w:p>
            <w:pPr>
              <w:pStyle w:val="TableParagraph"/>
              <w:spacing w:before="129"/>
              <w:ind w:left="1699"/>
              <w:jc w:val="left"/>
              <w:rPr>
                <w:sz w:val="24"/>
              </w:rPr>
            </w:pPr>
            <w:r>
              <w:rPr>
                <w:sz w:val="24"/>
              </w:rPr>
              <w:t>□制备 </w:t>
            </w:r>
            <w:r>
              <w:rPr>
                <w:rFonts w:ascii="Times New Roman" w:hAnsi="Times New Roman" w:eastAsia="Times New Roman"/>
                <w:sz w:val="24"/>
              </w:rPr>
              <w:t>PET </w:t>
            </w:r>
            <w:r>
              <w:rPr>
                <w:sz w:val="24"/>
              </w:rPr>
              <w:t>用放射性药物</w:t>
            </w:r>
          </w:p>
        </w:tc>
      </w:tr>
      <w:tr>
        <w:trPr>
          <w:trHeight w:val="565" w:hRule="atLeast"/>
        </w:trPr>
        <w:tc>
          <w:tcPr>
            <w:tcW w:w="850" w:type="dxa"/>
            <w:vMerge/>
            <w:tcBorders>
              <w:top w:val="nil"/>
            </w:tcBorders>
          </w:tcPr>
          <w:p>
            <w:pPr>
              <w:rPr>
                <w:sz w:val="2"/>
                <w:szCs w:val="2"/>
              </w:rPr>
            </w:pPr>
          </w:p>
        </w:tc>
        <w:tc>
          <w:tcPr>
            <w:tcW w:w="1052" w:type="dxa"/>
            <w:vMerge/>
            <w:tcBorders>
              <w:top w:val="nil"/>
            </w:tcBorders>
          </w:tcPr>
          <w:p>
            <w:pPr>
              <w:rPr>
                <w:sz w:val="2"/>
                <w:szCs w:val="2"/>
              </w:rPr>
            </w:pPr>
          </w:p>
        </w:tc>
        <w:tc>
          <w:tcPr>
            <w:tcW w:w="1062" w:type="dxa"/>
          </w:tcPr>
          <w:p>
            <w:pPr>
              <w:pStyle w:val="TableParagraph"/>
              <w:spacing w:before="129"/>
              <w:ind w:left="129" w:right="123"/>
              <w:rPr>
                <w:sz w:val="24"/>
              </w:rPr>
            </w:pPr>
            <w:r>
              <w:rPr>
                <w:sz w:val="24"/>
              </w:rPr>
              <w:t>□销售</w:t>
            </w:r>
          </w:p>
        </w:tc>
        <w:tc>
          <w:tcPr>
            <w:tcW w:w="6117" w:type="dxa"/>
            <w:gridSpan w:val="5"/>
          </w:tcPr>
          <w:p>
            <w:pPr>
              <w:pStyle w:val="TableParagraph"/>
              <w:spacing w:before="129"/>
              <w:ind w:right="1"/>
              <w:rPr>
                <w:sz w:val="24"/>
              </w:rPr>
            </w:pPr>
            <w:r>
              <w:rPr>
                <w:sz w:val="24"/>
              </w:rPr>
              <w:t>/</w:t>
            </w:r>
          </w:p>
        </w:tc>
      </w:tr>
      <w:tr>
        <w:trPr>
          <w:trHeight w:val="568" w:hRule="atLeast"/>
        </w:trPr>
        <w:tc>
          <w:tcPr>
            <w:tcW w:w="850" w:type="dxa"/>
            <w:vMerge/>
            <w:tcBorders>
              <w:top w:val="nil"/>
            </w:tcBorders>
          </w:tcPr>
          <w:p>
            <w:pPr>
              <w:rPr>
                <w:sz w:val="2"/>
                <w:szCs w:val="2"/>
              </w:rPr>
            </w:pPr>
          </w:p>
        </w:tc>
        <w:tc>
          <w:tcPr>
            <w:tcW w:w="1052" w:type="dxa"/>
            <w:vMerge/>
            <w:tcBorders>
              <w:top w:val="nil"/>
            </w:tcBorders>
          </w:tcPr>
          <w:p>
            <w:pPr>
              <w:rPr>
                <w:sz w:val="2"/>
                <w:szCs w:val="2"/>
              </w:rPr>
            </w:pPr>
          </w:p>
        </w:tc>
        <w:tc>
          <w:tcPr>
            <w:tcW w:w="1062" w:type="dxa"/>
          </w:tcPr>
          <w:p>
            <w:pPr>
              <w:pStyle w:val="TableParagraph"/>
              <w:spacing w:before="132"/>
              <w:ind w:left="129" w:right="123"/>
              <w:rPr>
                <w:sz w:val="24"/>
              </w:rPr>
            </w:pPr>
            <w:r>
              <w:rPr>
                <w:sz w:val="24"/>
              </w:rPr>
              <w:t>□使用</w:t>
            </w:r>
          </w:p>
        </w:tc>
        <w:tc>
          <w:tcPr>
            <w:tcW w:w="6117" w:type="dxa"/>
            <w:gridSpan w:val="5"/>
          </w:tcPr>
          <w:p>
            <w:pPr>
              <w:pStyle w:val="TableParagraph"/>
              <w:spacing w:before="132"/>
              <w:ind w:left="2359" w:right="2360"/>
              <w:rPr>
                <w:sz w:val="24"/>
              </w:rPr>
            </w:pPr>
            <w:r>
              <w:rPr>
                <w:sz w:val="24"/>
              </w:rPr>
              <w:t>□乙□丙</w:t>
            </w:r>
          </w:p>
        </w:tc>
      </w:tr>
      <w:tr>
        <w:trPr>
          <w:trHeight w:val="565" w:hRule="atLeast"/>
        </w:trPr>
        <w:tc>
          <w:tcPr>
            <w:tcW w:w="850" w:type="dxa"/>
            <w:vMerge/>
            <w:tcBorders>
              <w:top w:val="nil"/>
            </w:tcBorders>
          </w:tcPr>
          <w:p>
            <w:pPr>
              <w:rPr>
                <w:sz w:val="2"/>
                <w:szCs w:val="2"/>
              </w:rPr>
            </w:pPr>
          </w:p>
        </w:tc>
        <w:tc>
          <w:tcPr>
            <w:tcW w:w="1052" w:type="dxa"/>
            <w:vMerge w:val="restart"/>
          </w:tcPr>
          <w:p>
            <w:pPr>
              <w:pStyle w:val="TableParagraph"/>
              <w:jc w:val="left"/>
              <w:rPr>
                <w:sz w:val="28"/>
              </w:rPr>
            </w:pPr>
          </w:p>
          <w:p>
            <w:pPr>
              <w:pStyle w:val="TableParagraph"/>
              <w:spacing w:line="242" w:lineRule="auto" w:before="190"/>
              <w:ind w:left="284" w:right="274"/>
              <w:jc w:val="left"/>
              <w:rPr>
                <w:sz w:val="24"/>
              </w:rPr>
            </w:pPr>
            <w:r>
              <w:rPr>
                <w:sz w:val="24"/>
              </w:rPr>
              <w:t>射线装置</w:t>
            </w:r>
          </w:p>
        </w:tc>
        <w:tc>
          <w:tcPr>
            <w:tcW w:w="1062" w:type="dxa"/>
          </w:tcPr>
          <w:p>
            <w:pPr>
              <w:pStyle w:val="TableParagraph"/>
              <w:spacing w:before="129"/>
              <w:ind w:left="129" w:right="123"/>
              <w:rPr>
                <w:sz w:val="24"/>
              </w:rPr>
            </w:pPr>
            <w:r>
              <w:rPr>
                <w:sz w:val="24"/>
              </w:rPr>
              <w:t>□生产</w:t>
            </w:r>
          </w:p>
        </w:tc>
        <w:tc>
          <w:tcPr>
            <w:tcW w:w="6117" w:type="dxa"/>
            <w:gridSpan w:val="5"/>
          </w:tcPr>
          <w:p>
            <w:pPr>
              <w:pStyle w:val="TableParagraph"/>
              <w:spacing w:before="129"/>
              <w:ind w:left="2359" w:right="2361"/>
              <w:rPr>
                <w:sz w:val="24"/>
              </w:rPr>
            </w:pPr>
            <w:r>
              <w:rPr>
                <w:sz w:val="24"/>
              </w:rPr>
              <w:t>□</w:t>
            </w:r>
            <w:r>
              <w:rPr>
                <w:rFonts w:ascii="Times New Roman" w:hAnsi="Times New Roman" w:eastAsia="Times New Roman"/>
                <w:sz w:val="24"/>
              </w:rPr>
              <w:t>Ⅱ</w:t>
            </w:r>
            <w:r>
              <w:rPr>
                <w:sz w:val="24"/>
              </w:rPr>
              <w:t>类□</w:t>
            </w:r>
            <w:r>
              <w:rPr>
                <w:rFonts w:ascii="Times New Roman" w:hAnsi="Times New Roman" w:eastAsia="Times New Roman"/>
                <w:sz w:val="24"/>
              </w:rPr>
              <w:t>Ⅲ</w:t>
            </w:r>
            <w:r>
              <w:rPr>
                <w:sz w:val="24"/>
              </w:rPr>
              <w:t>类</w:t>
            </w:r>
          </w:p>
        </w:tc>
      </w:tr>
      <w:tr>
        <w:trPr>
          <w:trHeight w:val="568" w:hRule="atLeast"/>
        </w:trPr>
        <w:tc>
          <w:tcPr>
            <w:tcW w:w="850" w:type="dxa"/>
            <w:vMerge/>
            <w:tcBorders>
              <w:top w:val="nil"/>
            </w:tcBorders>
          </w:tcPr>
          <w:p>
            <w:pPr>
              <w:rPr>
                <w:sz w:val="2"/>
                <w:szCs w:val="2"/>
              </w:rPr>
            </w:pPr>
          </w:p>
        </w:tc>
        <w:tc>
          <w:tcPr>
            <w:tcW w:w="1052" w:type="dxa"/>
            <w:vMerge/>
            <w:tcBorders>
              <w:top w:val="nil"/>
            </w:tcBorders>
          </w:tcPr>
          <w:p>
            <w:pPr>
              <w:rPr>
                <w:sz w:val="2"/>
                <w:szCs w:val="2"/>
              </w:rPr>
            </w:pPr>
          </w:p>
        </w:tc>
        <w:tc>
          <w:tcPr>
            <w:tcW w:w="1062" w:type="dxa"/>
          </w:tcPr>
          <w:p>
            <w:pPr>
              <w:pStyle w:val="TableParagraph"/>
              <w:spacing w:before="129"/>
              <w:ind w:left="129" w:right="123"/>
              <w:rPr>
                <w:sz w:val="24"/>
              </w:rPr>
            </w:pPr>
            <w:r>
              <w:rPr>
                <w:sz w:val="24"/>
              </w:rPr>
              <w:t>□销售</w:t>
            </w:r>
          </w:p>
        </w:tc>
        <w:tc>
          <w:tcPr>
            <w:tcW w:w="6117" w:type="dxa"/>
            <w:gridSpan w:val="5"/>
          </w:tcPr>
          <w:p>
            <w:pPr>
              <w:pStyle w:val="TableParagraph"/>
              <w:spacing w:before="129"/>
              <w:ind w:left="2359" w:right="2361"/>
              <w:rPr>
                <w:sz w:val="24"/>
              </w:rPr>
            </w:pPr>
            <w:r>
              <w:rPr>
                <w:sz w:val="24"/>
              </w:rPr>
              <w:t>□</w:t>
            </w:r>
            <w:r>
              <w:rPr>
                <w:rFonts w:ascii="Times New Roman" w:hAnsi="Times New Roman" w:eastAsia="Times New Roman"/>
                <w:sz w:val="24"/>
              </w:rPr>
              <w:t>Ⅱ</w:t>
            </w:r>
            <w:r>
              <w:rPr>
                <w:sz w:val="24"/>
              </w:rPr>
              <w:t>类□</w:t>
            </w:r>
            <w:r>
              <w:rPr>
                <w:rFonts w:ascii="Times New Roman" w:hAnsi="Times New Roman" w:eastAsia="Times New Roman"/>
                <w:sz w:val="24"/>
              </w:rPr>
              <w:t>Ⅲ</w:t>
            </w:r>
            <w:r>
              <w:rPr>
                <w:sz w:val="24"/>
              </w:rPr>
              <w:t>类</w:t>
            </w:r>
          </w:p>
        </w:tc>
      </w:tr>
      <w:tr>
        <w:trPr>
          <w:trHeight w:val="566" w:hRule="atLeast"/>
        </w:trPr>
        <w:tc>
          <w:tcPr>
            <w:tcW w:w="850" w:type="dxa"/>
            <w:vMerge/>
            <w:tcBorders>
              <w:top w:val="nil"/>
            </w:tcBorders>
          </w:tcPr>
          <w:p>
            <w:pPr>
              <w:rPr>
                <w:sz w:val="2"/>
                <w:szCs w:val="2"/>
              </w:rPr>
            </w:pPr>
          </w:p>
        </w:tc>
        <w:tc>
          <w:tcPr>
            <w:tcW w:w="1052" w:type="dxa"/>
            <w:vMerge/>
            <w:tcBorders>
              <w:top w:val="nil"/>
            </w:tcBorders>
          </w:tcPr>
          <w:p>
            <w:pPr>
              <w:rPr>
                <w:sz w:val="2"/>
                <w:szCs w:val="2"/>
              </w:rPr>
            </w:pPr>
          </w:p>
        </w:tc>
        <w:tc>
          <w:tcPr>
            <w:tcW w:w="1062" w:type="dxa"/>
          </w:tcPr>
          <w:p>
            <w:pPr>
              <w:pStyle w:val="TableParagraph"/>
              <w:spacing w:before="129"/>
              <w:ind w:left="129" w:right="126"/>
              <w:rPr>
                <w:sz w:val="24"/>
              </w:rPr>
            </w:pPr>
            <w:r>
              <w:rPr>
                <w:rFonts w:ascii="Times New Roman" w:hAnsi="Times New Roman" w:eastAsia="Times New Roman"/>
                <w:w w:val="105"/>
                <w:sz w:val="24"/>
              </w:rPr>
              <w:t></w:t>
            </w:r>
            <w:r>
              <w:rPr>
                <w:w w:val="105"/>
                <w:sz w:val="24"/>
              </w:rPr>
              <w:t>使用</w:t>
            </w:r>
          </w:p>
        </w:tc>
        <w:tc>
          <w:tcPr>
            <w:tcW w:w="6117" w:type="dxa"/>
            <w:gridSpan w:val="5"/>
          </w:tcPr>
          <w:p>
            <w:pPr>
              <w:pStyle w:val="TableParagraph"/>
              <w:spacing w:before="129"/>
              <w:ind w:left="2359" w:right="2360"/>
              <w:rPr>
                <w:sz w:val="24"/>
              </w:rPr>
            </w:pPr>
            <w:r>
              <w:rPr>
                <w:rFonts w:ascii="Times New Roman" w:hAnsi="Times New Roman" w:eastAsia="Times New Roman"/>
                <w:sz w:val="24"/>
              </w:rPr>
              <w:t>Ⅱ</w:t>
            </w:r>
            <w:r>
              <w:rPr>
                <w:sz w:val="24"/>
              </w:rPr>
              <w:t>类□</w:t>
            </w:r>
            <w:r>
              <w:rPr>
                <w:rFonts w:ascii="Times New Roman" w:hAnsi="Times New Roman" w:eastAsia="Times New Roman"/>
                <w:sz w:val="24"/>
              </w:rPr>
              <w:t>Ⅲ</w:t>
            </w:r>
            <w:r>
              <w:rPr>
                <w:sz w:val="24"/>
              </w:rPr>
              <w:t>类</w:t>
            </w:r>
          </w:p>
        </w:tc>
      </w:tr>
      <w:tr>
        <w:trPr>
          <w:trHeight w:val="565" w:hRule="atLeast"/>
        </w:trPr>
        <w:tc>
          <w:tcPr>
            <w:tcW w:w="850" w:type="dxa"/>
            <w:vMerge/>
            <w:tcBorders>
              <w:top w:val="nil"/>
            </w:tcBorders>
          </w:tcPr>
          <w:p>
            <w:pPr>
              <w:rPr>
                <w:sz w:val="2"/>
                <w:szCs w:val="2"/>
              </w:rPr>
            </w:pPr>
          </w:p>
        </w:tc>
        <w:tc>
          <w:tcPr>
            <w:tcW w:w="1052" w:type="dxa"/>
          </w:tcPr>
          <w:p>
            <w:pPr>
              <w:pStyle w:val="TableParagraph"/>
              <w:spacing w:before="129"/>
              <w:ind w:left="284"/>
              <w:jc w:val="left"/>
              <w:rPr>
                <w:sz w:val="24"/>
              </w:rPr>
            </w:pPr>
            <w:r>
              <w:rPr>
                <w:sz w:val="24"/>
              </w:rPr>
              <w:t>其他</w:t>
            </w:r>
          </w:p>
        </w:tc>
        <w:tc>
          <w:tcPr>
            <w:tcW w:w="7179" w:type="dxa"/>
            <w:gridSpan w:val="6"/>
          </w:tcPr>
          <w:p>
            <w:pPr>
              <w:pStyle w:val="TableParagraph"/>
              <w:spacing w:before="145"/>
              <w:ind w:right="1"/>
              <w:rPr>
                <w:rFonts w:ascii="Times New Roman"/>
                <w:sz w:val="24"/>
              </w:rPr>
            </w:pPr>
            <w:r>
              <w:rPr>
                <w:rFonts w:ascii="Times New Roman"/>
                <w:w w:val="99"/>
                <w:sz w:val="24"/>
              </w:rPr>
              <w:t>/</w:t>
            </w:r>
          </w:p>
        </w:tc>
      </w:tr>
      <w:tr>
        <w:trPr>
          <w:trHeight w:val="3434" w:hRule="atLeast"/>
        </w:trPr>
        <w:tc>
          <w:tcPr>
            <w:tcW w:w="9081" w:type="dxa"/>
            <w:gridSpan w:val="8"/>
          </w:tcPr>
          <w:p>
            <w:pPr>
              <w:pStyle w:val="TableParagraph"/>
              <w:spacing w:before="135"/>
              <w:ind w:left="98"/>
              <w:jc w:val="left"/>
              <w:rPr>
                <w:sz w:val="28"/>
              </w:rPr>
            </w:pPr>
            <w:r>
              <w:rPr>
                <w:sz w:val="28"/>
              </w:rPr>
              <w:t>项目概述</w:t>
            </w:r>
            <w:r>
              <w:rPr>
                <w:w w:val="50"/>
                <w:sz w:val="28"/>
              </w:rPr>
              <w:t> </w:t>
            </w:r>
          </w:p>
          <w:p>
            <w:pPr>
              <w:pStyle w:val="TableParagraph"/>
              <w:spacing w:before="214"/>
              <w:ind w:left="590"/>
              <w:jc w:val="left"/>
              <w:rPr>
                <w:sz w:val="24"/>
              </w:rPr>
            </w:pPr>
            <w:r>
              <w:rPr>
                <w:sz w:val="24"/>
              </w:rPr>
              <w:t>一、建设单位简介</w:t>
            </w:r>
            <w:r>
              <w:rPr>
                <w:w w:val="50"/>
                <w:sz w:val="24"/>
              </w:rPr>
              <w:t> </w:t>
            </w:r>
          </w:p>
          <w:p>
            <w:pPr>
              <w:pStyle w:val="TableParagraph"/>
              <w:spacing w:before="160"/>
              <w:ind w:left="587"/>
              <w:jc w:val="left"/>
              <w:rPr>
                <w:sz w:val="24"/>
              </w:rPr>
            </w:pPr>
            <w:r>
              <w:rPr>
                <w:sz w:val="24"/>
              </w:rPr>
              <w:t>三台县中医院（统一社会信用代码：</w:t>
            </w:r>
            <w:r>
              <w:rPr>
                <w:rFonts w:ascii="Times New Roman" w:eastAsia="Times New Roman"/>
                <w:sz w:val="24"/>
              </w:rPr>
              <w:t>***</w:t>
            </w:r>
            <w:r>
              <w:rPr>
                <w:sz w:val="24"/>
              </w:rPr>
              <w:t>）</w:t>
            </w:r>
            <w:r>
              <w:rPr>
                <w:spacing w:val="-16"/>
                <w:sz w:val="24"/>
              </w:rPr>
              <w:t>成立于 </w:t>
            </w:r>
            <w:r>
              <w:rPr>
                <w:rFonts w:ascii="Times New Roman" w:eastAsia="Times New Roman"/>
                <w:sz w:val="24"/>
              </w:rPr>
              <w:t>1952</w:t>
            </w:r>
            <w:r>
              <w:rPr>
                <w:rFonts w:ascii="Times New Roman" w:eastAsia="Times New Roman"/>
                <w:spacing w:val="-1"/>
                <w:sz w:val="24"/>
              </w:rPr>
              <w:t> </w:t>
            </w:r>
            <w:r>
              <w:rPr>
                <w:spacing w:val="-31"/>
                <w:sz w:val="24"/>
              </w:rPr>
              <w:t>年 </w:t>
            </w:r>
            <w:r>
              <w:rPr>
                <w:rFonts w:ascii="Times New Roman" w:eastAsia="Times New Roman"/>
                <w:sz w:val="24"/>
              </w:rPr>
              <w:t>7 </w:t>
            </w:r>
            <w:r>
              <w:rPr>
                <w:sz w:val="24"/>
              </w:rPr>
              <w:t>月的实验联合诊所，</w:t>
            </w:r>
          </w:p>
          <w:p>
            <w:pPr>
              <w:pStyle w:val="TableParagraph"/>
              <w:spacing w:line="364" w:lineRule="auto" w:before="161"/>
              <w:ind w:left="107" w:right="105"/>
              <w:jc w:val="left"/>
              <w:rPr>
                <w:sz w:val="24"/>
              </w:rPr>
            </w:pPr>
            <w:r>
              <w:rPr>
                <w:rFonts w:ascii="Times New Roman" w:eastAsia="Times New Roman"/>
                <w:sz w:val="24"/>
              </w:rPr>
              <w:t>1958</w:t>
            </w:r>
            <w:r>
              <w:rPr>
                <w:rFonts w:ascii="Times New Roman" w:eastAsia="Times New Roman"/>
                <w:spacing w:val="22"/>
                <w:sz w:val="24"/>
              </w:rPr>
              <w:t> </w:t>
            </w:r>
            <w:r>
              <w:rPr>
                <w:sz w:val="24"/>
              </w:rPr>
              <w:t>年成立三台县城关镇医院。</w:t>
            </w:r>
            <w:r>
              <w:rPr>
                <w:rFonts w:ascii="Times New Roman" w:eastAsia="Times New Roman"/>
                <w:sz w:val="24"/>
              </w:rPr>
              <w:t>1982</w:t>
            </w:r>
            <w:r>
              <w:rPr>
                <w:rFonts w:ascii="Times New Roman" w:eastAsia="Times New Roman"/>
                <w:spacing w:val="23"/>
                <w:sz w:val="24"/>
              </w:rPr>
              <w:t> </w:t>
            </w:r>
            <w:r>
              <w:rPr>
                <w:spacing w:val="-18"/>
                <w:sz w:val="24"/>
              </w:rPr>
              <w:t>年 </w:t>
            </w:r>
            <w:r>
              <w:rPr>
                <w:rFonts w:ascii="Times New Roman" w:eastAsia="Times New Roman"/>
                <w:sz w:val="24"/>
              </w:rPr>
              <w:t>2</w:t>
            </w:r>
            <w:r>
              <w:rPr>
                <w:rFonts w:ascii="Times New Roman" w:eastAsia="Times New Roman"/>
                <w:spacing w:val="24"/>
                <w:sz w:val="24"/>
              </w:rPr>
              <w:t> </w:t>
            </w:r>
            <w:r>
              <w:rPr>
                <w:spacing w:val="-1"/>
                <w:sz w:val="24"/>
              </w:rPr>
              <w:t>月经三台县人民政府批准，将城关镇医院</w:t>
            </w:r>
            <w:r>
              <w:rPr>
                <w:sz w:val="24"/>
              </w:rPr>
              <w:t>改建为三台县中医院，</w:t>
            </w:r>
            <w:r>
              <w:rPr>
                <w:rFonts w:ascii="Times New Roman" w:eastAsia="Times New Roman"/>
                <w:sz w:val="24"/>
              </w:rPr>
              <w:t>1987</w:t>
            </w:r>
            <w:r>
              <w:rPr>
                <w:rFonts w:ascii="Times New Roman" w:eastAsia="Times New Roman"/>
                <w:spacing w:val="10"/>
                <w:sz w:val="24"/>
              </w:rPr>
              <w:t> </w:t>
            </w:r>
            <w:r>
              <w:rPr>
                <w:sz w:val="24"/>
              </w:rPr>
              <w:t>年转为全民所有制事业单位。</w:t>
            </w:r>
            <w:r>
              <w:rPr>
                <w:rFonts w:ascii="Times New Roman" w:eastAsia="Times New Roman"/>
                <w:sz w:val="24"/>
              </w:rPr>
              <w:t>1990</w:t>
            </w:r>
            <w:r>
              <w:rPr>
                <w:rFonts w:ascii="Times New Roman" w:eastAsia="Times New Roman"/>
                <w:spacing w:val="10"/>
                <w:sz w:val="24"/>
              </w:rPr>
              <w:t> </w:t>
            </w:r>
            <w:r>
              <w:rPr>
                <w:sz w:val="24"/>
              </w:rPr>
              <w:t>年、</w:t>
            </w:r>
            <w:r>
              <w:rPr>
                <w:rFonts w:ascii="Times New Roman" w:eastAsia="Times New Roman"/>
                <w:sz w:val="24"/>
              </w:rPr>
              <w:t>1998</w:t>
            </w:r>
            <w:r>
              <w:rPr>
                <w:rFonts w:ascii="Times New Roman" w:eastAsia="Times New Roman"/>
                <w:spacing w:val="10"/>
                <w:sz w:val="24"/>
              </w:rPr>
              <w:t> </w:t>
            </w:r>
            <w:r>
              <w:rPr>
                <w:spacing w:val="-3"/>
                <w:sz w:val="24"/>
              </w:rPr>
              <w:t>年分别荣获</w:t>
            </w:r>
          </w:p>
          <w:p>
            <w:pPr>
              <w:pStyle w:val="TableParagraph"/>
              <w:spacing w:before="1"/>
              <w:ind w:left="107" w:right="-29"/>
              <w:jc w:val="left"/>
              <w:rPr>
                <w:sz w:val="24"/>
              </w:rPr>
            </w:pPr>
            <w:r>
              <w:rPr>
                <w:spacing w:val="-6"/>
                <w:sz w:val="24"/>
              </w:rPr>
              <w:t>“省级文明单位”和“十佳中医医院”称号。</w:t>
            </w:r>
            <w:r>
              <w:rPr>
                <w:rFonts w:ascii="Times New Roman" w:hAnsi="Times New Roman" w:eastAsia="Times New Roman"/>
                <w:sz w:val="24"/>
              </w:rPr>
              <w:t>2005</w:t>
            </w:r>
            <w:r>
              <w:rPr>
                <w:rFonts w:ascii="Times New Roman" w:hAnsi="Times New Roman" w:eastAsia="Times New Roman"/>
                <w:spacing w:val="-1"/>
                <w:sz w:val="24"/>
              </w:rPr>
              <w:t> </w:t>
            </w:r>
            <w:r>
              <w:rPr>
                <w:spacing w:val="-30"/>
                <w:sz w:val="24"/>
              </w:rPr>
              <w:t>年 </w:t>
            </w:r>
            <w:r>
              <w:rPr>
                <w:rFonts w:ascii="Times New Roman" w:hAnsi="Times New Roman" w:eastAsia="Times New Roman"/>
                <w:spacing w:val="-5"/>
                <w:sz w:val="24"/>
              </w:rPr>
              <w:t>11</w:t>
            </w:r>
            <w:r>
              <w:rPr>
                <w:rFonts w:ascii="Times New Roman" w:hAnsi="Times New Roman" w:eastAsia="Times New Roman"/>
                <w:sz w:val="24"/>
              </w:rPr>
              <w:t> </w:t>
            </w:r>
            <w:r>
              <w:rPr>
                <w:spacing w:val="-2"/>
                <w:sz w:val="24"/>
              </w:rPr>
              <w:t>月被四川省人事厅、卫生厅、</w:t>
            </w:r>
          </w:p>
          <w:p>
            <w:pPr>
              <w:pStyle w:val="TableParagraph"/>
              <w:spacing w:before="160"/>
              <w:ind w:left="107"/>
              <w:jc w:val="left"/>
              <w:rPr>
                <w:sz w:val="24"/>
              </w:rPr>
            </w:pPr>
            <w:r>
              <w:rPr>
                <w:spacing w:val="-14"/>
                <w:sz w:val="24"/>
              </w:rPr>
              <w:t>省中医药管理局表彰为“全省卫生系统先进集体”。是一所非营利性中医医院、国家二</w:t>
            </w:r>
          </w:p>
        </w:tc>
      </w:tr>
    </w:tbl>
    <w:p>
      <w:pPr>
        <w:spacing w:after="0"/>
        <w:jc w:val="left"/>
        <w:rPr>
          <w:sz w:val="24"/>
        </w:rPr>
        <w:sectPr>
          <w:footerReference w:type="default" r:id="rId5"/>
          <w:pgSz w:w="11910" w:h="16840"/>
          <w:pgMar w:footer="949" w:header="0" w:top="1320" w:bottom="1140" w:left="1520" w:right="1060"/>
          <w:pgNumType w:start="1"/>
        </w:sectPr>
      </w:pPr>
    </w:p>
    <w:p>
      <w:pPr>
        <w:pStyle w:val="BodyText"/>
        <w:spacing w:line="364" w:lineRule="auto" w:before="100"/>
        <w:ind w:left="232" w:right="233"/>
        <w:jc w:val="both"/>
      </w:pPr>
      <w:r>
        <w:rPr/>
        <w:pict>
          <v:group style="position:absolute;margin-left:81.959999pt;margin-top:62.399937pt;width:454.1pt;height:703pt;mso-position-horizontal-relative:page;mso-position-vertical-relative:page;z-index:-212224" coordorigin="1639,1248" coordsize="9082,14060">
            <v:line style="position:absolute" from="1639,1253" to="10711,1253" stroked="true" strokeweight=".479999pt" strokecolor="#000000">
              <v:stroke dashstyle="solid"/>
            </v:line>
            <v:line style="position:absolute" from="1644,1258" to="1644,15307" stroked="true" strokeweight=".479999pt" strokecolor="#000000">
              <v:stroke dashstyle="solid"/>
            </v:line>
            <v:line style="position:absolute" from="1639,15302" to="10711,15302" stroked="true" strokeweight=".479965pt" strokecolor="#000000">
              <v:stroke dashstyle="solid"/>
            </v:line>
            <v:line style="position:absolute" from="10716,1248" to="10716,15307" stroked="true" strokeweight=".479966pt" strokecolor="#000000">
              <v:stroke dashstyle="solid"/>
            </v:line>
            <w10:wrap type="none"/>
          </v:group>
        </w:pict>
      </w:r>
      <w:r>
        <w:rPr>
          <w:spacing w:val="-5"/>
        </w:rPr>
        <w:t>级甲等中医院、国家爱婴医院、三台职工医疗保险、交通事故救治、残疾人残疾等级</w:t>
      </w:r>
      <w:r>
        <w:rPr/>
        <w:t>鉴定的定点医院。</w:t>
      </w:r>
    </w:p>
    <w:p>
      <w:pPr>
        <w:pStyle w:val="BodyText"/>
        <w:spacing w:line="364" w:lineRule="auto" w:before="2"/>
        <w:ind w:left="232" w:right="116" w:firstLine="480"/>
      </w:pPr>
      <w:r>
        <w:rPr>
          <w:spacing w:val="-9"/>
        </w:rPr>
        <w:t>医院占地面积 </w:t>
      </w:r>
      <w:r>
        <w:rPr>
          <w:rFonts w:ascii="Times New Roman" w:hAnsi="Times New Roman" w:eastAsia="Times New Roman"/>
        </w:rPr>
        <w:t>30 </w:t>
      </w:r>
      <w:r>
        <w:rPr>
          <w:spacing w:val="-11"/>
        </w:rPr>
        <w:t>亩，建筑总面积 </w:t>
      </w:r>
      <w:r>
        <w:rPr>
          <w:rFonts w:ascii="Times New Roman" w:hAnsi="Times New Roman" w:eastAsia="Times New Roman"/>
        </w:rPr>
        <w:t>4.2</w:t>
      </w:r>
      <w:r>
        <w:rPr>
          <w:rFonts w:ascii="Times New Roman" w:hAnsi="Times New Roman" w:eastAsia="Times New Roman"/>
          <w:spacing w:val="-1"/>
        </w:rPr>
        <w:t> </w:t>
      </w:r>
      <w:r>
        <w:rPr>
          <w:spacing w:val="-8"/>
        </w:rPr>
        <w:t>万平方米，编制床位 </w:t>
      </w:r>
      <w:r>
        <w:rPr>
          <w:rFonts w:ascii="Times New Roman" w:hAnsi="Times New Roman" w:eastAsia="Times New Roman"/>
        </w:rPr>
        <w:t>450</w:t>
      </w:r>
      <w:r>
        <w:rPr>
          <w:rFonts w:ascii="Times New Roman" w:hAnsi="Times New Roman" w:eastAsia="Times New Roman"/>
          <w:spacing w:val="-1"/>
        </w:rPr>
        <w:t> </w:t>
      </w:r>
      <w:r>
        <w:rPr>
          <w:spacing w:val="-12"/>
        </w:rPr>
        <w:t>张，开放床位 </w:t>
      </w:r>
      <w:r>
        <w:rPr>
          <w:rFonts w:ascii="Times New Roman" w:hAnsi="Times New Roman" w:eastAsia="Times New Roman"/>
        </w:rPr>
        <w:t>800 </w:t>
      </w:r>
      <w:r>
        <w:rPr>
          <w:spacing w:val="-8"/>
        </w:rPr>
        <w:t>张，开设治未病、骨伤、推拿、针灸、肛肠等 </w:t>
      </w:r>
      <w:r>
        <w:rPr>
          <w:rFonts w:ascii="Times New Roman" w:hAnsi="Times New Roman" w:eastAsia="Times New Roman"/>
        </w:rPr>
        <w:t>22 </w:t>
      </w:r>
      <w:r>
        <w:rPr>
          <w:spacing w:val="-6"/>
        </w:rPr>
        <w:t>个临床科室和检验、放射等 </w:t>
      </w:r>
      <w:r>
        <w:rPr>
          <w:rFonts w:ascii="Times New Roman" w:hAnsi="Times New Roman" w:eastAsia="Times New Roman"/>
        </w:rPr>
        <w:t>10</w:t>
      </w:r>
      <w:r>
        <w:rPr>
          <w:rFonts w:ascii="Times New Roman" w:hAnsi="Times New Roman" w:eastAsia="Times New Roman"/>
          <w:spacing w:val="1"/>
        </w:rPr>
        <w:t> </w:t>
      </w:r>
      <w:r>
        <w:rPr/>
        <w:t>个医</w:t>
      </w:r>
      <w:r>
        <w:rPr>
          <w:spacing w:val="-8"/>
        </w:rPr>
        <w:t>技科室，其中省级重点中医专科 </w:t>
      </w:r>
      <w:r>
        <w:rPr>
          <w:rFonts w:ascii="Times New Roman" w:hAnsi="Times New Roman" w:eastAsia="Times New Roman"/>
        </w:rPr>
        <w:t>3 </w:t>
      </w:r>
      <w:r>
        <w:rPr>
          <w:spacing w:val="-17"/>
        </w:rPr>
        <w:t>个</w:t>
      </w:r>
      <w:r>
        <w:rPr/>
        <w:t>（</w:t>
      </w:r>
      <w:r>
        <w:rPr>
          <w:spacing w:val="-6"/>
        </w:rPr>
        <w:t>儿科、肛肠科、针灸科</w:t>
      </w:r>
      <w:r>
        <w:rPr>
          <w:spacing w:val="-120"/>
        </w:rPr>
        <w:t>）</w:t>
      </w:r>
      <w:r>
        <w:rPr>
          <w:spacing w:val="-10"/>
        </w:rPr>
        <w:t>、市级重点中医专科 </w:t>
      </w:r>
      <w:r>
        <w:rPr>
          <w:rFonts w:ascii="Times New Roman" w:hAnsi="Times New Roman" w:eastAsia="Times New Roman"/>
        </w:rPr>
        <w:t>5 </w:t>
      </w:r>
      <w:r>
        <w:rPr>
          <w:spacing w:val="-22"/>
        </w:rPr>
        <w:t>个</w:t>
      </w:r>
      <w:r>
        <w:rPr/>
        <w:t>（</w:t>
      </w:r>
      <w:r>
        <w:rPr>
          <w:spacing w:val="-11"/>
        </w:rPr>
        <w:t>肺病科、骨伤科、妇科、心病科、脾胃病科</w:t>
      </w:r>
      <w:r>
        <w:rPr>
          <w:spacing w:val="-120"/>
        </w:rPr>
        <w:t>）</w:t>
      </w:r>
      <w:r>
        <w:rPr>
          <w:spacing w:val="-22"/>
        </w:rPr>
        <w:t>。拥有 </w:t>
      </w:r>
      <w:r>
        <w:rPr>
          <w:rFonts w:ascii="Times New Roman" w:hAnsi="Times New Roman" w:eastAsia="Times New Roman"/>
        </w:rPr>
        <w:t>GE</w:t>
      </w:r>
      <w:r>
        <w:rPr>
          <w:rFonts w:ascii="Times New Roman" w:hAnsi="Times New Roman" w:eastAsia="Times New Roman"/>
          <w:spacing w:val="-15"/>
        </w:rPr>
        <w:t> </w:t>
      </w:r>
      <w:r>
        <w:rPr>
          <w:rFonts w:ascii="Times New Roman" w:hAnsi="Times New Roman" w:eastAsia="Times New Roman"/>
        </w:rPr>
        <w:t>680CT</w:t>
      </w:r>
      <w:r>
        <w:rPr>
          <w:spacing w:val="-6"/>
        </w:rPr>
        <w:t>、飞利浦核磁共振、</w:t>
      </w:r>
      <w:r>
        <w:rPr>
          <w:spacing w:val="-2"/>
        </w:rPr>
        <w:t>电子胃镜肠镜、三维彩超等大型高档医疗设备，现有员工 </w:t>
      </w:r>
      <w:r>
        <w:rPr>
          <w:rFonts w:ascii="Times New Roman" w:hAnsi="Times New Roman" w:eastAsia="Times New Roman"/>
        </w:rPr>
        <w:t>620</w:t>
      </w:r>
      <w:r>
        <w:rPr>
          <w:rFonts w:ascii="Times New Roman" w:hAnsi="Times New Roman" w:eastAsia="Times New Roman"/>
          <w:spacing w:val="11"/>
        </w:rPr>
        <w:t> </w:t>
      </w:r>
      <w:r>
        <w:rPr>
          <w:spacing w:val="-6"/>
        </w:rPr>
        <w:t>人，专业技术人才 </w:t>
      </w:r>
      <w:r>
        <w:rPr>
          <w:rFonts w:ascii="Times New Roman" w:hAnsi="Times New Roman" w:eastAsia="Times New Roman"/>
        </w:rPr>
        <w:t>450 </w:t>
      </w:r>
      <w:r>
        <w:rPr>
          <w:spacing w:val="-9"/>
        </w:rPr>
        <w:t>名，中级职称以上人员 </w:t>
      </w:r>
      <w:r>
        <w:rPr>
          <w:rFonts w:ascii="Times New Roman" w:hAnsi="Times New Roman" w:eastAsia="Times New Roman"/>
        </w:rPr>
        <w:t>163</w:t>
      </w:r>
      <w:r>
        <w:rPr>
          <w:rFonts w:ascii="Times New Roman" w:hAnsi="Times New Roman" w:eastAsia="Times New Roman"/>
          <w:spacing w:val="-1"/>
        </w:rPr>
        <w:t> </w:t>
      </w:r>
      <w:r>
        <w:rPr>
          <w:spacing w:val="-7"/>
        </w:rPr>
        <w:t>名。荣获国家中药特色技术传承人 </w:t>
      </w:r>
      <w:r>
        <w:rPr>
          <w:rFonts w:ascii="Times New Roman" w:hAnsi="Times New Roman" w:eastAsia="Times New Roman"/>
        </w:rPr>
        <w:t>1 </w:t>
      </w:r>
      <w:r>
        <w:rPr>
          <w:spacing w:val="-3"/>
        </w:rPr>
        <w:t>名、四川省优秀中医</w:t>
      </w:r>
      <w:r>
        <w:rPr>
          <w:spacing w:val="-23"/>
        </w:rPr>
        <w:t>人才 </w:t>
      </w:r>
      <w:r>
        <w:rPr>
          <w:rFonts w:ascii="Times New Roman" w:hAnsi="Times New Roman" w:eastAsia="Times New Roman"/>
        </w:rPr>
        <w:t>2 </w:t>
      </w:r>
      <w:r>
        <w:rPr>
          <w:spacing w:val="-5"/>
        </w:rPr>
        <w:t>人、省市县级“名中医”称号 </w:t>
      </w:r>
      <w:r>
        <w:rPr>
          <w:rFonts w:ascii="Times New Roman" w:hAnsi="Times New Roman" w:eastAsia="Times New Roman"/>
        </w:rPr>
        <w:t>9 </w:t>
      </w:r>
      <w:r>
        <w:rPr/>
        <w:t>名。建成“医学急救、医疗康复、教学科研、预防保健、健康管理、社区服务”六位一体的、中医药特色鲜明的综合性中医院。</w:t>
      </w:r>
    </w:p>
    <w:p>
      <w:pPr>
        <w:pStyle w:val="BodyText"/>
        <w:spacing w:before="4"/>
        <w:ind w:left="714"/>
      </w:pPr>
      <w:r>
        <w:rPr/>
        <w:t>二、任务由来</w:t>
      </w:r>
      <w:r>
        <w:rPr>
          <w:w w:val="50"/>
        </w:rPr>
        <w:t> </w:t>
      </w:r>
    </w:p>
    <w:p>
      <w:pPr>
        <w:pStyle w:val="BodyText"/>
        <w:spacing w:line="364" w:lineRule="auto" w:before="161"/>
        <w:ind w:left="232" w:right="233" w:firstLine="480"/>
        <w:jc w:val="both"/>
        <w:rPr>
          <w:rFonts w:ascii="Times New Roman" w:eastAsia="Times New Roman"/>
        </w:rPr>
      </w:pPr>
      <w:r>
        <w:rPr>
          <w:spacing w:val="-3"/>
        </w:rPr>
        <w:t>随着医疗器械技术的发展进步，为了适应医疗保健事业和医院的发展需求，提高</w:t>
      </w:r>
      <w:r>
        <w:rPr>
          <w:spacing w:val="-5"/>
        </w:rPr>
        <w:t>医疗服务质量，满足患者的治疗需要，三台县中医院拟在行政楼 </w:t>
      </w:r>
      <w:r>
        <w:rPr>
          <w:rFonts w:ascii="Times New Roman" w:eastAsia="Times New Roman"/>
        </w:rPr>
        <w:t>1 </w:t>
      </w:r>
      <w:r>
        <w:rPr>
          <w:spacing w:val="-2"/>
        </w:rPr>
        <w:t>楼西南部将原天井</w:t>
      </w:r>
      <w:r>
        <w:rPr>
          <w:spacing w:val="-14"/>
        </w:rPr>
        <w:t>区域、教室、教师办公室及通道区域等改建为数字减影血管造影机</w:t>
      </w:r>
      <w:r>
        <w:rPr/>
        <w:t>（</w:t>
      </w:r>
      <w:r>
        <w:rPr>
          <w:rFonts w:ascii="Times New Roman" w:eastAsia="Times New Roman"/>
        </w:rPr>
        <w:t>Digital Subtraction</w:t>
      </w:r>
    </w:p>
    <w:p>
      <w:pPr>
        <w:pStyle w:val="BodyText"/>
        <w:spacing w:line="364" w:lineRule="auto" w:before="2"/>
        <w:ind w:left="232" w:right="236"/>
        <w:jc w:val="both"/>
      </w:pPr>
      <w:r>
        <w:rPr>
          <w:rFonts w:ascii="Times New Roman" w:hAnsi="Times New Roman" w:eastAsia="Times New Roman"/>
        </w:rPr>
        <w:t>Angiography</w:t>
      </w:r>
      <w:r>
        <w:rPr>
          <w:spacing w:val="-1"/>
        </w:rPr>
        <w:t>，简称“</w:t>
      </w:r>
      <w:r>
        <w:rPr>
          <w:rFonts w:ascii="Times New Roman" w:hAnsi="Times New Roman" w:eastAsia="Times New Roman"/>
          <w:spacing w:val="-3"/>
        </w:rPr>
        <w:t>DSA</w:t>
      </w:r>
      <w:r>
        <w:rPr>
          <w:spacing w:val="-3"/>
        </w:rPr>
        <w:t>”）</w:t>
      </w:r>
      <w:r>
        <w:rPr>
          <w:spacing w:val="-8"/>
        </w:rPr>
        <w:t>机房及配套用房，并新增使用 </w:t>
      </w:r>
      <w:r>
        <w:rPr>
          <w:rFonts w:ascii="Times New Roman" w:hAnsi="Times New Roman" w:eastAsia="Times New Roman"/>
        </w:rPr>
        <w:t>1 </w:t>
      </w:r>
      <w:r>
        <w:rPr>
          <w:spacing w:val="-33"/>
        </w:rPr>
        <w:t>台 </w:t>
      </w:r>
      <w:r>
        <w:rPr>
          <w:rFonts w:ascii="Times New Roman" w:hAnsi="Times New Roman" w:eastAsia="Times New Roman"/>
          <w:spacing w:val="-5"/>
        </w:rPr>
        <w:t>DSA</w:t>
      </w:r>
      <w:r>
        <w:rPr>
          <w:spacing w:val="-2"/>
        </w:rPr>
        <w:t>，属于</w:t>
      </w:r>
      <w:r>
        <w:rPr>
          <w:rFonts w:ascii="Times New Roman" w:hAnsi="Times New Roman" w:eastAsia="Times New Roman"/>
        </w:rPr>
        <w:t>Ⅱ</w:t>
      </w:r>
      <w:r>
        <w:rPr/>
        <w:t>类射线装置，主要用于介入诊断治疗。</w:t>
      </w:r>
    </w:p>
    <w:p>
      <w:pPr>
        <w:pStyle w:val="BodyText"/>
        <w:spacing w:before="1"/>
        <w:ind w:left="714"/>
      </w:pPr>
      <w:r>
        <w:rPr/>
        <w:t>三、编制目的</w:t>
      </w:r>
      <w:r>
        <w:rPr>
          <w:w w:val="50"/>
        </w:rPr>
        <w:t> </w:t>
      </w:r>
    </w:p>
    <w:p>
      <w:pPr>
        <w:pStyle w:val="BodyText"/>
        <w:spacing w:line="364" w:lineRule="auto" w:before="160"/>
        <w:ind w:left="232" w:right="116" w:firstLine="480"/>
      </w:pPr>
      <w:r>
        <w:rPr>
          <w:spacing w:val="-2"/>
        </w:rPr>
        <w:t>为加强核技术应用项目的辐射环境管理，防止辐射污染和意外事故的发生，确保</w:t>
      </w:r>
      <w:r>
        <w:rPr>
          <w:spacing w:val="-4"/>
        </w:rPr>
        <w:t>其使用过程不对周围环境和工作人员及公众产生不良影响，根据《中华人民共和国环</w:t>
      </w:r>
      <w:r>
        <w:rPr>
          <w:spacing w:val="-28"/>
        </w:rPr>
        <w:t>境保护法》</w:t>
      </w:r>
      <w:r>
        <w:rPr>
          <w:spacing w:val="-22"/>
        </w:rPr>
        <w:t>、《中华人民共和国环境影响评价法》</w:t>
      </w:r>
      <w:r>
        <w:rPr>
          <w:spacing w:val="-16"/>
        </w:rPr>
        <w:t>、《中华人民共和国放射性污染防治法》</w:t>
      </w:r>
      <w:r>
        <w:rPr>
          <w:spacing w:val="-5"/>
        </w:rPr>
        <w:t>和《放射性同位素与射线装置防护条例》等相关法律法规要求，建设方三台县中医院需对该项目进行环境影响评价。</w:t>
      </w:r>
    </w:p>
    <w:p>
      <w:pPr>
        <w:pStyle w:val="BodyText"/>
        <w:spacing w:line="364" w:lineRule="auto" w:before="3"/>
        <w:ind w:left="232" w:right="116" w:firstLine="480"/>
        <w:jc w:val="both"/>
      </w:pPr>
      <w:r>
        <w:rPr>
          <w:spacing w:val="-7"/>
        </w:rPr>
        <w:t>根据生态环境部令第 </w:t>
      </w:r>
      <w:r>
        <w:rPr>
          <w:rFonts w:ascii="Times New Roman" w:hAnsi="Times New Roman" w:eastAsia="Times New Roman"/>
        </w:rPr>
        <w:t>16 </w:t>
      </w:r>
      <w:r>
        <w:rPr/>
        <w:t>号《建设项目环境影响评价分类管理名录（</w:t>
      </w:r>
      <w:r>
        <w:rPr>
          <w:rFonts w:ascii="Times New Roman" w:hAnsi="Times New Roman" w:eastAsia="Times New Roman"/>
        </w:rPr>
        <w:t>2021 </w:t>
      </w:r>
      <w:r>
        <w:rPr/>
        <w:t>年版</w:t>
      </w:r>
      <w:r>
        <w:rPr>
          <w:spacing w:val="-120"/>
        </w:rPr>
        <w:t>）</w:t>
      </w:r>
      <w:r>
        <w:rPr/>
        <w:t>》</w:t>
      </w:r>
      <w:r>
        <w:rPr>
          <w:spacing w:val="-5"/>
        </w:rPr>
        <w:t>及《关于发布</w:t>
      </w:r>
      <w:r>
        <w:rPr>
          <w:rFonts w:ascii="Times New Roman" w:hAnsi="Times New Roman" w:eastAsia="Times New Roman"/>
        </w:rPr>
        <w:t>&lt;</w:t>
      </w:r>
      <w:r>
        <w:rPr/>
        <w:t>射线装置分类</w:t>
      </w:r>
      <w:r>
        <w:rPr>
          <w:rFonts w:ascii="Times New Roman" w:hAnsi="Times New Roman" w:eastAsia="Times New Roman"/>
        </w:rPr>
        <w:t>&gt;</w:t>
      </w:r>
      <w:r>
        <w:rPr>
          <w:spacing w:val="-24"/>
        </w:rPr>
        <w:t>办法的公告》</w:t>
      </w:r>
      <w:r>
        <w:rPr/>
        <w:t>（</w:t>
      </w:r>
      <w:r>
        <w:rPr>
          <w:spacing w:val="-9"/>
        </w:rPr>
        <w:t>国家生态环境部，公告 </w:t>
      </w:r>
      <w:r>
        <w:rPr>
          <w:rFonts w:ascii="Times New Roman" w:hAnsi="Times New Roman" w:eastAsia="Times New Roman"/>
        </w:rPr>
        <w:t>2017 </w:t>
      </w:r>
      <w:r>
        <w:rPr>
          <w:spacing w:val="-21"/>
        </w:rPr>
        <w:t>年第 </w:t>
      </w:r>
      <w:r>
        <w:rPr>
          <w:rFonts w:ascii="Times New Roman" w:hAnsi="Times New Roman" w:eastAsia="Times New Roman"/>
        </w:rPr>
        <w:t>66 </w:t>
      </w:r>
      <w:r>
        <w:rPr/>
        <w:t>号） </w:t>
      </w:r>
      <w:r>
        <w:rPr>
          <w:spacing w:val="-9"/>
        </w:rPr>
        <w:t>中对射线装置的分类，本项目属于“第 </w:t>
      </w:r>
      <w:r>
        <w:rPr>
          <w:rFonts w:ascii="Times New Roman" w:hAnsi="Times New Roman" w:eastAsia="Times New Roman"/>
        </w:rPr>
        <w:t>172 </w:t>
      </w:r>
      <w:r>
        <w:rPr>
          <w:spacing w:val="-6"/>
        </w:rPr>
        <w:t>条 核技术利用建设项目”中“</w:t>
      </w:r>
      <w:r>
        <w:rPr>
          <w:spacing w:val="-6"/>
          <w:u w:val="single"/>
        </w:rPr>
        <w:t>生产、使用</w:t>
      </w:r>
    </w:p>
    <w:p>
      <w:pPr>
        <w:pStyle w:val="BodyText"/>
        <w:spacing w:line="364" w:lineRule="auto" w:before="2"/>
        <w:ind w:left="232" w:right="236"/>
        <w:jc w:val="both"/>
      </w:pPr>
      <w:r>
        <w:rPr>
          <w:w w:val="95"/>
          <w:u w:val="single"/>
        </w:rPr>
        <w:t>Ⅱ类射线装置的</w:t>
      </w:r>
      <w:r>
        <w:rPr>
          <w:spacing w:val="-16"/>
          <w:w w:val="95"/>
        </w:rPr>
        <w:t>”，应编制环境影响报告表，并根据四川省生态环境厅《关于调整建设  </w:t>
      </w:r>
      <w:r>
        <w:rPr/>
        <w:t>项目环境影响评价文件分级审批权限的公告</w:t>
      </w:r>
      <w:r>
        <w:rPr>
          <w:spacing w:val="-164"/>
        </w:rPr>
        <w:t>》</w:t>
      </w:r>
      <w:r>
        <w:rPr/>
        <w:t>（</w:t>
      </w:r>
      <w:r>
        <w:rPr>
          <w:rFonts w:ascii="Times New Roman" w:hAnsi="Times New Roman" w:eastAsia="Times New Roman"/>
        </w:rPr>
        <w:t>2019 </w:t>
      </w:r>
      <w:r>
        <w:rPr>
          <w:spacing w:val="-21"/>
        </w:rPr>
        <w:t>年第 </w:t>
      </w:r>
      <w:r>
        <w:rPr>
          <w:rFonts w:ascii="Times New Roman" w:hAnsi="Times New Roman" w:eastAsia="Times New Roman"/>
        </w:rPr>
        <w:t>2 </w:t>
      </w:r>
      <w:r>
        <w:rPr/>
        <w:t>号文</w:t>
      </w:r>
      <w:r>
        <w:rPr>
          <w:spacing w:val="-81"/>
        </w:rPr>
        <w:t>）</w:t>
      </w:r>
      <w:r>
        <w:rPr>
          <w:spacing w:val="-13"/>
        </w:rPr>
        <w:t>，本项目应报成都市</w:t>
      </w:r>
      <w:r>
        <w:rPr/>
        <w:t>生态环境局审查批准，并在取得环评批复后及时重新申领辐射安全许可证。</w:t>
      </w:r>
    </w:p>
    <w:p>
      <w:pPr>
        <w:pStyle w:val="BodyText"/>
        <w:spacing w:line="364" w:lineRule="auto" w:before="2"/>
        <w:ind w:left="232" w:right="236" w:firstLine="480"/>
      </w:pPr>
      <w:r>
        <w:rPr>
          <w:spacing w:val="-6"/>
        </w:rPr>
        <w:t>为此，三台县中医院委托南京瑞森辐射技术有限公司对该项目开展环境影响评价</w:t>
      </w:r>
      <w:r>
        <w:rPr>
          <w:spacing w:val="-11"/>
        </w:rPr>
        <w:t>工作</w:t>
      </w:r>
      <w:r>
        <w:rPr/>
        <w:t>（</w:t>
      </w:r>
      <w:r>
        <w:rPr>
          <w:spacing w:val="-9"/>
        </w:rPr>
        <w:t>委托书见附件 </w:t>
      </w:r>
      <w:r>
        <w:rPr>
          <w:rFonts w:ascii="Times New Roman" w:eastAsia="Times New Roman"/>
        </w:rPr>
        <w:t>1</w:t>
      </w:r>
      <w:r>
        <w:rPr>
          <w:spacing w:val="-120"/>
        </w:rPr>
        <w:t>）</w:t>
      </w:r>
      <w:r>
        <w:rPr>
          <w:spacing w:val="-8"/>
        </w:rPr>
        <w:t>。南京瑞森辐射技术有限公司接受委托后，通过现场勘察、收</w:t>
      </w:r>
    </w:p>
    <w:p>
      <w:pPr>
        <w:spacing w:after="0" w:line="364" w:lineRule="auto"/>
        <w:sectPr>
          <w:pgSz w:w="11910" w:h="16840"/>
          <w:pgMar w:header="0" w:footer="949" w:top="1220" w:bottom="1220" w:left="1520" w:right="1060"/>
        </w:sectPr>
      </w:pPr>
    </w:p>
    <w:p>
      <w:pPr>
        <w:pStyle w:val="BodyText"/>
        <w:spacing w:line="364" w:lineRule="auto" w:before="100"/>
        <w:ind w:left="232" w:right="236"/>
        <w:jc w:val="both"/>
      </w:pPr>
      <w:r>
        <w:rPr/>
        <w:pict>
          <v:group style="position:absolute;margin-left:81.959999pt;margin-top:62.399937pt;width:454.1pt;height:703pt;mso-position-horizontal-relative:page;mso-position-vertical-relative:page;z-index:-212200" coordorigin="1639,1248" coordsize="9082,14060">
            <v:line style="position:absolute" from="1639,1253" to="10711,1253" stroked="true" strokeweight=".479999pt" strokecolor="#000000">
              <v:stroke dashstyle="solid"/>
            </v:line>
            <v:line style="position:absolute" from="1644,1258" to="1644,15307" stroked="true" strokeweight=".479999pt" strokecolor="#000000">
              <v:stroke dashstyle="solid"/>
            </v:line>
            <v:line style="position:absolute" from="1639,15302" to="10711,15302" stroked="true" strokeweight=".479965pt" strokecolor="#000000">
              <v:stroke dashstyle="solid"/>
            </v:line>
            <v:line style="position:absolute" from="10716,1248" to="10716,15307" stroked="true" strokeweight=".479966pt" strokecolor="#000000">
              <v:stroke dashstyle="solid"/>
            </v:line>
            <w10:wrap type="none"/>
          </v:group>
        </w:pict>
      </w:r>
      <w:r>
        <w:rPr>
          <w:spacing w:val="-2"/>
        </w:rPr>
        <w:t>集资料并结合四川瑞迪森检测技术有限公司现场监测等工作的基础上，结合本项目的</w:t>
      </w:r>
      <w:r>
        <w:rPr>
          <w:spacing w:val="-6"/>
        </w:rPr>
        <w:t>特点，按照国家有关技术规范要求，编制了《三台县中医院新增数字减影血管造影机</w:t>
      </w:r>
      <w:r>
        <w:rPr>
          <w:spacing w:val="-10"/>
        </w:rPr>
        <w:t>使用项目环境影响报告表》。为进一步保障公众对环境保护的参与权、知情权和监督</w:t>
      </w:r>
      <w:r>
        <w:rPr>
          <w:spacing w:val="-8"/>
        </w:rPr>
        <w:t>权，加强环境影响评价工作的公开、透明，建设单位已在向生态环境主管部门提交建</w:t>
      </w:r>
      <w:r>
        <w:rPr>
          <w:spacing w:val="-2"/>
        </w:rPr>
        <w:t>设项目环境影响报告表前，依法主动公开建设项目环境影响报告表全本信息</w:t>
      </w:r>
      <w:r>
        <w:rPr/>
        <w:t>（</w:t>
      </w:r>
      <w:r>
        <w:rPr>
          <w:spacing w:val="-6"/>
        </w:rPr>
        <w:t>详见附</w:t>
      </w:r>
      <w:r>
        <w:rPr>
          <w:spacing w:val="-30"/>
        </w:rPr>
        <w:t>件 </w:t>
      </w:r>
      <w:r>
        <w:rPr>
          <w:rFonts w:ascii="Times New Roman" w:eastAsia="Times New Roman"/>
        </w:rPr>
        <w:t>9</w:t>
      </w:r>
      <w:r>
        <w:rPr>
          <w:spacing w:val="-120"/>
        </w:rPr>
        <w:t>）</w:t>
      </w:r>
      <w:r>
        <w:rPr>
          <w:spacing w:val="-1"/>
        </w:rPr>
        <w:t>。</w:t>
      </w:r>
      <w:r>
        <w:rPr>
          <w:w w:val="50"/>
        </w:rPr>
        <w:t> </w:t>
      </w:r>
    </w:p>
    <w:p>
      <w:pPr>
        <w:pStyle w:val="BodyText"/>
        <w:spacing w:before="4"/>
        <w:ind w:left="714"/>
      </w:pPr>
      <w:r>
        <w:rPr/>
        <w:t>四、项目概况</w:t>
      </w:r>
      <w:r>
        <w:rPr>
          <w:w w:val="50"/>
        </w:rPr>
        <w:t> </w:t>
      </w:r>
    </w:p>
    <w:p>
      <w:pPr>
        <w:pStyle w:val="BodyText"/>
        <w:spacing w:line="364" w:lineRule="auto" w:before="161"/>
        <w:ind w:left="714" w:right="2365"/>
      </w:pPr>
      <w:r>
        <w:rPr/>
        <w:t>项目名称：三台县中医院新增数字减影血管造影机使用项目建设单位：三台县中医院</w:t>
      </w:r>
    </w:p>
    <w:p>
      <w:pPr>
        <w:pStyle w:val="BodyText"/>
        <w:spacing w:before="1"/>
        <w:ind w:left="714"/>
      </w:pPr>
      <w:r>
        <w:rPr/>
        <w:t>项目性质：改建</w:t>
      </w:r>
    </w:p>
    <w:p>
      <w:pPr>
        <w:pStyle w:val="BodyText"/>
        <w:spacing w:before="160"/>
        <w:ind w:left="714"/>
      </w:pPr>
      <w:r>
        <w:rPr/>
        <w:t>建设地点：四川省绵阳市三台县潼川镇学街 </w:t>
      </w:r>
      <w:r>
        <w:rPr>
          <w:rFonts w:ascii="Times New Roman" w:eastAsia="Times New Roman"/>
        </w:rPr>
        <w:t>31 </w:t>
      </w:r>
      <w:r>
        <w:rPr/>
        <w:t>号三台县中医院内</w:t>
      </w:r>
    </w:p>
    <w:p>
      <w:pPr>
        <w:pStyle w:val="BodyText"/>
        <w:spacing w:before="161"/>
        <w:ind w:left="714"/>
      </w:pPr>
      <w:r>
        <w:rPr/>
        <w:t>1、建设内容与规模</w:t>
      </w:r>
      <w:r>
        <w:rPr>
          <w:w w:val="50"/>
        </w:rPr>
        <w:t> </w:t>
      </w:r>
    </w:p>
    <w:p>
      <w:pPr>
        <w:pStyle w:val="BodyText"/>
        <w:spacing w:line="364" w:lineRule="auto" w:before="160"/>
        <w:ind w:left="232" w:right="116" w:firstLine="480"/>
      </w:pPr>
      <w:r>
        <w:rPr>
          <w:spacing w:val="-1"/>
        </w:rPr>
        <w:t>本项目位于四川省绵阳市三台县潼川镇学街 </w:t>
      </w:r>
      <w:r>
        <w:rPr>
          <w:rFonts w:ascii="Times New Roman" w:hAnsi="Times New Roman" w:eastAsia="Times New Roman"/>
        </w:rPr>
        <w:t>31 </w:t>
      </w:r>
      <w:r>
        <w:rPr/>
        <w:t>号三台县中医院内，拟在医院行政楼（</w:t>
      </w:r>
      <w:r>
        <w:rPr>
          <w:spacing w:val="-9"/>
        </w:rPr>
        <w:t>已建、地上 </w:t>
      </w:r>
      <w:r>
        <w:rPr>
          <w:rFonts w:ascii="Times New Roman" w:hAnsi="Times New Roman" w:eastAsia="Times New Roman"/>
        </w:rPr>
        <w:t>5 </w:t>
      </w:r>
      <w:r>
        <w:rPr>
          <w:spacing w:val="-11"/>
        </w:rPr>
        <w:t>层、高约 </w:t>
      </w:r>
      <w:r>
        <w:rPr>
          <w:rFonts w:ascii="Times New Roman" w:hAnsi="Times New Roman" w:eastAsia="Times New Roman"/>
        </w:rPr>
        <w:t>17m</w:t>
      </w:r>
      <w:r>
        <w:rPr/>
        <w:t>，无地下室）</w:t>
      </w:r>
      <w:r>
        <w:rPr>
          <w:rFonts w:ascii="Times New Roman" w:hAnsi="Times New Roman" w:eastAsia="Times New Roman"/>
        </w:rPr>
        <w:t>1 </w:t>
      </w:r>
      <w:r>
        <w:rPr/>
        <w:t>楼西南部将西南部将原天井区域、</w:t>
      </w:r>
      <w:r>
        <w:rPr>
          <w:spacing w:val="-4"/>
        </w:rPr>
        <w:t>教室、教师办公室及通道区域等改建为介入治疗室及配套房间，在介入治疗室内新增</w:t>
      </w:r>
      <w:r>
        <w:rPr>
          <w:spacing w:val="-23"/>
        </w:rPr>
        <w:t>使用 </w:t>
      </w:r>
      <w:r>
        <w:rPr>
          <w:rFonts w:ascii="Times New Roman" w:hAnsi="Times New Roman" w:eastAsia="Times New Roman"/>
        </w:rPr>
        <w:t>1 </w:t>
      </w:r>
      <w:r>
        <w:rPr>
          <w:spacing w:val="-30"/>
        </w:rPr>
        <w:t>台 </w:t>
      </w:r>
      <w:r>
        <w:rPr>
          <w:rFonts w:ascii="Times New Roman" w:hAnsi="Times New Roman" w:eastAsia="Times New Roman"/>
          <w:w w:val="99"/>
        </w:rPr>
        <w:t>DS</w:t>
      </w:r>
      <w:r>
        <w:rPr>
          <w:rFonts w:ascii="Times New Roman" w:hAnsi="Times New Roman" w:eastAsia="Times New Roman"/>
          <w:spacing w:val="-99"/>
          <w:w w:val="99"/>
        </w:rPr>
        <w:t>A</w:t>
      </w:r>
      <w:r>
        <w:rPr/>
        <w:t>（</w:t>
      </w:r>
      <w:r>
        <w:rPr>
          <w:spacing w:val="-25"/>
        </w:rPr>
        <w:t>型号为：</w:t>
      </w:r>
      <w:r>
        <w:rPr>
          <w:rFonts w:ascii="Times New Roman" w:hAnsi="Times New Roman" w:eastAsia="Times New Roman"/>
          <w:w w:val="99"/>
        </w:rPr>
        <w:t>A</w:t>
      </w:r>
      <w:r>
        <w:rPr>
          <w:rFonts w:ascii="Times New Roman" w:hAnsi="Times New Roman" w:eastAsia="Times New Roman"/>
          <w:w w:val="99"/>
        </w:rPr>
        <w:t>Z</w:t>
      </w:r>
      <w:r>
        <w:rPr>
          <w:rFonts w:ascii="Times New Roman" w:hAnsi="Times New Roman" w:eastAsia="Times New Roman"/>
          <w:w w:val="99"/>
        </w:rPr>
        <w:t>U</w:t>
      </w:r>
      <w:r>
        <w:rPr>
          <w:rFonts w:ascii="Times New Roman" w:hAnsi="Times New Roman" w:eastAsia="Times New Roman"/>
          <w:spacing w:val="-2"/>
          <w:w w:val="99"/>
        </w:rPr>
        <w:t>R</w:t>
      </w:r>
      <w:r>
        <w:rPr>
          <w:rFonts w:ascii="Times New Roman" w:hAnsi="Times New Roman" w:eastAsia="Times New Roman"/>
          <w:w w:val="99"/>
        </w:rPr>
        <w:t>I</w:t>
      </w:r>
      <w:r>
        <w:rPr>
          <w:rFonts w:ascii="Times New Roman" w:hAnsi="Times New Roman" w:eastAsia="Times New Roman"/>
          <w:w w:val="99"/>
        </w:rPr>
        <w:t>ON</w:t>
      </w:r>
      <w:r>
        <w:rPr>
          <w:rFonts w:ascii="Times New Roman" w:hAnsi="Times New Roman" w:eastAsia="Times New Roman"/>
        </w:rPr>
        <w:t>7 </w:t>
      </w:r>
      <w:r>
        <w:rPr>
          <w:rFonts w:ascii="Times New Roman" w:hAnsi="Times New Roman" w:eastAsia="Times New Roman"/>
          <w:w w:val="99"/>
        </w:rPr>
        <w:t>M</w:t>
      </w:r>
      <w:r>
        <w:rPr>
          <w:rFonts w:ascii="Times New Roman" w:hAnsi="Times New Roman" w:eastAsia="Times New Roman"/>
        </w:rPr>
        <w:t>2</w:t>
      </w:r>
      <w:r>
        <w:rPr>
          <w:rFonts w:ascii="Times New Roman" w:hAnsi="Times New Roman" w:eastAsia="Times New Roman"/>
          <w:spacing w:val="-1"/>
        </w:rPr>
        <w:t>0</w:t>
      </w:r>
      <w:r>
        <w:rPr>
          <w:spacing w:val="-22"/>
        </w:rPr>
        <w:t>，其最大管电压 </w:t>
      </w:r>
      <w:r>
        <w:rPr>
          <w:rFonts w:ascii="Times New Roman" w:hAnsi="Times New Roman" w:eastAsia="Times New Roman"/>
        </w:rPr>
        <w:t>125k</w:t>
      </w:r>
      <w:r>
        <w:rPr>
          <w:rFonts w:ascii="Times New Roman" w:hAnsi="Times New Roman" w:eastAsia="Times New Roman"/>
          <w:spacing w:val="-1"/>
          <w:w w:val="99"/>
        </w:rPr>
        <w:t>V</w:t>
      </w:r>
      <w:r>
        <w:rPr>
          <w:spacing w:val="-25"/>
        </w:rPr>
        <w:t>、最大管电流 </w:t>
      </w:r>
      <w:r>
        <w:rPr>
          <w:rFonts w:ascii="Times New Roman" w:hAnsi="Times New Roman" w:eastAsia="Times New Roman"/>
        </w:rPr>
        <w:t>1000</w:t>
      </w:r>
      <w:r>
        <w:rPr>
          <w:rFonts w:ascii="Times New Roman" w:hAnsi="Times New Roman" w:eastAsia="Times New Roman"/>
          <w:w w:val="99"/>
        </w:rPr>
        <w:t>m</w:t>
      </w:r>
      <w:r>
        <w:rPr>
          <w:rFonts w:ascii="Times New Roman" w:hAnsi="Times New Roman" w:eastAsia="Times New Roman"/>
          <w:w w:val="99"/>
        </w:rPr>
        <w:t>A</w:t>
      </w:r>
      <w:r>
        <w:rPr/>
        <w:t>，</w:t>
      </w:r>
      <w:r>
        <w:rPr>
          <w:spacing w:val="-1"/>
        </w:rPr>
        <w:t>属于</w:t>
      </w:r>
      <w:r>
        <w:rPr>
          <w:rFonts w:ascii="Times New Roman" w:hAnsi="Times New Roman" w:eastAsia="Times New Roman"/>
          <w:w w:val="99"/>
        </w:rPr>
        <w:t>Ⅱ</w:t>
      </w:r>
      <w:r>
        <w:rPr/>
        <w:t>类射线装置</w:t>
      </w:r>
      <w:r>
        <w:rPr>
          <w:spacing w:val="-120"/>
        </w:rPr>
        <w:t>）</w:t>
      </w:r>
      <w:r>
        <w:rPr>
          <w:spacing w:val="-4"/>
        </w:rPr>
        <w:t>，用于介入治疗手术约有 </w:t>
      </w:r>
      <w:r>
        <w:rPr>
          <w:rFonts w:ascii="Times New Roman" w:hAnsi="Times New Roman" w:eastAsia="Times New Roman"/>
        </w:rPr>
        <w:t>300 </w:t>
      </w:r>
      <w:r>
        <w:rPr/>
        <w:t>台</w:t>
      </w:r>
      <w:r>
        <w:rPr>
          <w:rFonts w:ascii="Times New Roman" w:hAnsi="Times New Roman" w:eastAsia="Times New Roman"/>
          <w:w w:val="99"/>
        </w:rPr>
        <w:t>/</w:t>
      </w:r>
      <w:r>
        <w:rPr>
          <w:spacing w:val="-5"/>
        </w:rPr>
        <w:t>年，年出束时间累计约 </w:t>
      </w:r>
      <w:r>
        <w:rPr>
          <w:rFonts w:ascii="Times New Roman" w:hAnsi="Times New Roman" w:eastAsia="Times New Roman"/>
        </w:rPr>
        <w:t>100</w:t>
      </w:r>
      <w:r>
        <w:rPr>
          <w:rFonts w:ascii="Times New Roman" w:hAnsi="Times New Roman" w:eastAsia="Times New Roman"/>
          <w:spacing w:val="-1"/>
        </w:rPr>
        <w:t>h</w:t>
      </w:r>
      <w:r>
        <w:rPr/>
        <w:t>（包</w:t>
      </w:r>
      <w:r>
        <w:rPr>
          <w:spacing w:val="-11"/>
        </w:rPr>
        <w:t>含透视 </w:t>
      </w:r>
      <w:r>
        <w:rPr>
          <w:rFonts w:ascii="Times New Roman" w:hAnsi="Times New Roman" w:eastAsia="Times New Roman"/>
        </w:rPr>
        <w:t>75h</w:t>
      </w:r>
      <w:r>
        <w:rPr>
          <w:rFonts w:ascii="Times New Roman" w:hAnsi="Times New Roman" w:eastAsia="Times New Roman"/>
          <w:w w:val="99"/>
        </w:rPr>
        <w:t>/</w:t>
      </w:r>
      <w:r>
        <w:rPr>
          <w:rFonts w:ascii="Times New Roman" w:hAnsi="Times New Roman" w:eastAsia="Times New Roman"/>
          <w:w w:val="99"/>
        </w:rPr>
        <w:t>a</w:t>
      </w:r>
      <w:r>
        <w:rPr>
          <w:rFonts w:ascii="Times New Roman" w:hAnsi="Times New Roman" w:eastAsia="Times New Roman"/>
        </w:rPr>
        <w:t> </w:t>
      </w:r>
      <w:r>
        <w:rPr>
          <w:spacing w:val="-8"/>
        </w:rPr>
        <w:t>及拍片时间 </w:t>
      </w:r>
      <w:r>
        <w:rPr>
          <w:rFonts w:ascii="Times New Roman" w:hAnsi="Times New Roman" w:eastAsia="Times New Roman"/>
        </w:rPr>
        <w:t>25h</w:t>
      </w:r>
      <w:r>
        <w:rPr>
          <w:rFonts w:ascii="Times New Roman" w:hAnsi="Times New Roman" w:eastAsia="Times New Roman"/>
          <w:w w:val="99"/>
        </w:rPr>
        <w:t>/</w:t>
      </w:r>
      <w:r>
        <w:rPr>
          <w:rFonts w:ascii="Times New Roman" w:hAnsi="Times New Roman" w:eastAsia="Times New Roman"/>
          <w:spacing w:val="-1"/>
          <w:w w:val="99"/>
        </w:rPr>
        <w:t>a</w:t>
      </w:r>
      <w:r>
        <w:rPr>
          <w:spacing w:val="-120"/>
        </w:rPr>
        <w:t>）</w:t>
      </w:r>
      <w:r>
        <w:rPr/>
        <w:t>，常用出束方向由下而上，主要用于介入手术，血管造影等。</w:t>
      </w:r>
    </w:p>
    <w:p>
      <w:pPr>
        <w:pStyle w:val="BodyText"/>
        <w:spacing w:line="364" w:lineRule="auto" w:before="4"/>
        <w:ind w:left="232" w:right="233" w:firstLine="480"/>
        <w:jc w:val="both"/>
      </w:pPr>
      <w:r>
        <w:rPr>
          <w:spacing w:val="-6"/>
        </w:rPr>
        <w:t>介入治疗室</w:t>
      </w:r>
      <w:r>
        <w:rPr>
          <w:spacing w:val="-1"/>
        </w:rPr>
        <w:t>（</w:t>
      </w:r>
      <w:r>
        <w:rPr>
          <w:rFonts w:ascii="Times New Roman" w:eastAsia="Times New Roman"/>
        </w:rPr>
        <w:t>72.56</w:t>
      </w:r>
      <w:r>
        <w:rPr>
          <w:rFonts w:ascii="Times New Roman" w:eastAsia="Times New Roman"/>
          <w:w w:val="99"/>
        </w:rPr>
        <w:t>m</w:t>
      </w:r>
      <w:r>
        <w:rPr>
          <w:rFonts w:ascii="Times New Roman" w:eastAsia="Times New Roman"/>
          <w:spacing w:val="1"/>
          <w:w w:val="100"/>
          <w:position w:val="9"/>
          <w:sz w:val="16"/>
        </w:rPr>
        <w:t>2</w:t>
      </w:r>
      <w:r>
        <w:rPr>
          <w:spacing w:val="-123"/>
        </w:rPr>
        <w:t>）</w:t>
      </w:r>
      <w:r>
        <w:rPr>
          <w:spacing w:val="-31"/>
        </w:rPr>
        <w:t>：长 </w:t>
      </w:r>
      <w:r>
        <w:rPr>
          <w:rFonts w:ascii="Times New Roman" w:eastAsia="Times New Roman"/>
        </w:rPr>
        <w:t>9.70</w:t>
      </w:r>
      <w:r>
        <w:rPr>
          <w:rFonts w:ascii="Times New Roman" w:eastAsia="Times New Roman"/>
          <w:w w:val="99"/>
        </w:rPr>
        <w:t>m</w:t>
      </w:r>
      <w:r>
        <w:rPr>
          <w:spacing w:val="-31"/>
        </w:rPr>
        <w:t>，宽 </w:t>
      </w:r>
      <w:r>
        <w:rPr>
          <w:rFonts w:ascii="Times New Roman" w:eastAsia="Times New Roman"/>
        </w:rPr>
        <w:t>7.48</w:t>
      </w:r>
      <w:r>
        <w:rPr>
          <w:rFonts w:ascii="Times New Roman" w:eastAsia="Times New Roman"/>
          <w:w w:val="99"/>
        </w:rPr>
        <w:t>m</w:t>
      </w:r>
      <w:r>
        <w:rPr>
          <w:spacing w:val="-31"/>
        </w:rPr>
        <w:t>，高 </w:t>
      </w:r>
      <w:r>
        <w:rPr>
          <w:rFonts w:ascii="Times New Roman" w:eastAsia="Times New Roman"/>
        </w:rPr>
        <w:t>3</w:t>
      </w:r>
      <w:r>
        <w:rPr>
          <w:rFonts w:ascii="Times New Roman" w:eastAsia="Times New Roman"/>
          <w:w w:val="99"/>
        </w:rPr>
        <w:t>m</w:t>
      </w:r>
      <w:r>
        <w:rPr>
          <w:spacing w:val="-13"/>
        </w:rPr>
        <w:t>，四周墙体均采用 </w:t>
      </w:r>
      <w:r>
        <w:rPr>
          <w:rFonts w:ascii="Times New Roman" w:eastAsia="Times New Roman"/>
        </w:rPr>
        <w:t>370</w:t>
      </w:r>
      <w:r>
        <w:rPr>
          <w:rFonts w:ascii="Times New Roman" w:eastAsia="Times New Roman"/>
          <w:w w:val="99"/>
        </w:rPr>
        <w:t>mm</w:t>
      </w:r>
      <w:r>
        <w:rPr>
          <w:rFonts w:ascii="Times New Roman" w:eastAsia="Times New Roman"/>
        </w:rPr>
        <w:t> </w:t>
      </w:r>
      <w:r>
        <w:rPr/>
        <w:t>厚实心砖墙；屋顶采用龙骨钢架</w:t>
      </w:r>
      <w:r>
        <w:rPr>
          <w:rFonts w:ascii="Times New Roman" w:eastAsia="Times New Roman"/>
        </w:rPr>
        <w:t>+3mm </w:t>
      </w:r>
      <w:r>
        <w:rPr>
          <w:spacing w:val="-2"/>
        </w:rPr>
        <w:t>铅板；介入治疗室观察窗设计为 </w:t>
      </w:r>
      <w:r>
        <w:rPr>
          <w:rFonts w:ascii="Times New Roman" w:eastAsia="Times New Roman"/>
        </w:rPr>
        <w:t>3mm </w:t>
      </w:r>
      <w:r>
        <w:rPr>
          <w:spacing w:val="-4"/>
        </w:rPr>
        <w:t>铅当量铅</w:t>
      </w:r>
      <w:r>
        <w:rPr>
          <w:spacing w:val="-2"/>
        </w:rPr>
        <w:t>窗，介入治疗室污物传递窗设计为 </w:t>
      </w:r>
      <w:r>
        <w:rPr>
          <w:rFonts w:ascii="Times New Roman" w:eastAsia="Times New Roman"/>
        </w:rPr>
        <w:t>3mm </w:t>
      </w:r>
      <w:r>
        <w:rPr/>
        <w:t>铅当量铅窗；铅门（</w:t>
      </w:r>
      <w:r>
        <w:rPr>
          <w:spacing w:val="-2"/>
        </w:rPr>
        <w:t>病人至介入治疗室防护</w:t>
      </w:r>
      <w:r>
        <w:rPr/>
        <w:t>门及控制室至介入治疗室防护门）</w:t>
      </w:r>
      <w:r>
        <w:rPr>
          <w:spacing w:val="-4"/>
        </w:rPr>
        <w:t>均设计为 </w:t>
      </w:r>
      <w:r>
        <w:rPr>
          <w:rFonts w:ascii="Times New Roman" w:eastAsia="Times New Roman"/>
        </w:rPr>
        <w:t>3mm </w:t>
      </w:r>
      <w:r>
        <w:rPr>
          <w:spacing w:val="-1"/>
        </w:rPr>
        <w:t>铅当量防护门。在介入治疗室西侧</w:t>
      </w:r>
      <w:r>
        <w:rPr/>
        <w:t>设有控制室</w:t>
      </w:r>
      <w:r>
        <w:rPr>
          <w:spacing w:val="-1"/>
        </w:rPr>
        <w:t>（</w:t>
      </w:r>
      <w:r>
        <w:rPr>
          <w:rFonts w:ascii="Times New Roman" w:eastAsia="Times New Roman"/>
          <w:spacing w:val="-10"/>
        </w:rPr>
        <w:t>1</w:t>
      </w:r>
      <w:r>
        <w:rPr>
          <w:rFonts w:ascii="Times New Roman" w:eastAsia="Times New Roman"/>
        </w:rPr>
        <w:t>1.73</w:t>
      </w:r>
      <w:r>
        <w:rPr>
          <w:rFonts w:ascii="Times New Roman" w:eastAsia="Times New Roman"/>
          <w:w w:val="99"/>
        </w:rPr>
        <w:t>m</w:t>
      </w:r>
      <w:r>
        <w:rPr>
          <w:rFonts w:ascii="Times New Roman" w:eastAsia="Times New Roman"/>
          <w:spacing w:val="1"/>
          <w:w w:val="100"/>
          <w:position w:val="9"/>
          <w:sz w:val="16"/>
        </w:rPr>
        <w:t>2</w:t>
      </w:r>
      <w:r>
        <w:rPr>
          <w:spacing w:val="-123"/>
        </w:rPr>
        <w:t>）</w:t>
      </w:r>
      <w:r>
        <w:rPr>
          <w:spacing w:val="-21"/>
        </w:rPr>
        <w:t>：长 </w:t>
      </w:r>
      <w:r>
        <w:rPr>
          <w:rFonts w:ascii="Times New Roman" w:eastAsia="Times New Roman"/>
        </w:rPr>
        <w:t>5.28</w:t>
      </w:r>
      <w:r>
        <w:rPr>
          <w:rFonts w:ascii="Times New Roman" w:eastAsia="Times New Roman"/>
          <w:w w:val="99"/>
        </w:rPr>
        <w:t>m</w:t>
      </w:r>
      <w:r>
        <w:rPr>
          <w:spacing w:val="-21"/>
        </w:rPr>
        <w:t>，宽 </w:t>
      </w:r>
      <w:r>
        <w:rPr>
          <w:rFonts w:ascii="Times New Roman" w:eastAsia="Times New Roman"/>
        </w:rPr>
        <w:t>4.70</w:t>
      </w:r>
      <w:r>
        <w:rPr>
          <w:rFonts w:ascii="Times New Roman" w:eastAsia="Times New Roman"/>
          <w:w w:val="99"/>
        </w:rPr>
        <w:t>m</w:t>
      </w:r>
      <w:r>
        <w:rPr/>
        <w:t>。</w:t>
      </w:r>
    </w:p>
    <w:p>
      <w:pPr>
        <w:pStyle w:val="BodyText"/>
        <w:spacing w:line="364" w:lineRule="auto" w:before="3"/>
        <w:ind w:left="232" w:right="187" w:firstLine="480"/>
      </w:pPr>
      <w:r>
        <w:rPr/>
        <w:t>介入治疗室设置有通排风系统，能及时将室内的附加臭氧排出室外，确保室内的附加臭氧浓度达到相应的标准要求。</w:t>
      </w:r>
    </w:p>
    <w:p>
      <w:pPr>
        <w:pStyle w:val="BodyText"/>
        <w:spacing w:line="364" w:lineRule="auto" w:before="2"/>
        <w:ind w:left="232" w:right="116" w:firstLine="480"/>
      </w:pPr>
      <w:r>
        <w:rPr>
          <w:spacing w:val="-8"/>
        </w:rPr>
        <w:t>介入治疗室配套房间配有控制室、设备间、卫生通过间、库房、缓冲间、更衣室、</w:t>
      </w:r>
      <w:r>
        <w:rPr/>
        <w:t>淋浴卫生间、值班室、治疗室、复苏室、家属谈话室及污物通道间等。</w:t>
      </w:r>
    </w:p>
    <w:p>
      <w:pPr>
        <w:pStyle w:val="BodyText"/>
        <w:spacing w:before="1"/>
        <w:ind w:left="712"/>
      </w:pPr>
      <w:r>
        <w:rPr/>
        <w:t>本次拟申请新增辐射项目内容见表 </w:t>
      </w:r>
      <w:r>
        <w:rPr>
          <w:rFonts w:ascii="Times New Roman" w:eastAsia="Times New Roman"/>
        </w:rPr>
        <w:t>1-1</w:t>
      </w:r>
      <w:r>
        <w:rPr/>
        <w:t>。</w:t>
      </w:r>
    </w:p>
    <w:p>
      <w:pPr>
        <w:spacing w:after="0"/>
        <w:sectPr>
          <w:pgSz w:w="11910" w:h="16840"/>
          <w:pgMar w:header="0" w:footer="949" w:top="1220" w:bottom="1220" w:left="1520" w:right="1060"/>
        </w:sect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595"/>
        <w:gridCol w:w="254"/>
        <w:gridCol w:w="1136"/>
        <w:gridCol w:w="567"/>
        <w:gridCol w:w="928"/>
        <w:gridCol w:w="940"/>
        <w:gridCol w:w="815"/>
        <w:gridCol w:w="1024"/>
        <w:gridCol w:w="1113"/>
        <w:gridCol w:w="98"/>
        <w:gridCol w:w="1036"/>
      </w:tblGrid>
      <w:tr>
        <w:trPr>
          <w:trHeight w:val="738" w:hRule="atLeast"/>
        </w:trPr>
        <w:tc>
          <w:tcPr>
            <w:tcW w:w="9065" w:type="dxa"/>
            <w:gridSpan w:val="12"/>
            <w:tcBorders>
              <w:bottom w:val="single" w:sz="12" w:space="0" w:color="000000"/>
            </w:tcBorders>
          </w:tcPr>
          <w:p>
            <w:pPr>
              <w:pStyle w:val="TableParagraph"/>
              <w:tabs>
                <w:tab w:pos="2308" w:val="left" w:leader="none"/>
                <w:tab w:pos="8978" w:val="left" w:leader="none"/>
              </w:tabs>
              <w:spacing w:before="22"/>
              <w:ind w:left="18"/>
              <w:rPr>
                <w:sz w:val="21"/>
              </w:rPr>
            </w:pPr>
            <w:r>
              <w:rPr>
                <w:rFonts w:ascii="Times New Roman" w:eastAsia="Times New Roman"/>
                <w:w w:val="100"/>
                <w:sz w:val="21"/>
                <w:u w:val="thick"/>
              </w:rPr>
              <w:t> </w:t>
            </w:r>
            <w:r>
              <w:rPr>
                <w:rFonts w:ascii="Times New Roman" w:eastAsia="Times New Roman"/>
                <w:sz w:val="21"/>
                <w:u w:val="thick"/>
              </w:rPr>
              <w:tab/>
            </w:r>
            <w:r>
              <w:rPr>
                <w:sz w:val="21"/>
                <w:u w:val="thick"/>
              </w:rPr>
              <w:t>表</w:t>
            </w:r>
            <w:r>
              <w:rPr>
                <w:spacing w:val="-41"/>
                <w:sz w:val="21"/>
                <w:u w:val="thick"/>
              </w:rPr>
              <w:t> </w:t>
            </w:r>
            <w:r>
              <w:rPr>
                <w:rFonts w:ascii="Times New Roman" w:eastAsia="Times New Roman"/>
                <w:sz w:val="21"/>
                <w:u w:val="thick"/>
              </w:rPr>
              <w:t>1-1</w:t>
            </w:r>
            <w:r>
              <w:rPr>
                <w:rFonts w:ascii="Times New Roman" w:eastAsia="Times New Roman"/>
                <w:spacing w:val="9"/>
                <w:sz w:val="21"/>
                <w:u w:val="thick"/>
              </w:rPr>
              <w:t> </w:t>
            </w:r>
            <w:r>
              <w:rPr>
                <w:sz w:val="21"/>
                <w:u w:val="thick"/>
              </w:rPr>
              <w:t>新</w:t>
            </w:r>
            <w:r>
              <w:rPr>
                <w:spacing w:val="-3"/>
                <w:sz w:val="21"/>
                <w:u w:val="thick"/>
              </w:rPr>
              <w:t>增</w:t>
            </w:r>
            <w:r>
              <w:rPr>
                <w:sz w:val="21"/>
                <w:u w:val="thick"/>
              </w:rPr>
              <w:t>数</w:t>
            </w:r>
            <w:r>
              <w:rPr>
                <w:spacing w:val="-3"/>
                <w:sz w:val="21"/>
                <w:u w:val="thick"/>
              </w:rPr>
              <w:t>字</w:t>
            </w:r>
            <w:r>
              <w:rPr>
                <w:sz w:val="21"/>
                <w:u w:val="thick"/>
              </w:rPr>
              <w:t>减</w:t>
            </w:r>
            <w:r>
              <w:rPr>
                <w:spacing w:val="-3"/>
                <w:sz w:val="21"/>
                <w:u w:val="thick"/>
              </w:rPr>
              <w:t>影</w:t>
            </w:r>
            <w:r>
              <w:rPr>
                <w:sz w:val="21"/>
                <w:u w:val="thick"/>
              </w:rPr>
              <w:t>血</w:t>
            </w:r>
            <w:r>
              <w:rPr>
                <w:spacing w:val="-5"/>
                <w:sz w:val="21"/>
                <w:u w:val="thick"/>
              </w:rPr>
              <w:t>管</w:t>
            </w:r>
            <w:r>
              <w:rPr>
                <w:sz w:val="21"/>
                <w:u w:val="thick"/>
              </w:rPr>
              <w:t>造影</w:t>
            </w:r>
            <w:r>
              <w:rPr>
                <w:spacing w:val="-3"/>
                <w:sz w:val="21"/>
                <w:u w:val="thick"/>
              </w:rPr>
              <w:t>机</w:t>
            </w:r>
            <w:r>
              <w:rPr>
                <w:sz w:val="21"/>
                <w:u w:val="thick"/>
              </w:rPr>
              <w:t>项</w:t>
            </w:r>
            <w:r>
              <w:rPr>
                <w:spacing w:val="-3"/>
                <w:sz w:val="21"/>
                <w:u w:val="thick"/>
              </w:rPr>
              <w:t>目</w:t>
            </w:r>
            <w:r>
              <w:rPr>
                <w:sz w:val="21"/>
                <w:u w:val="thick"/>
              </w:rPr>
              <w:t>情</w:t>
            </w:r>
            <w:r>
              <w:rPr>
                <w:spacing w:val="-3"/>
                <w:sz w:val="21"/>
                <w:u w:val="thick"/>
              </w:rPr>
              <w:t>况</w:t>
            </w:r>
            <w:r>
              <w:rPr>
                <w:sz w:val="21"/>
                <w:u w:val="thick"/>
              </w:rPr>
              <w:t>一</w:t>
            </w:r>
            <w:r>
              <w:rPr>
                <w:spacing w:val="-3"/>
                <w:sz w:val="21"/>
                <w:u w:val="thick"/>
              </w:rPr>
              <w:t>览</w:t>
            </w:r>
            <w:r>
              <w:rPr>
                <w:sz w:val="21"/>
                <w:u w:val="thick"/>
              </w:rPr>
              <w:t>表</w:t>
              <w:tab/>
            </w:r>
          </w:p>
          <w:p>
            <w:pPr>
              <w:pStyle w:val="TableParagraph"/>
              <w:spacing w:before="115"/>
              <w:ind w:left="19"/>
              <w:rPr>
                <w:sz w:val="21"/>
              </w:rPr>
            </w:pPr>
            <w:r>
              <w:rPr>
                <w:sz w:val="21"/>
              </w:rPr>
              <w:t>射线装置</w:t>
            </w:r>
          </w:p>
        </w:tc>
      </w:tr>
      <w:tr>
        <w:trPr>
          <w:trHeight w:val="397" w:hRule="atLeast"/>
        </w:trPr>
        <w:tc>
          <w:tcPr>
            <w:tcW w:w="559" w:type="dxa"/>
            <w:tcBorders>
              <w:top w:val="single" w:sz="12" w:space="0" w:color="000000"/>
            </w:tcBorders>
          </w:tcPr>
          <w:p>
            <w:pPr>
              <w:pStyle w:val="TableParagraph"/>
              <w:spacing w:before="65"/>
              <w:ind w:left="77" w:right="12"/>
              <w:rPr>
                <w:sz w:val="21"/>
              </w:rPr>
            </w:pPr>
            <w:r>
              <w:rPr>
                <w:sz w:val="21"/>
              </w:rPr>
              <w:t>序号</w:t>
            </w:r>
          </w:p>
        </w:tc>
        <w:tc>
          <w:tcPr>
            <w:tcW w:w="849" w:type="dxa"/>
            <w:gridSpan w:val="2"/>
            <w:tcBorders>
              <w:top w:val="single" w:sz="12" w:space="0" w:color="000000"/>
            </w:tcBorders>
          </w:tcPr>
          <w:p>
            <w:pPr>
              <w:pStyle w:val="TableParagraph"/>
              <w:spacing w:before="65"/>
              <w:ind w:left="213"/>
              <w:jc w:val="left"/>
              <w:rPr>
                <w:sz w:val="21"/>
              </w:rPr>
            </w:pPr>
            <w:r>
              <w:rPr>
                <w:sz w:val="21"/>
              </w:rPr>
              <w:t>名称</w:t>
            </w:r>
          </w:p>
        </w:tc>
        <w:tc>
          <w:tcPr>
            <w:tcW w:w="1136" w:type="dxa"/>
            <w:tcBorders>
              <w:top w:val="single" w:sz="12" w:space="0" w:color="000000"/>
            </w:tcBorders>
          </w:tcPr>
          <w:p>
            <w:pPr>
              <w:pStyle w:val="TableParagraph"/>
              <w:spacing w:before="65"/>
              <w:ind w:left="358"/>
              <w:jc w:val="left"/>
              <w:rPr>
                <w:sz w:val="21"/>
              </w:rPr>
            </w:pPr>
            <w:r>
              <w:rPr>
                <w:sz w:val="21"/>
              </w:rPr>
              <w:t>型号</w:t>
            </w:r>
          </w:p>
        </w:tc>
        <w:tc>
          <w:tcPr>
            <w:tcW w:w="567" w:type="dxa"/>
            <w:tcBorders>
              <w:top w:val="single" w:sz="12" w:space="0" w:color="000000"/>
            </w:tcBorders>
          </w:tcPr>
          <w:p>
            <w:pPr>
              <w:pStyle w:val="TableParagraph"/>
              <w:spacing w:before="65"/>
              <w:ind w:left="55" w:right="42"/>
              <w:rPr>
                <w:sz w:val="21"/>
              </w:rPr>
            </w:pPr>
            <w:r>
              <w:rPr>
                <w:sz w:val="21"/>
              </w:rPr>
              <w:t>数量</w:t>
            </w:r>
          </w:p>
        </w:tc>
        <w:tc>
          <w:tcPr>
            <w:tcW w:w="928" w:type="dxa"/>
            <w:tcBorders>
              <w:top w:val="single" w:sz="12" w:space="0" w:color="000000"/>
            </w:tcBorders>
          </w:tcPr>
          <w:p>
            <w:pPr>
              <w:pStyle w:val="TableParagraph"/>
              <w:spacing w:before="65"/>
              <w:ind w:left="129" w:right="118"/>
              <w:rPr>
                <w:sz w:val="21"/>
              </w:rPr>
            </w:pPr>
            <w:r>
              <w:rPr>
                <w:sz w:val="21"/>
              </w:rPr>
              <w:t>管电压</w:t>
            </w:r>
          </w:p>
        </w:tc>
        <w:tc>
          <w:tcPr>
            <w:tcW w:w="940" w:type="dxa"/>
            <w:tcBorders>
              <w:top w:val="single" w:sz="12" w:space="0" w:color="000000"/>
            </w:tcBorders>
          </w:tcPr>
          <w:p>
            <w:pPr>
              <w:pStyle w:val="TableParagraph"/>
              <w:spacing w:before="65"/>
              <w:ind w:left="82" w:right="72"/>
              <w:rPr>
                <w:sz w:val="21"/>
              </w:rPr>
            </w:pPr>
            <w:r>
              <w:rPr>
                <w:sz w:val="21"/>
              </w:rPr>
              <w:t>管电流</w:t>
            </w:r>
          </w:p>
        </w:tc>
        <w:tc>
          <w:tcPr>
            <w:tcW w:w="815" w:type="dxa"/>
            <w:tcBorders>
              <w:top w:val="single" w:sz="12" w:space="0" w:color="000000"/>
            </w:tcBorders>
          </w:tcPr>
          <w:p>
            <w:pPr>
              <w:pStyle w:val="TableParagraph"/>
              <w:spacing w:before="65"/>
              <w:ind w:left="200"/>
              <w:jc w:val="left"/>
              <w:rPr>
                <w:sz w:val="21"/>
              </w:rPr>
            </w:pPr>
            <w:r>
              <w:rPr>
                <w:sz w:val="21"/>
              </w:rPr>
              <w:t>类别</w:t>
            </w:r>
          </w:p>
        </w:tc>
        <w:tc>
          <w:tcPr>
            <w:tcW w:w="2235" w:type="dxa"/>
            <w:gridSpan w:val="3"/>
            <w:tcBorders>
              <w:top w:val="single" w:sz="12" w:space="0" w:color="000000"/>
            </w:tcBorders>
          </w:tcPr>
          <w:p>
            <w:pPr>
              <w:pStyle w:val="TableParagraph"/>
              <w:spacing w:before="65"/>
              <w:ind w:left="491"/>
              <w:jc w:val="left"/>
              <w:rPr>
                <w:sz w:val="21"/>
              </w:rPr>
            </w:pPr>
            <w:r>
              <w:rPr>
                <w:sz w:val="21"/>
              </w:rPr>
              <w:t>工作场所名称</w:t>
            </w:r>
          </w:p>
        </w:tc>
        <w:tc>
          <w:tcPr>
            <w:tcW w:w="1036" w:type="dxa"/>
            <w:tcBorders>
              <w:top w:val="single" w:sz="12" w:space="0" w:color="000000"/>
            </w:tcBorders>
          </w:tcPr>
          <w:p>
            <w:pPr>
              <w:pStyle w:val="TableParagraph"/>
              <w:spacing w:before="65"/>
              <w:ind w:left="60" w:right="83"/>
              <w:rPr>
                <w:sz w:val="21"/>
              </w:rPr>
            </w:pPr>
            <w:r>
              <w:rPr>
                <w:sz w:val="21"/>
              </w:rPr>
              <w:t>备注</w:t>
            </w:r>
          </w:p>
        </w:tc>
      </w:tr>
      <w:tr>
        <w:trPr>
          <w:trHeight w:val="623" w:hRule="atLeast"/>
        </w:trPr>
        <w:tc>
          <w:tcPr>
            <w:tcW w:w="559" w:type="dxa"/>
            <w:tcBorders>
              <w:bottom w:val="single" w:sz="12" w:space="0" w:color="000000"/>
            </w:tcBorders>
          </w:tcPr>
          <w:p>
            <w:pPr>
              <w:pStyle w:val="TableParagraph"/>
              <w:spacing w:before="192"/>
              <w:ind w:left="60"/>
              <w:rPr>
                <w:rFonts w:ascii="Times New Roman"/>
                <w:sz w:val="21"/>
              </w:rPr>
            </w:pPr>
            <w:r>
              <w:rPr>
                <w:rFonts w:ascii="Times New Roman"/>
                <w:w w:val="100"/>
                <w:sz w:val="21"/>
              </w:rPr>
              <w:t>1</w:t>
            </w:r>
          </w:p>
        </w:tc>
        <w:tc>
          <w:tcPr>
            <w:tcW w:w="849" w:type="dxa"/>
            <w:gridSpan w:val="2"/>
            <w:tcBorders>
              <w:bottom w:val="single" w:sz="12" w:space="0" w:color="000000"/>
            </w:tcBorders>
          </w:tcPr>
          <w:p>
            <w:pPr>
              <w:pStyle w:val="TableParagraph"/>
              <w:spacing w:before="192"/>
              <w:ind w:left="214"/>
              <w:jc w:val="left"/>
              <w:rPr>
                <w:rFonts w:ascii="Times New Roman"/>
                <w:sz w:val="21"/>
              </w:rPr>
            </w:pPr>
            <w:r>
              <w:rPr>
                <w:rFonts w:ascii="Times New Roman"/>
                <w:sz w:val="21"/>
              </w:rPr>
              <w:t>DSA</w:t>
            </w:r>
          </w:p>
        </w:tc>
        <w:tc>
          <w:tcPr>
            <w:tcW w:w="1136" w:type="dxa"/>
            <w:tcBorders>
              <w:bottom w:val="single" w:sz="12" w:space="0" w:color="000000"/>
            </w:tcBorders>
          </w:tcPr>
          <w:p>
            <w:pPr>
              <w:pStyle w:val="TableParagraph"/>
              <w:spacing w:before="36"/>
              <w:ind w:left="24" w:right="12"/>
              <w:rPr>
                <w:rFonts w:ascii="Times New Roman"/>
                <w:sz w:val="21"/>
              </w:rPr>
            </w:pPr>
            <w:r>
              <w:rPr>
                <w:rFonts w:ascii="Times New Roman"/>
                <w:sz w:val="21"/>
              </w:rPr>
              <w:t>AZURION7</w:t>
            </w:r>
          </w:p>
          <w:p>
            <w:pPr>
              <w:pStyle w:val="TableParagraph"/>
              <w:spacing w:before="71"/>
              <w:ind w:left="24" w:right="11"/>
              <w:rPr>
                <w:rFonts w:ascii="Times New Roman"/>
                <w:sz w:val="21"/>
              </w:rPr>
            </w:pPr>
            <w:r>
              <w:rPr>
                <w:rFonts w:ascii="Times New Roman"/>
                <w:sz w:val="21"/>
              </w:rPr>
              <w:t>M20</w:t>
            </w:r>
          </w:p>
        </w:tc>
        <w:tc>
          <w:tcPr>
            <w:tcW w:w="567" w:type="dxa"/>
            <w:tcBorders>
              <w:bottom w:val="single" w:sz="12" w:space="0" w:color="000000"/>
            </w:tcBorders>
          </w:tcPr>
          <w:p>
            <w:pPr>
              <w:pStyle w:val="TableParagraph"/>
              <w:spacing w:before="178"/>
              <w:ind w:left="55" w:right="42"/>
              <w:rPr>
                <w:sz w:val="21"/>
              </w:rPr>
            </w:pPr>
            <w:r>
              <w:rPr>
                <w:rFonts w:ascii="Times New Roman" w:eastAsia="Times New Roman"/>
                <w:sz w:val="21"/>
              </w:rPr>
              <w:t>1 </w:t>
            </w:r>
            <w:r>
              <w:rPr>
                <w:sz w:val="21"/>
              </w:rPr>
              <w:t>台</w:t>
            </w:r>
          </w:p>
        </w:tc>
        <w:tc>
          <w:tcPr>
            <w:tcW w:w="928" w:type="dxa"/>
            <w:tcBorders>
              <w:bottom w:val="single" w:sz="12" w:space="0" w:color="000000"/>
            </w:tcBorders>
          </w:tcPr>
          <w:p>
            <w:pPr>
              <w:pStyle w:val="TableParagraph"/>
              <w:spacing w:before="192"/>
              <w:ind w:left="129" w:right="116"/>
              <w:rPr>
                <w:rFonts w:ascii="Times New Roman"/>
                <w:sz w:val="21"/>
              </w:rPr>
            </w:pPr>
            <w:r>
              <w:rPr>
                <w:rFonts w:ascii="Times New Roman"/>
                <w:sz w:val="21"/>
              </w:rPr>
              <w:t>125kV</w:t>
            </w:r>
          </w:p>
        </w:tc>
        <w:tc>
          <w:tcPr>
            <w:tcW w:w="940" w:type="dxa"/>
            <w:tcBorders>
              <w:bottom w:val="single" w:sz="12" w:space="0" w:color="000000"/>
            </w:tcBorders>
          </w:tcPr>
          <w:p>
            <w:pPr>
              <w:pStyle w:val="TableParagraph"/>
              <w:spacing w:before="192"/>
              <w:ind w:left="83" w:right="72"/>
              <w:rPr>
                <w:rFonts w:ascii="Times New Roman"/>
                <w:sz w:val="21"/>
              </w:rPr>
            </w:pPr>
            <w:r>
              <w:rPr>
                <w:rFonts w:ascii="Times New Roman"/>
                <w:sz w:val="21"/>
              </w:rPr>
              <w:t>1000mA</w:t>
            </w:r>
          </w:p>
        </w:tc>
        <w:tc>
          <w:tcPr>
            <w:tcW w:w="815" w:type="dxa"/>
            <w:tcBorders>
              <w:bottom w:val="single" w:sz="12" w:space="0" w:color="000000"/>
            </w:tcBorders>
          </w:tcPr>
          <w:p>
            <w:pPr>
              <w:pStyle w:val="TableParagraph"/>
              <w:spacing w:before="178"/>
              <w:ind w:left="238"/>
              <w:jc w:val="left"/>
              <w:rPr>
                <w:sz w:val="21"/>
              </w:rPr>
            </w:pPr>
            <w:r>
              <w:rPr>
                <w:rFonts w:ascii="Times New Roman" w:hAnsi="Times New Roman" w:eastAsia="Times New Roman"/>
                <w:sz w:val="21"/>
              </w:rPr>
              <w:t>Ⅱ</w:t>
            </w:r>
            <w:r>
              <w:rPr>
                <w:sz w:val="21"/>
              </w:rPr>
              <w:t>类</w:t>
            </w:r>
          </w:p>
        </w:tc>
        <w:tc>
          <w:tcPr>
            <w:tcW w:w="2235" w:type="dxa"/>
            <w:gridSpan w:val="3"/>
            <w:tcBorders>
              <w:bottom w:val="single" w:sz="12" w:space="0" w:color="000000"/>
            </w:tcBorders>
          </w:tcPr>
          <w:p>
            <w:pPr>
              <w:pStyle w:val="TableParagraph"/>
              <w:spacing w:before="178"/>
              <w:ind w:left="71"/>
              <w:jc w:val="left"/>
              <w:rPr>
                <w:sz w:val="21"/>
              </w:rPr>
            </w:pPr>
            <w:r>
              <w:rPr>
                <w:sz w:val="21"/>
              </w:rPr>
              <w:t>行政楼 </w:t>
            </w:r>
            <w:r>
              <w:rPr>
                <w:rFonts w:ascii="Times New Roman" w:eastAsia="Times New Roman"/>
                <w:sz w:val="21"/>
              </w:rPr>
              <w:t>1 </w:t>
            </w:r>
            <w:r>
              <w:rPr>
                <w:sz w:val="21"/>
              </w:rPr>
              <w:t>楼介入治疗室</w:t>
            </w:r>
          </w:p>
        </w:tc>
        <w:tc>
          <w:tcPr>
            <w:tcW w:w="1036" w:type="dxa"/>
            <w:tcBorders>
              <w:bottom w:val="single" w:sz="12" w:space="0" w:color="000000"/>
            </w:tcBorders>
          </w:tcPr>
          <w:p>
            <w:pPr>
              <w:pStyle w:val="TableParagraph"/>
              <w:spacing w:before="178"/>
              <w:ind w:left="60" w:right="85"/>
              <w:rPr>
                <w:sz w:val="21"/>
              </w:rPr>
            </w:pPr>
            <w:r>
              <w:rPr>
                <w:sz w:val="21"/>
              </w:rPr>
              <w:t>本次环评</w:t>
            </w:r>
          </w:p>
        </w:tc>
      </w:tr>
      <w:tr>
        <w:trPr>
          <w:trHeight w:val="1246" w:hRule="atLeast"/>
        </w:trPr>
        <w:tc>
          <w:tcPr>
            <w:tcW w:w="9065" w:type="dxa"/>
            <w:gridSpan w:val="12"/>
            <w:tcBorders>
              <w:top w:val="single" w:sz="12" w:space="0" w:color="000000"/>
              <w:bottom w:val="single" w:sz="12" w:space="0" w:color="000000"/>
            </w:tcBorders>
          </w:tcPr>
          <w:p>
            <w:pPr>
              <w:pStyle w:val="TableParagraph"/>
              <w:spacing w:before="81"/>
              <w:ind w:left="590"/>
              <w:jc w:val="left"/>
              <w:rPr>
                <w:sz w:val="24"/>
              </w:rPr>
            </w:pPr>
            <w:r>
              <w:rPr>
                <w:sz w:val="24"/>
              </w:rPr>
              <w:t>2、项目组成内容及环境问题</w:t>
            </w:r>
            <w:r>
              <w:rPr>
                <w:w w:val="50"/>
                <w:sz w:val="24"/>
              </w:rPr>
              <w:t> </w:t>
            </w:r>
          </w:p>
          <w:p>
            <w:pPr>
              <w:pStyle w:val="TableParagraph"/>
              <w:spacing w:before="160"/>
              <w:ind w:left="587"/>
              <w:jc w:val="left"/>
              <w:rPr>
                <w:sz w:val="24"/>
              </w:rPr>
            </w:pPr>
            <w:r>
              <w:rPr>
                <w:sz w:val="24"/>
              </w:rPr>
              <w:t>本项目主要组成内容及可能产生的环境问题见表 </w:t>
            </w:r>
            <w:r>
              <w:rPr>
                <w:rFonts w:ascii="Times New Roman" w:eastAsia="Times New Roman"/>
                <w:sz w:val="24"/>
              </w:rPr>
              <w:t>1-2</w:t>
            </w:r>
            <w:r>
              <w:rPr>
                <w:sz w:val="24"/>
              </w:rPr>
              <w:t>。</w:t>
            </w:r>
          </w:p>
          <w:p>
            <w:pPr>
              <w:pStyle w:val="TableParagraph"/>
              <w:spacing w:line="269" w:lineRule="exact" w:before="102"/>
              <w:ind w:left="2872"/>
              <w:jc w:val="left"/>
              <w:rPr>
                <w:sz w:val="21"/>
              </w:rPr>
            </w:pPr>
            <w:r>
              <w:rPr>
                <w:sz w:val="21"/>
              </w:rPr>
              <w:t>表 </w:t>
            </w:r>
            <w:r>
              <w:rPr>
                <w:rFonts w:ascii="Times New Roman" w:eastAsia="Times New Roman"/>
                <w:sz w:val="21"/>
              </w:rPr>
              <w:t>1-2 </w:t>
            </w:r>
            <w:r>
              <w:rPr>
                <w:sz w:val="21"/>
              </w:rPr>
              <w:t>项目组成内容及主要环境问题</w:t>
            </w:r>
            <w:r>
              <w:rPr>
                <w:w w:val="50"/>
                <w:sz w:val="21"/>
              </w:rPr>
              <w:t> </w:t>
            </w:r>
          </w:p>
        </w:tc>
      </w:tr>
      <w:tr>
        <w:trPr>
          <w:trHeight w:val="303" w:hRule="atLeast"/>
        </w:trPr>
        <w:tc>
          <w:tcPr>
            <w:tcW w:w="1154" w:type="dxa"/>
            <w:gridSpan w:val="2"/>
            <w:vMerge w:val="restart"/>
            <w:tcBorders>
              <w:top w:val="single" w:sz="12" w:space="0" w:color="000000"/>
              <w:bottom w:val="single" w:sz="12" w:space="0" w:color="000000"/>
            </w:tcBorders>
          </w:tcPr>
          <w:p>
            <w:pPr>
              <w:pStyle w:val="TableParagraph"/>
              <w:spacing w:before="195"/>
              <w:ind w:left="395"/>
              <w:jc w:val="left"/>
              <w:rPr>
                <w:sz w:val="21"/>
              </w:rPr>
            </w:pPr>
            <w:r>
              <w:rPr>
                <w:sz w:val="21"/>
              </w:rPr>
              <w:t>名称</w:t>
            </w:r>
          </w:p>
        </w:tc>
        <w:tc>
          <w:tcPr>
            <w:tcW w:w="5664" w:type="dxa"/>
            <w:gridSpan w:val="7"/>
            <w:vMerge w:val="restart"/>
            <w:tcBorders>
              <w:top w:val="single" w:sz="12" w:space="0" w:color="000000"/>
              <w:bottom w:val="single" w:sz="12" w:space="0" w:color="000000"/>
            </w:tcBorders>
          </w:tcPr>
          <w:p>
            <w:pPr>
              <w:pStyle w:val="TableParagraph"/>
              <w:spacing w:before="195"/>
              <w:ind w:left="2079" w:right="2064"/>
              <w:rPr>
                <w:sz w:val="21"/>
              </w:rPr>
            </w:pPr>
            <w:r>
              <w:rPr>
                <w:sz w:val="21"/>
              </w:rPr>
              <w:t>建设内容及规模</w:t>
            </w:r>
          </w:p>
        </w:tc>
        <w:tc>
          <w:tcPr>
            <w:tcW w:w="2247" w:type="dxa"/>
            <w:gridSpan w:val="3"/>
            <w:tcBorders>
              <w:top w:val="single" w:sz="12" w:space="0" w:color="000000"/>
            </w:tcBorders>
          </w:tcPr>
          <w:p>
            <w:pPr>
              <w:pStyle w:val="TableParagraph"/>
              <w:spacing w:line="259" w:lineRule="exact" w:before="24"/>
              <w:ind w:left="156"/>
              <w:jc w:val="left"/>
              <w:rPr>
                <w:sz w:val="21"/>
              </w:rPr>
            </w:pPr>
            <w:r>
              <w:rPr>
                <w:sz w:val="21"/>
              </w:rPr>
              <w:t>可能产生的环境问题</w:t>
            </w:r>
          </w:p>
        </w:tc>
      </w:tr>
      <w:tr>
        <w:trPr>
          <w:trHeight w:val="320" w:hRule="atLeast"/>
        </w:trPr>
        <w:tc>
          <w:tcPr>
            <w:tcW w:w="1154" w:type="dxa"/>
            <w:gridSpan w:val="2"/>
            <w:vMerge/>
            <w:tcBorders>
              <w:top w:val="nil"/>
              <w:bottom w:val="single" w:sz="12" w:space="0" w:color="000000"/>
            </w:tcBorders>
          </w:tcPr>
          <w:p>
            <w:pPr>
              <w:rPr>
                <w:sz w:val="2"/>
                <w:szCs w:val="2"/>
              </w:rPr>
            </w:pPr>
          </w:p>
        </w:tc>
        <w:tc>
          <w:tcPr>
            <w:tcW w:w="5664" w:type="dxa"/>
            <w:gridSpan w:val="7"/>
            <w:vMerge/>
            <w:tcBorders>
              <w:top w:val="nil"/>
              <w:bottom w:val="single" w:sz="12" w:space="0" w:color="000000"/>
            </w:tcBorders>
          </w:tcPr>
          <w:p>
            <w:pPr>
              <w:rPr>
                <w:sz w:val="2"/>
                <w:szCs w:val="2"/>
              </w:rPr>
            </w:pPr>
          </w:p>
        </w:tc>
        <w:tc>
          <w:tcPr>
            <w:tcW w:w="1113" w:type="dxa"/>
            <w:tcBorders>
              <w:bottom w:val="single" w:sz="12" w:space="0" w:color="000000"/>
            </w:tcBorders>
          </w:tcPr>
          <w:p>
            <w:pPr>
              <w:pStyle w:val="TableParagraph"/>
              <w:spacing w:line="269" w:lineRule="exact" w:before="32"/>
              <w:ind w:left="244"/>
              <w:jc w:val="left"/>
              <w:rPr>
                <w:sz w:val="21"/>
              </w:rPr>
            </w:pPr>
            <w:r>
              <w:rPr>
                <w:sz w:val="21"/>
              </w:rPr>
              <w:t>施工期</w:t>
            </w:r>
          </w:p>
        </w:tc>
        <w:tc>
          <w:tcPr>
            <w:tcW w:w="1134" w:type="dxa"/>
            <w:gridSpan w:val="2"/>
            <w:tcBorders>
              <w:bottom w:val="single" w:sz="12" w:space="0" w:color="000000"/>
            </w:tcBorders>
          </w:tcPr>
          <w:p>
            <w:pPr>
              <w:pStyle w:val="TableParagraph"/>
              <w:spacing w:line="269" w:lineRule="exact" w:before="32"/>
              <w:ind w:left="226"/>
              <w:jc w:val="left"/>
              <w:rPr>
                <w:sz w:val="21"/>
              </w:rPr>
            </w:pPr>
            <w:r>
              <w:rPr>
                <w:sz w:val="21"/>
              </w:rPr>
              <w:t>运营期</w:t>
            </w:r>
          </w:p>
        </w:tc>
      </w:tr>
      <w:tr>
        <w:trPr>
          <w:trHeight w:val="313" w:hRule="atLeast"/>
        </w:trPr>
        <w:tc>
          <w:tcPr>
            <w:tcW w:w="1154" w:type="dxa"/>
            <w:gridSpan w:val="2"/>
            <w:vMerge w:val="restart"/>
            <w:tcBorders>
              <w:top w:val="single" w:sz="12"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6"/>
              <w:jc w:val="left"/>
              <w:rPr>
                <w:sz w:val="33"/>
              </w:rPr>
            </w:pPr>
          </w:p>
          <w:p>
            <w:pPr>
              <w:pStyle w:val="TableParagraph"/>
              <w:spacing w:line="278" w:lineRule="auto"/>
              <w:ind w:left="395" w:right="323"/>
              <w:jc w:val="left"/>
              <w:rPr>
                <w:sz w:val="21"/>
              </w:rPr>
            </w:pPr>
            <w:r>
              <w:rPr>
                <w:sz w:val="21"/>
              </w:rPr>
              <w:t>主体工程</w:t>
            </w:r>
          </w:p>
        </w:tc>
        <w:tc>
          <w:tcPr>
            <w:tcW w:w="1390" w:type="dxa"/>
            <w:gridSpan w:val="2"/>
            <w:tcBorders>
              <w:top w:val="single" w:sz="12" w:space="0" w:color="000000"/>
            </w:tcBorders>
          </w:tcPr>
          <w:p>
            <w:pPr>
              <w:pStyle w:val="TableParagraph"/>
              <w:spacing w:before="24"/>
              <w:ind w:left="168"/>
              <w:jc w:val="left"/>
              <w:rPr>
                <w:sz w:val="21"/>
              </w:rPr>
            </w:pPr>
            <w:r>
              <w:rPr>
                <w:sz w:val="21"/>
              </w:rPr>
              <w:t>设备、数量</w:t>
            </w:r>
          </w:p>
        </w:tc>
        <w:tc>
          <w:tcPr>
            <w:tcW w:w="4274" w:type="dxa"/>
            <w:gridSpan w:val="5"/>
            <w:tcBorders>
              <w:top w:val="single" w:sz="12" w:space="0" w:color="000000"/>
            </w:tcBorders>
          </w:tcPr>
          <w:p>
            <w:pPr>
              <w:pStyle w:val="TableParagraph"/>
              <w:spacing w:before="24"/>
              <w:ind w:left="470"/>
              <w:jc w:val="left"/>
              <w:rPr>
                <w:rFonts w:ascii="Times New Roman" w:eastAsia="Times New Roman"/>
                <w:sz w:val="21"/>
              </w:rPr>
            </w:pPr>
            <w:r>
              <w:rPr>
                <w:rFonts w:ascii="Times New Roman" w:eastAsia="Times New Roman"/>
                <w:sz w:val="21"/>
              </w:rPr>
              <w:t>DSA</w:t>
            </w:r>
            <w:r>
              <w:rPr>
                <w:sz w:val="21"/>
              </w:rPr>
              <w:t>，</w:t>
            </w:r>
            <w:r>
              <w:rPr>
                <w:rFonts w:ascii="Times New Roman" w:eastAsia="Times New Roman"/>
                <w:sz w:val="21"/>
              </w:rPr>
              <w:t>1 </w:t>
            </w:r>
            <w:r>
              <w:rPr>
                <w:sz w:val="21"/>
              </w:rPr>
              <w:t>台，型号：</w:t>
            </w:r>
            <w:r>
              <w:rPr>
                <w:rFonts w:ascii="Times New Roman" w:eastAsia="Times New Roman"/>
                <w:sz w:val="21"/>
              </w:rPr>
              <w:t>AZURION7 M20</w:t>
            </w:r>
          </w:p>
        </w:tc>
        <w:tc>
          <w:tcPr>
            <w:tcW w:w="1113" w:type="dxa"/>
            <w:vMerge w:val="restart"/>
            <w:tcBorders>
              <w:top w:val="single" w:sz="12"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2"/>
              <w:jc w:val="left"/>
              <w:rPr>
                <w:sz w:val="34"/>
              </w:rPr>
            </w:pPr>
          </w:p>
          <w:p>
            <w:pPr>
              <w:pStyle w:val="TableParagraph"/>
              <w:spacing w:line="278" w:lineRule="auto"/>
              <w:ind w:left="112" w:right="90"/>
              <w:jc w:val="both"/>
              <w:rPr>
                <w:sz w:val="21"/>
              </w:rPr>
            </w:pPr>
            <w:r>
              <w:rPr>
                <w:sz w:val="21"/>
              </w:rPr>
              <w:t>施 工 扬尘、施工噪声、施工废水、建筑废渣等</w:t>
            </w:r>
          </w:p>
        </w:tc>
        <w:tc>
          <w:tcPr>
            <w:tcW w:w="1134" w:type="dxa"/>
            <w:gridSpan w:val="2"/>
            <w:vMerge w:val="restart"/>
            <w:tcBorders>
              <w:top w:val="single" w:sz="12" w:space="0" w:color="000000"/>
            </w:tcBorders>
          </w:tcPr>
          <w:p>
            <w:pPr>
              <w:pStyle w:val="TableParagraph"/>
              <w:jc w:val="left"/>
              <w:rPr>
                <w:sz w:val="24"/>
              </w:rPr>
            </w:pPr>
          </w:p>
          <w:p>
            <w:pPr>
              <w:pStyle w:val="TableParagraph"/>
              <w:spacing w:before="5"/>
              <w:jc w:val="left"/>
              <w:rPr>
                <w:sz w:val="32"/>
              </w:rPr>
            </w:pPr>
          </w:p>
          <w:p>
            <w:pPr>
              <w:pStyle w:val="TableParagraph"/>
              <w:spacing w:line="278" w:lineRule="auto"/>
              <w:ind w:left="111" w:right="144"/>
              <w:jc w:val="both"/>
              <w:rPr>
                <w:sz w:val="21"/>
              </w:rPr>
            </w:pPr>
            <w:r>
              <w:rPr>
                <w:rFonts w:ascii="Times New Roman" w:eastAsia="Times New Roman"/>
                <w:sz w:val="21"/>
              </w:rPr>
              <w:t>X </w:t>
            </w:r>
            <w:r>
              <w:rPr>
                <w:sz w:val="21"/>
              </w:rPr>
              <w:t>射线、臭氧、噪声、医疗废水、医疗废物、生 活 污水、生活垃圾</w:t>
            </w:r>
          </w:p>
        </w:tc>
      </w:tr>
      <w:tr>
        <w:trPr>
          <w:trHeight w:val="330" w:hRule="atLeast"/>
        </w:trPr>
        <w:tc>
          <w:tcPr>
            <w:tcW w:w="1154" w:type="dxa"/>
            <w:gridSpan w:val="2"/>
            <w:vMerge/>
            <w:tcBorders>
              <w:top w:val="nil"/>
            </w:tcBorders>
          </w:tcPr>
          <w:p>
            <w:pPr>
              <w:rPr>
                <w:sz w:val="2"/>
                <w:szCs w:val="2"/>
              </w:rPr>
            </w:pPr>
          </w:p>
        </w:tc>
        <w:tc>
          <w:tcPr>
            <w:tcW w:w="1390" w:type="dxa"/>
            <w:gridSpan w:val="2"/>
          </w:tcPr>
          <w:p>
            <w:pPr>
              <w:pStyle w:val="TableParagraph"/>
              <w:spacing w:before="42"/>
              <w:ind w:left="273"/>
              <w:jc w:val="left"/>
              <w:rPr>
                <w:sz w:val="21"/>
              </w:rPr>
            </w:pPr>
            <w:r>
              <w:rPr>
                <w:sz w:val="21"/>
              </w:rPr>
              <w:t>管理类别</w:t>
            </w:r>
          </w:p>
        </w:tc>
        <w:tc>
          <w:tcPr>
            <w:tcW w:w="4274" w:type="dxa"/>
            <w:gridSpan w:val="5"/>
          </w:tcPr>
          <w:p>
            <w:pPr>
              <w:pStyle w:val="TableParagraph"/>
              <w:spacing w:before="42"/>
              <w:ind w:left="1526" w:right="1512"/>
              <w:rPr>
                <w:sz w:val="21"/>
              </w:rPr>
            </w:pPr>
            <w:r>
              <w:rPr>
                <w:rFonts w:ascii="Times New Roman" w:hAnsi="Times New Roman" w:eastAsia="Times New Roman"/>
                <w:sz w:val="21"/>
              </w:rPr>
              <w:t>Ⅱ</w:t>
            </w:r>
            <w:r>
              <w:rPr>
                <w:sz w:val="21"/>
              </w:rPr>
              <w:t>类射线装置</w:t>
            </w:r>
          </w:p>
        </w:tc>
        <w:tc>
          <w:tcPr>
            <w:tcW w:w="1113" w:type="dxa"/>
            <w:vMerge/>
            <w:tcBorders>
              <w:top w:val="nil"/>
            </w:tcBorders>
          </w:tcPr>
          <w:p>
            <w:pPr>
              <w:rPr>
                <w:sz w:val="2"/>
                <w:szCs w:val="2"/>
              </w:rPr>
            </w:pPr>
          </w:p>
        </w:tc>
        <w:tc>
          <w:tcPr>
            <w:tcW w:w="1134" w:type="dxa"/>
            <w:gridSpan w:val="2"/>
            <w:vMerge/>
            <w:tcBorders>
              <w:top w:val="nil"/>
            </w:tcBorders>
          </w:tcPr>
          <w:p>
            <w:pPr>
              <w:rPr>
                <w:sz w:val="2"/>
                <w:szCs w:val="2"/>
              </w:rPr>
            </w:pPr>
          </w:p>
        </w:tc>
      </w:tr>
      <w:tr>
        <w:trPr>
          <w:trHeight w:val="333" w:hRule="atLeast"/>
        </w:trPr>
        <w:tc>
          <w:tcPr>
            <w:tcW w:w="1154" w:type="dxa"/>
            <w:gridSpan w:val="2"/>
            <w:vMerge/>
            <w:tcBorders>
              <w:top w:val="nil"/>
            </w:tcBorders>
          </w:tcPr>
          <w:p>
            <w:pPr>
              <w:rPr>
                <w:sz w:val="2"/>
                <w:szCs w:val="2"/>
              </w:rPr>
            </w:pPr>
          </w:p>
        </w:tc>
        <w:tc>
          <w:tcPr>
            <w:tcW w:w="1390" w:type="dxa"/>
            <w:gridSpan w:val="2"/>
          </w:tcPr>
          <w:p>
            <w:pPr>
              <w:pStyle w:val="TableParagraph"/>
              <w:spacing w:before="44"/>
              <w:ind w:left="273"/>
              <w:jc w:val="left"/>
              <w:rPr>
                <w:sz w:val="21"/>
              </w:rPr>
            </w:pPr>
            <w:r>
              <w:rPr>
                <w:sz w:val="21"/>
              </w:rPr>
              <w:t>使用场所</w:t>
            </w:r>
          </w:p>
        </w:tc>
        <w:tc>
          <w:tcPr>
            <w:tcW w:w="4274" w:type="dxa"/>
            <w:gridSpan w:val="5"/>
          </w:tcPr>
          <w:p>
            <w:pPr>
              <w:pStyle w:val="TableParagraph"/>
              <w:spacing w:before="44"/>
              <w:ind w:left="1089"/>
              <w:jc w:val="left"/>
              <w:rPr>
                <w:sz w:val="21"/>
              </w:rPr>
            </w:pPr>
            <w:r>
              <w:rPr>
                <w:sz w:val="21"/>
              </w:rPr>
              <w:t>行政楼 </w:t>
            </w:r>
            <w:r>
              <w:rPr>
                <w:rFonts w:ascii="Times New Roman" w:eastAsia="Times New Roman"/>
                <w:sz w:val="21"/>
              </w:rPr>
              <w:t>1 </w:t>
            </w:r>
            <w:r>
              <w:rPr>
                <w:sz w:val="21"/>
              </w:rPr>
              <w:t>楼介入治疗室</w:t>
            </w:r>
          </w:p>
        </w:tc>
        <w:tc>
          <w:tcPr>
            <w:tcW w:w="1113" w:type="dxa"/>
            <w:vMerge/>
            <w:tcBorders>
              <w:top w:val="nil"/>
            </w:tcBorders>
          </w:tcPr>
          <w:p>
            <w:pPr>
              <w:rPr>
                <w:sz w:val="2"/>
                <w:szCs w:val="2"/>
              </w:rPr>
            </w:pPr>
          </w:p>
        </w:tc>
        <w:tc>
          <w:tcPr>
            <w:tcW w:w="1134" w:type="dxa"/>
            <w:gridSpan w:val="2"/>
            <w:vMerge/>
            <w:tcBorders>
              <w:top w:val="nil"/>
            </w:tcBorders>
          </w:tcPr>
          <w:p>
            <w:pPr>
              <w:rPr>
                <w:sz w:val="2"/>
                <w:szCs w:val="2"/>
              </w:rPr>
            </w:pPr>
          </w:p>
        </w:tc>
      </w:tr>
      <w:tr>
        <w:trPr>
          <w:trHeight w:val="642" w:hRule="atLeast"/>
        </w:trPr>
        <w:tc>
          <w:tcPr>
            <w:tcW w:w="1154" w:type="dxa"/>
            <w:gridSpan w:val="2"/>
            <w:vMerge/>
            <w:tcBorders>
              <w:top w:val="nil"/>
            </w:tcBorders>
          </w:tcPr>
          <w:p>
            <w:pPr>
              <w:rPr>
                <w:sz w:val="2"/>
                <w:szCs w:val="2"/>
              </w:rPr>
            </w:pPr>
          </w:p>
        </w:tc>
        <w:tc>
          <w:tcPr>
            <w:tcW w:w="1390" w:type="dxa"/>
            <w:gridSpan w:val="2"/>
          </w:tcPr>
          <w:p>
            <w:pPr>
              <w:pStyle w:val="TableParagraph"/>
              <w:spacing w:before="198"/>
              <w:ind w:left="273"/>
              <w:jc w:val="left"/>
              <w:rPr>
                <w:sz w:val="21"/>
              </w:rPr>
            </w:pPr>
            <w:r>
              <w:rPr>
                <w:sz w:val="21"/>
              </w:rPr>
              <w:t>机房尺寸</w:t>
            </w:r>
          </w:p>
        </w:tc>
        <w:tc>
          <w:tcPr>
            <w:tcW w:w="4274" w:type="dxa"/>
            <w:gridSpan w:val="5"/>
          </w:tcPr>
          <w:p>
            <w:pPr>
              <w:pStyle w:val="TableParagraph"/>
              <w:spacing w:line="312" w:lineRule="exact" w:before="2"/>
              <w:ind w:left="870" w:right="854" w:firstLine="127"/>
              <w:jc w:val="left"/>
              <w:rPr>
                <w:rFonts w:ascii="Times New Roman" w:eastAsia="Times New Roman"/>
                <w:sz w:val="21"/>
              </w:rPr>
            </w:pPr>
            <w:r>
              <w:rPr>
                <w:spacing w:val="-2"/>
                <w:w w:val="100"/>
                <w:sz w:val="21"/>
              </w:rPr>
              <w:t>介入治疗室</w:t>
            </w:r>
            <w:r>
              <w:rPr>
                <w:spacing w:val="-1"/>
                <w:w w:val="100"/>
                <w:sz w:val="21"/>
              </w:rPr>
              <w:t>（</w:t>
            </w:r>
            <w:r>
              <w:rPr>
                <w:rFonts w:ascii="Times New Roman" w:eastAsia="Times New Roman"/>
                <w:w w:val="100"/>
                <w:sz w:val="21"/>
              </w:rPr>
              <w:t>7</w:t>
            </w:r>
            <w:r>
              <w:rPr>
                <w:rFonts w:ascii="Times New Roman" w:eastAsia="Times New Roman"/>
                <w:spacing w:val="-3"/>
                <w:w w:val="100"/>
                <w:sz w:val="21"/>
              </w:rPr>
              <w:t>2</w:t>
            </w:r>
            <w:r>
              <w:rPr>
                <w:rFonts w:ascii="Times New Roman" w:eastAsia="Times New Roman"/>
                <w:w w:val="100"/>
                <w:sz w:val="21"/>
              </w:rPr>
              <w:t>.56</w:t>
            </w:r>
            <w:r>
              <w:rPr>
                <w:rFonts w:ascii="Times New Roman" w:eastAsia="Times New Roman"/>
                <w:spacing w:val="-2"/>
                <w:w w:val="100"/>
                <w:sz w:val="21"/>
              </w:rPr>
              <w:t>m</w:t>
            </w:r>
            <w:r>
              <w:rPr>
                <w:rFonts w:ascii="Times New Roman" w:eastAsia="Times New Roman"/>
                <w:w w:val="99"/>
                <w:position w:val="7"/>
                <w:sz w:val="14"/>
              </w:rPr>
              <w:t>2</w:t>
            </w:r>
            <w:r>
              <w:rPr>
                <w:spacing w:val="-108"/>
                <w:w w:val="100"/>
                <w:sz w:val="21"/>
              </w:rPr>
              <w:t>）</w:t>
            </w:r>
            <w:r>
              <w:rPr>
                <w:w w:val="100"/>
                <w:sz w:val="21"/>
              </w:rPr>
              <w:t>：</w:t>
            </w:r>
            <w:r>
              <w:rPr>
                <w:spacing w:val="-27"/>
                <w:sz w:val="21"/>
              </w:rPr>
              <w:t>长 </w:t>
            </w:r>
            <w:r>
              <w:rPr>
                <w:rFonts w:ascii="Times New Roman" w:eastAsia="Times New Roman"/>
                <w:sz w:val="21"/>
              </w:rPr>
              <w:t>9.70m</w:t>
            </w:r>
            <w:r>
              <w:rPr>
                <w:spacing w:val="-18"/>
                <w:sz w:val="21"/>
              </w:rPr>
              <w:t>，宽 </w:t>
            </w:r>
            <w:r>
              <w:rPr>
                <w:rFonts w:ascii="Times New Roman" w:eastAsia="Times New Roman"/>
                <w:sz w:val="21"/>
              </w:rPr>
              <w:t>7.48m</w:t>
            </w:r>
            <w:r>
              <w:rPr>
                <w:color w:val="0000FF"/>
                <w:sz w:val="21"/>
              </w:rPr>
              <w:t>，</w:t>
            </w:r>
            <w:r>
              <w:rPr>
                <w:spacing w:val="-27"/>
                <w:sz w:val="21"/>
              </w:rPr>
              <w:t>高 </w:t>
            </w:r>
            <w:r>
              <w:rPr>
                <w:rFonts w:ascii="Times New Roman" w:eastAsia="Times New Roman"/>
                <w:spacing w:val="-12"/>
                <w:sz w:val="21"/>
              </w:rPr>
              <w:t>3m</w:t>
            </w:r>
          </w:p>
        </w:tc>
        <w:tc>
          <w:tcPr>
            <w:tcW w:w="1113" w:type="dxa"/>
            <w:vMerge/>
            <w:tcBorders>
              <w:top w:val="nil"/>
            </w:tcBorders>
          </w:tcPr>
          <w:p>
            <w:pPr>
              <w:rPr>
                <w:sz w:val="2"/>
                <w:szCs w:val="2"/>
              </w:rPr>
            </w:pPr>
          </w:p>
        </w:tc>
        <w:tc>
          <w:tcPr>
            <w:tcW w:w="1134" w:type="dxa"/>
            <w:gridSpan w:val="2"/>
            <w:vMerge/>
            <w:tcBorders>
              <w:top w:val="nil"/>
            </w:tcBorders>
          </w:tcPr>
          <w:p>
            <w:pPr>
              <w:rPr>
                <w:sz w:val="2"/>
                <w:szCs w:val="2"/>
              </w:rPr>
            </w:pPr>
          </w:p>
        </w:tc>
      </w:tr>
      <w:tr>
        <w:trPr>
          <w:trHeight w:val="1893" w:hRule="atLeast"/>
        </w:trPr>
        <w:tc>
          <w:tcPr>
            <w:tcW w:w="1154" w:type="dxa"/>
            <w:gridSpan w:val="2"/>
            <w:vMerge/>
            <w:tcBorders>
              <w:top w:val="nil"/>
            </w:tcBorders>
          </w:tcPr>
          <w:p>
            <w:pPr>
              <w:rPr>
                <w:sz w:val="2"/>
                <w:szCs w:val="2"/>
              </w:rPr>
            </w:pPr>
          </w:p>
        </w:tc>
        <w:tc>
          <w:tcPr>
            <w:tcW w:w="1390" w:type="dxa"/>
            <w:gridSpan w:val="2"/>
          </w:tcPr>
          <w:p>
            <w:pPr>
              <w:pStyle w:val="TableParagraph"/>
              <w:jc w:val="left"/>
              <w:rPr>
                <w:sz w:val="24"/>
              </w:rPr>
            </w:pPr>
          </w:p>
          <w:p>
            <w:pPr>
              <w:pStyle w:val="TableParagraph"/>
              <w:spacing w:before="1"/>
              <w:jc w:val="left"/>
              <w:rPr>
                <w:sz w:val="28"/>
              </w:rPr>
            </w:pPr>
          </w:p>
          <w:p>
            <w:pPr>
              <w:pStyle w:val="TableParagraph"/>
              <w:spacing w:line="278" w:lineRule="auto" w:before="1"/>
              <w:ind w:left="485" w:right="364" w:hanging="106"/>
              <w:jc w:val="left"/>
              <w:rPr>
                <w:sz w:val="21"/>
              </w:rPr>
            </w:pPr>
            <w:r>
              <w:rPr>
                <w:sz w:val="21"/>
              </w:rPr>
              <w:t>屏蔽体结构</w:t>
            </w:r>
          </w:p>
        </w:tc>
        <w:tc>
          <w:tcPr>
            <w:tcW w:w="4274" w:type="dxa"/>
            <w:gridSpan w:val="5"/>
          </w:tcPr>
          <w:p>
            <w:pPr>
              <w:pStyle w:val="TableParagraph"/>
              <w:spacing w:line="310" w:lineRule="atLeast" w:before="3"/>
              <w:ind w:left="107" w:right="87"/>
              <w:jc w:val="both"/>
              <w:rPr>
                <w:sz w:val="21"/>
              </w:rPr>
            </w:pPr>
            <w:r>
              <w:rPr>
                <w:spacing w:val="-9"/>
                <w:sz w:val="21"/>
              </w:rPr>
              <w:t>四周墙体均采用 </w:t>
            </w:r>
            <w:r>
              <w:rPr>
                <w:rFonts w:ascii="Times New Roman" w:eastAsia="Times New Roman"/>
                <w:sz w:val="21"/>
              </w:rPr>
              <w:t>370mm </w:t>
            </w:r>
            <w:r>
              <w:rPr>
                <w:spacing w:val="-9"/>
                <w:sz w:val="21"/>
              </w:rPr>
              <w:t>厚实心砖墙；屋顶采</w:t>
            </w:r>
            <w:r>
              <w:rPr>
                <w:spacing w:val="-6"/>
                <w:sz w:val="21"/>
              </w:rPr>
              <w:t>用龙骨钢架</w:t>
            </w:r>
            <w:r>
              <w:rPr>
                <w:rFonts w:ascii="Times New Roman" w:eastAsia="Times New Roman"/>
                <w:sz w:val="21"/>
              </w:rPr>
              <w:t>+3mm </w:t>
            </w:r>
            <w:r>
              <w:rPr>
                <w:spacing w:val="-12"/>
                <w:sz w:val="21"/>
              </w:rPr>
              <w:t>铅板；介入治疗室观察窗设</w:t>
            </w:r>
            <w:r>
              <w:rPr>
                <w:spacing w:val="-23"/>
                <w:sz w:val="21"/>
              </w:rPr>
              <w:t>计为 </w:t>
            </w:r>
            <w:r>
              <w:rPr>
                <w:rFonts w:ascii="Times New Roman" w:eastAsia="Times New Roman"/>
                <w:sz w:val="21"/>
              </w:rPr>
              <w:t>3mm </w:t>
            </w:r>
            <w:r>
              <w:rPr>
                <w:spacing w:val="-8"/>
                <w:sz w:val="21"/>
              </w:rPr>
              <w:t>铅当量铅窗，介入治疗室污物传递</w:t>
            </w:r>
            <w:r>
              <w:rPr>
                <w:spacing w:val="-14"/>
                <w:sz w:val="21"/>
              </w:rPr>
              <w:t>窗设计为 </w:t>
            </w:r>
            <w:r>
              <w:rPr>
                <w:rFonts w:ascii="Times New Roman" w:eastAsia="Times New Roman"/>
                <w:sz w:val="21"/>
              </w:rPr>
              <w:t>3mm </w:t>
            </w:r>
            <w:r>
              <w:rPr>
                <w:spacing w:val="-9"/>
                <w:sz w:val="21"/>
              </w:rPr>
              <w:t>铅当量铅窗；铅门</w:t>
            </w:r>
            <w:r>
              <w:rPr>
                <w:sz w:val="21"/>
              </w:rPr>
              <w:t>（</w:t>
            </w:r>
            <w:r>
              <w:rPr>
                <w:spacing w:val="-3"/>
                <w:sz w:val="21"/>
              </w:rPr>
              <w:t>病人至介</w:t>
            </w:r>
            <w:r>
              <w:rPr>
                <w:spacing w:val="-1"/>
                <w:sz w:val="21"/>
              </w:rPr>
              <w:t>入治疗室防护门及控制室至介入治疗室防护</w:t>
            </w:r>
            <w:r>
              <w:rPr>
                <w:sz w:val="21"/>
              </w:rPr>
              <w:t>门）</w:t>
            </w:r>
            <w:r>
              <w:rPr>
                <w:spacing w:val="-13"/>
                <w:sz w:val="21"/>
              </w:rPr>
              <w:t>均设计为 </w:t>
            </w:r>
            <w:r>
              <w:rPr>
                <w:rFonts w:ascii="Times New Roman" w:eastAsia="Times New Roman"/>
                <w:sz w:val="21"/>
              </w:rPr>
              <w:t>3mm </w:t>
            </w:r>
            <w:r>
              <w:rPr>
                <w:spacing w:val="-3"/>
                <w:sz w:val="21"/>
              </w:rPr>
              <w:t>铅当量防护门。</w:t>
            </w:r>
          </w:p>
        </w:tc>
        <w:tc>
          <w:tcPr>
            <w:tcW w:w="1113" w:type="dxa"/>
            <w:vMerge/>
            <w:tcBorders>
              <w:top w:val="nil"/>
            </w:tcBorders>
          </w:tcPr>
          <w:p>
            <w:pPr>
              <w:rPr>
                <w:sz w:val="2"/>
                <w:szCs w:val="2"/>
              </w:rPr>
            </w:pPr>
          </w:p>
        </w:tc>
        <w:tc>
          <w:tcPr>
            <w:tcW w:w="1134" w:type="dxa"/>
            <w:gridSpan w:val="2"/>
            <w:vMerge/>
            <w:tcBorders>
              <w:top w:val="nil"/>
            </w:tcBorders>
          </w:tcPr>
          <w:p>
            <w:pPr>
              <w:rPr>
                <w:sz w:val="2"/>
                <w:szCs w:val="2"/>
              </w:rPr>
            </w:pPr>
          </w:p>
        </w:tc>
      </w:tr>
      <w:tr>
        <w:trPr>
          <w:trHeight w:val="333" w:hRule="atLeast"/>
        </w:trPr>
        <w:tc>
          <w:tcPr>
            <w:tcW w:w="1154" w:type="dxa"/>
            <w:gridSpan w:val="2"/>
            <w:vMerge/>
            <w:tcBorders>
              <w:top w:val="nil"/>
            </w:tcBorders>
          </w:tcPr>
          <w:p>
            <w:pPr>
              <w:rPr>
                <w:sz w:val="2"/>
                <w:szCs w:val="2"/>
              </w:rPr>
            </w:pPr>
          </w:p>
        </w:tc>
        <w:tc>
          <w:tcPr>
            <w:tcW w:w="1390" w:type="dxa"/>
            <w:gridSpan w:val="2"/>
          </w:tcPr>
          <w:p>
            <w:pPr>
              <w:pStyle w:val="TableParagraph"/>
              <w:spacing w:before="44"/>
              <w:ind w:left="168"/>
              <w:jc w:val="left"/>
              <w:rPr>
                <w:sz w:val="21"/>
              </w:rPr>
            </w:pPr>
            <w:r>
              <w:rPr>
                <w:sz w:val="21"/>
              </w:rPr>
              <w:t>年出束时间</w:t>
            </w:r>
          </w:p>
        </w:tc>
        <w:tc>
          <w:tcPr>
            <w:tcW w:w="4274" w:type="dxa"/>
            <w:gridSpan w:val="5"/>
          </w:tcPr>
          <w:p>
            <w:pPr>
              <w:pStyle w:val="TableParagraph"/>
              <w:spacing w:before="44"/>
              <w:ind w:left="1526" w:right="1509"/>
              <w:rPr>
                <w:rFonts w:ascii="Times New Roman" w:eastAsia="Times New Roman"/>
                <w:sz w:val="21"/>
              </w:rPr>
            </w:pPr>
            <w:r>
              <w:rPr>
                <w:sz w:val="21"/>
              </w:rPr>
              <w:t>共计约 </w:t>
            </w:r>
            <w:r>
              <w:rPr>
                <w:rFonts w:ascii="Times New Roman" w:eastAsia="Times New Roman"/>
                <w:sz w:val="21"/>
              </w:rPr>
              <w:t>100h</w:t>
            </w:r>
          </w:p>
        </w:tc>
        <w:tc>
          <w:tcPr>
            <w:tcW w:w="1113" w:type="dxa"/>
            <w:vMerge/>
            <w:tcBorders>
              <w:top w:val="nil"/>
            </w:tcBorders>
          </w:tcPr>
          <w:p>
            <w:pPr>
              <w:rPr>
                <w:sz w:val="2"/>
                <w:szCs w:val="2"/>
              </w:rPr>
            </w:pPr>
          </w:p>
        </w:tc>
        <w:tc>
          <w:tcPr>
            <w:tcW w:w="1134" w:type="dxa"/>
            <w:gridSpan w:val="2"/>
            <w:vMerge/>
            <w:tcBorders>
              <w:top w:val="nil"/>
            </w:tcBorders>
          </w:tcPr>
          <w:p>
            <w:pPr>
              <w:rPr>
                <w:sz w:val="2"/>
                <w:szCs w:val="2"/>
              </w:rPr>
            </w:pPr>
          </w:p>
        </w:tc>
      </w:tr>
      <w:tr>
        <w:trPr>
          <w:trHeight w:val="935" w:hRule="atLeast"/>
        </w:trPr>
        <w:tc>
          <w:tcPr>
            <w:tcW w:w="1154" w:type="dxa"/>
            <w:gridSpan w:val="2"/>
          </w:tcPr>
          <w:p>
            <w:pPr>
              <w:pStyle w:val="TableParagraph"/>
              <w:spacing w:before="1"/>
              <w:jc w:val="left"/>
              <w:rPr>
                <w:sz w:val="26"/>
              </w:rPr>
            </w:pPr>
          </w:p>
          <w:p>
            <w:pPr>
              <w:pStyle w:val="TableParagraph"/>
              <w:ind w:left="184"/>
              <w:jc w:val="left"/>
              <w:rPr>
                <w:sz w:val="21"/>
              </w:rPr>
            </w:pPr>
            <w:r>
              <w:rPr>
                <w:sz w:val="21"/>
              </w:rPr>
              <w:t>辅助工程</w:t>
            </w:r>
          </w:p>
        </w:tc>
        <w:tc>
          <w:tcPr>
            <w:tcW w:w="5664" w:type="dxa"/>
            <w:gridSpan w:val="7"/>
          </w:tcPr>
          <w:p>
            <w:pPr>
              <w:pStyle w:val="TableParagraph"/>
              <w:spacing w:before="22"/>
              <w:ind w:left="206"/>
              <w:jc w:val="left"/>
              <w:rPr>
                <w:sz w:val="21"/>
              </w:rPr>
            </w:pPr>
            <w:r>
              <w:rPr>
                <w:sz w:val="21"/>
              </w:rPr>
              <w:t>控制室、设备间、卫生通过间、库房、缓冲间、更衣室、</w:t>
            </w:r>
          </w:p>
          <w:p>
            <w:pPr>
              <w:pStyle w:val="TableParagraph"/>
              <w:spacing w:line="310" w:lineRule="atLeast" w:before="2"/>
              <w:ind w:left="628" w:right="188" w:hanging="423"/>
              <w:jc w:val="left"/>
              <w:rPr>
                <w:sz w:val="21"/>
              </w:rPr>
            </w:pPr>
            <w:r>
              <w:rPr>
                <w:sz w:val="21"/>
              </w:rPr>
              <w:t>淋浴卫生间、值班室、治疗室、复苏室、家属谈话室及污物通道间等（均为原空置房间改建的配套房间）</w:t>
            </w:r>
          </w:p>
        </w:tc>
        <w:tc>
          <w:tcPr>
            <w:tcW w:w="1113" w:type="dxa"/>
            <w:vMerge/>
            <w:tcBorders>
              <w:top w:val="nil"/>
            </w:tcBorders>
          </w:tcPr>
          <w:p>
            <w:pPr>
              <w:rPr>
                <w:sz w:val="2"/>
                <w:szCs w:val="2"/>
              </w:rPr>
            </w:pPr>
          </w:p>
        </w:tc>
        <w:tc>
          <w:tcPr>
            <w:tcW w:w="1134" w:type="dxa"/>
            <w:gridSpan w:val="2"/>
            <w:vMerge w:val="restart"/>
          </w:tcPr>
          <w:p>
            <w:pPr>
              <w:pStyle w:val="TableParagraph"/>
              <w:spacing w:before="6"/>
              <w:jc w:val="left"/>
              <w:rPr>
                <w:sz w:val="26"/>
              </w:rPr>
            </w:pPr>
          </w:p>
          <w:p>
            <w:pPr>
              <w:pStyle w:val="TableParagraph"/>
              <w:spacing w:line="278" w:lineRule="auto"/>
              <w:ind w:left="226" w:right="156" w:hanging="104"/>
              <w:jc w:val="left"/>
              <w:rPr>
                <w:sz w:val="21"/>
              </w:rPr>
            </w:pPr>
            <w:r>
              <w:rPr>
                <w:sz w:val="21"/>
              </w:rPr>
              <w:t>废水、固体废物</w:t>
            </w:r>
          </w:p>
        </w:tc>
      </w:tr>
      <w:tr>
        <w:trPr>
          <w:trHeight w:val="311" w:hRule="atLeast"/>
        </w:trPr>
        <w:tc>
          <w:tcPr>
            <w:tcW w:w="1154" w:type="dxa"/>
            <w:gridSpan w:val="2"/>
          </w:tcPr>
          <w:p>
            <w:pPr>
              <w:pStyle w:val="TableParagraph"/>
              <w:spacing w:before="22"/>
              <w:ind w:left="184"/>
              <w:jc w:val="left"/>
              <w:rPr>
                <w:sz w:val="21"/>
              </w:rPr>
            </w:pPr>
            <w:r>
              <w:rPr>
                <w:sz w:val="21"/>
              </w:rPr>
              <w:t>公用工程</w:t>
            </w:r>
          </w:p>
        </w:tc>
        <w:tc>
          <w:tcPr>
            <w:tcW w:w="5664" w:type="dxa"/>
            <w:gridSpan w:val="7"/>
          </w:tcPr>
          <w:p>
            <w:pPr>
              <w:pStyle w:val="TableParagraph"/>
              <w:spacing w:before="22"/>
              <w:ind w:left="1572"/>
              <w:jc w:val="left"/>
              <w:rPr>
                <w:sz w:val="21"/>
              </w:rPr>
            </w:pPr>
            <w:r>
              <w:rPr>
                <w:sz w:val="21"/>
              </w:rPr>
              <w:t>给水、排水、供配电设施等</w:t>
            </w:r>
          </w:p>
        </w:tc>
        <w:tc>
          <w:tcPr>
            <w:tcW w:w="1113" w:type="dxa"/>
            <w:vMerge/>
            <w:tcBorders>
              <w:top w:val="nil"/>
            </w:tcBorders>
          </w:tcPr>
          <w:p>
            <w:pPr>
              <w:rPr>
                <w:sz w:val="2"/>
                <w:szCs w:val="2"/>
              </w:rPr>
            </w:pPr>
          </w:p>
        </w:tc>
        <w:tc>
          <w:tcPr>
            <w:tcW w:w="1134" w:type="dxa"/>
            <w:gridSpan w:val="2"/>
            <w:vMerge/>
            <w:tcBorders>
              <w:top w:val="nil"/>
            </w:tcBorders>
          </w:tcPr>
          <w:p>
            <w:pPr>
              <w:rPr>
                <w:sz w:val="2"/>
                <w:szCs w:val="2"/>
              </w:rPr>
            </w:pPr>
          </w:p>
        </w:tc>
      </w:tr>
      <w:tr>
        <w:trPr>
          <w:trHeight w:val="623" w:hRule="atLeast"/>
        </w:trPr>
        <w:tc>
          <w:tcPr>
            <w:tcW w:w="1154" w:type="dxa"/>
            <w:gridSpan w:val="2"/>
          </w:tcPr>
          <w:p>
            <w:pPr>
              <w:pStyle w:val="TableParagraph"/>
              <w:spacing w:before="22"/>
              <w:ind w:left="165" w:right="98"/>
              <w:rPr>
                <w:sz w:val="21"/>
              </w:rPr>
            </w:pPr>
            <w:r>
              <w:rPr>
                <w:sz w:val="21"/>
              </w:rPr>
              <w:t>办公生活</w:t>
            </w:r>
          </w:p>
          <w:p>
            <w:pPr>
              <w:pStyle w:val="TableParagraph"/>
              <w:spacing w:before="43"/>
              <w:ind w:left="165" w:right="95"/>
              <w:rPr>
                <w:sz w:val="21"/>
              </w:rPr>
            </w:pPr>
            <w:r>
              <w:rPr>
                <w:sz w:val="21"/>
              </w:rPr>
              <w:t>设施</w:t>
            </w:r>
          </w:p>
        </w:tc>
        <w:tc>
          <w:tcPr>
            <w:tcW w:w="5664" w:type="dxa"/>
            <w:gridSpan w:val="7"/>
          </w:tcPr>
          <w:p>
            <w:pPr>
              <w:pStyle w:val="TableParagraph"/>
              <w:spacing w:before="178"/>
              <w:ind w:left="1049"/>
              <w:jc w:val="left"/>
              <w:rPr>
                <w:sz w:val="21"/>
              </w:rPr>
            </w:pPr>
            <w:r>
              <w:rPr>
                <w:sz w:val="21"/>
              </w:rPr>
              <w:t>医生值班室 </w:t>
            </w:r>
            <w:r>
              <w:rPr>
                <w:rFonts w:ascii="Times New Roman" w:eastAsia="Times New Roman"/>
                <w:sz w:val="21"/>
              </w:rPr>
              <w:t>1 </w:t>
            </w:r>
            <w:r>
              <w:rPr>
                <w:sz w:val="21"/>
              </w:rPr>
              <w:t>间（为原空置房间改建）</w:t>
            </w:r>
          </w:p>
        </w:tc>
        <w:tc>
          <w:tcPr>
            <w:tcW w:w="1113" w:type="dxa"/>
            <w:vMerge/>
            <w:tcBorders>
              <w:top w:val="nil"/>
            </w:tcBorders>
          </w:tcPr>
          <w:p>
            <w:pPr>
              <w:rPr>
                <w:sz w:val="2"/>
                <w:szCs w:val="2"/>
              </w:rPr>
            </w:pPr>
          </w:p>
        </w:tc>
        <w:tc>
          <w:tcPr>
            <w:tcW w:w="1134" w:type="dxa"/>
            <w:gridSpan w:val="2"/>
          </w:tcPr>
          <w:p>
            <w:pPr>
              <w:pStyle w:val="TableParagraph"/>
              <w:spacing w:before="22"/>
              <w:ind w:left="123"/>
              <w:jc w:val="left"/>
              <w:rPr>
                <w:sz w:val="21"/>
              </w:rPr>
            </w:pPr>
            <w:r>
              <w:rPr>
                <w:spacing w:val="-1"/>
                <w:sz w:val="21"/>
              </w:rPr>
              <w:t>生活垃圾</w:t>
            </w:r>
          </w:p>
          <w:p>
            <w:pPr>
              <w:pStyle w:val="TableParagraph"/>
              <w:spacing w:before="43"/>
              <w:ind w:left="123"/>
              <w:jc w:val="left"/>
              <w:rPr>
                <w:sz w:val="21"/>
              </w:rPr>
            </w:pPr>
            <w:r>
              <w:rPr>
                <w:spacing w:val="-1"/>
                <w:sz w:val="21"/>
              </w:rPr>
              <w:t>生活污水</w:t>
            </w:r>
          </w:p>
        </w:tc>
      </w:tr>
      <w:tr>
        <w:trPr>
          <w:trHeight w:val="4366" w:hRule="atLeast"/>
        </w:trPr>
        <w:tc>
          <w:tcPr>
            <w:tcW w:w="1154" w:type="dxa"/>
            <w:gridSpan w:val="2"/>
            <w:tcBorders>
              <w:bottom w:val="single" w:sz="18"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205"/>
              <w:ind w:left="184"/>
              <w:jc w:val="left"/>
              <w:rPr>
                <w:sz w:val="21"/>
              </w:rPr>
            </w:pPr>
            <w:r>
              <w:rPr>
                <w:sz w:val="21"/>
              </w:rPr>
              <w:t>环保设施</w:t>
            </w:r>
          </w:p>
        </w:tc>
        <w:tc>
          <w:tcPr>
            <w:tcW w:w="5664" w:type="dxa"/>
            <w:gridSpan w:val="7"/>
            <w:tcBorders>
              <w:bottom w:val="single" w:sz="18" w:space="0" w:color="000000"/>
            </w:tcBorders>
          </w:tcPr>
          <w:p>
            <w:pPr>
              <w:pStyle w:val="TableParagraph"/>
              <w:numPr>
                <w:ilvl w:val="0"/>
                <w:numId w:val="2"/>
              </w:numPr>
              <w:tabs>
                <w:tab w:pos="646" w:val="left" w:leader="none"/>
              </w:tabs>
              <w:spacing w:line="278" w:lineRule="auto" w:before="22" w:after="0"/>
              <w:ind w:left="108" w:right="85" w:firstLine="0"/>
              <w:jc w:val="both"/>
              <w:rPr>
                <w:sz w:val="21"/>
              </w:rPr>
            </w:pPr>
            <w:r>
              <w:rPr>
                <w:spacing w:val="-1"/>
                <w:sz w:val="21"/>
              </w:rPr>
              <w:t>医院产生的废水依托医院污水处理站，废水经预处理</w:t>
            </w:r>
            <w:r>
              <w:rPr>
                <w:spacing w:val="-5"/>
                <w:sz w:val="21"/>
              </w:rPr>
              <w:t>后，经自建污水管网与医院原有污水管网碰管，汇入医院现污水处理系统（</w:t>
            </w:r>
            <w:r>
              <w:rPr>
                <w:sz w:val="21"/>
              </w:rPr>
              <w:t>处理工艺：化粪池</w:t>
            </w:r>
            <w:r>
              <w:rPr>
                <w:rFonts w:ascii="Times New Roman" w:hAnsi="Times New Roman" w:eastAsia="Times New Roman"/>
                <w:sz w:val="21"/>
              </w:rPr>
              <w:t>+</w:t>
            </w:r>
            <w:r>
              <w:rPr>
                <w:sz w:val="21"/>
              </w:rPr>
              <w:t>格栅</w:t>
            </w:r>
            <w:r>
              <w:rPr>
                <w:rFonts w:ascii="Times New Roman" w:hAnsi="Times New Roman" w:eastAsia="Times New Roman"/>
                <w:spacing w:val="3"/>
                <w:sz w:val="21"/>
              </w:rPr>
              <w:t>+</w:t>
            </w:r>
            <w:r>
              <w:rPr>
                <w:sz w:val="21"/>
              </w:rPr>
              <w:t>调节池</w:t>
            </w:r>
            <w:r>
              <w:rPr>
                <w:rFonts w:ascii="Times New Roman" w:hAnsi="Times New Roman" w:eastAsia="Times New Roman"/>
                <w:sz w:val="21"/>
              </w:rPr>
              <w:t>+</w:t>
            </w:r>
            <w:r>
              <w:rPr>
                <w:spacing w:val="-4"/>
                <w:sz w:val="21"/>
              </w:rPr>
              <w:t>一体化污</w:t>
            </w:r>
            <w:r>
              <w:rPr>
                <w:spacing w:val="-2"/>
                <w:sz w:val="21"/>
              </w:rPr>
              <w:t>水处理设备</w:t>
            </w:r>
            <w:r>
              <w:rPr>
                <w:rFonts w:ascii="Times New Roman" w:hAnsi="Times New Roman" w:eastAsia="Times New Roman"/>
                <w:sz w:val="21"/>
              </w:rPr>
              <w:t>+</w:t>
            </w:r>
            <w:r>
              <w:rPr>
                <w:spacing w:val="-9"/>
                <w:sz w:val="21"/>
              </w:rPr>
              <w:t>消毒，处理规模为 </w:t>
            </w:r>
            <w:r>
              <w:rPr>
                <w:rFonts w:ascii="Times New Roman" w:hAnsi="Times New Roman" w:eastAsia="Times New Roman"/>
                <w:spacing w:val="-3"/>
                <w:sz w:val="21"/>
              </w:rPr>
              <w:t>400m³/d</w:t>
            </w:r>
            <w:r>
              <w:rPr>
                <w:spacing w:val="-3"/>
                <w:sz w:val="21"/>
              </w:rPr>
              <w:t>）</w:t>
            </w:r>
            <w:r>
              <w:rPr>
                <w:spacing w:val="-5"/>
                <w:sz w:val="21"/>
              </w:rPr>
              <w:t>处理，经处理达到</w:t>
            </w:r>
          </w:p>
          <w:p>
            <w:pPr>
              <w:pStyle w:val="TableParagraph"/>
              <w:spacing w:line="278" w:lineRule="auto"/>
              <w:ind w:left="108" w:right="85"/>
              <w:jc w:val="both"/>
              <w:rPr>
                <w:sz w:val="21"/>
              </w:rPr>
            </w:pPr>
            <w:r>
              <w:rPr>
                <w:spacing w:val="-4"/>
                <w:w w:val="100"/>
                <w:sz w:val="21"/>
              </w:rPr>
              <w:t>《医疗机构水污染物排放标准</w:t>
            </w:r>
            <w:r>
              <w:rPr>
                <w:spacing w:val="-205"/>
                <w:w w:val="100"/>
                <w:sz w:val="21"/>
              </w:rPr>
              <w:t>》</w:t>
            </w:r>
            <w:r>
              <w:rPr>
                <w:spacing w:val="-4"/>
                <w:w w:val="100"/>
                <w:sz w:val="21"/>
              </w:rPr>
              <w:t>（</w:t>
            </w:r>
            <w:r>
              <w:rPr>
                <w:rFonts w:ascii="Times New Roman" w:hAnsi="Times New Roman" w:eastAsia="Times New Roman"/>
                <w:w w:val="100"/>
                <w:sz w:val="21"/>
              </w:rPr>
              <w:t>G</w:t>
            </w:r>
            <w:r>
              <w:rPr>
                <w:rFonts w:ascii="Times New Roman" w:hAnsi="Times New Roman" w:eastAsia="Times New Roman"/>
                <w:spacing w:val="-2"/>
                <w:w w:val="100"/>
                <w:sz w:val="21"/>
              </w:rPr>
              <w:t>B</w:t>
            </w:r>
            <w:r>
              <w:rPr>
                <w:rFonts w:ascii="Times New Roman" w:hAnsi="Times New Roman" w:eastAsia="Times New Roman"/>
                <w:w w:val="100"/>
                <w:sz w:val="21"/>
              </w:rPr>
              <w:t>18</w:t>
            </w:r>
            <w:r>
              <w:rPr>
                <w:rFonts w:ascii="Times New Roman" w:hAnsi="Times New Roman" w:eastAsia="Times New Roman"/>
                <w:spacing w:val="-3"/>
                <w:w w:val="100"/>
                <w:sz w:val="21"/>
              </w:rPr>
              <w:t>4</w:t>
            </w:r>
            <w:r>
              <w:rPr>
                <w:rFonts w:ascii="Times New Roman" w:hAnsi="Times New Roman" w:eastAsia="Times New Roman"/>
                <w:w w:val="100"/>
                <w:sz w:val="21"/>
              </w:rPr>
              <w:t>66-2</w:t>
            </w:r>
            <w:r>
              <w:rPr>
                <w:rFonts w:ascii="Times New Roman" w:hAnsi="Times New Roman" w:eastAsia="Times New Roman"/>
                <w:spacing w:val="-3"/>
                <w:w w:val="100"/>
                <w:sz w:val="21"/>
              </w:rPr>
              <w:t>0</w:t>
            </w:r>
            <w:r>
              <w:rPr>
                <w:rFonts w:ascii="Times New Roman" w:hAnsi="Times New Roman" w:eastAsia="Times New Roman"/>
                <w:w w:val="100"/>
                <w:sz w:val="21"/>
              </w:rPr>
              <w:t>0</w:t>
            </w:r>
            <w:r>
              <w:rPr>
                <w:rFonts w:ascii="Times New Roman" w:hAnsi="Times New Roman" w:eastAsia="Times New Roman"/>
                <w:spacing w:val="-1"/>
                <w:w w:val="100"/>
                <w:sz w:val="21"/>
              </w:rPr>
              <w:t>5</w:t>
            </w:r>
            <w:r>
              <w:rPr>
                <w:spacing w:val="-102"/>
                <w:w w:val="100"/>
                <w:sz w:val="21"/>
              </w:rPr>
              <w:t>）</w:t>
            </w:r>
            <w:r>
              <w:rPr>
                <w:spacing w:val="-2"/>
                <w:w w:val="100"/>
                <w:sz w:val="21"/>
              </w:rPr>
              <w:t>中的表</w:t>
            </w:r>
            <w:r>
              <w:rPr>
                <w:spacing w:val="-2"/>
                <w:sz w:val="21"/>
              </w:rPr>
              <w:t> </w:t>
            </w:r>
            <w:r>
              <w:rPr>
                <w:rFonts w:ascii="Times New Roman" w:hAnsi="Times New Roman" w:eastAsia="Times New Roman"/>
                <w:spacing w:val="-3"/>
                <w:w w:val="100"/>
                <w:sz w:val="21"/>
              </w:rPr>
              <w:t>2</w:t>
            </w:r>
            <w:r>
              <w:rPr>
                <w:rFonts w:ascii="Times New Roman" w:hAnsi="Times New Roman" w:eastAsia="Times New Roman"/>
                <w:spacing w:val="-1"/>
                <w:w w:val="100"/>
                <w:sz w:val="21"/>
              </w:rPr>
              <w:t>“</w:t>
            </w:r>
            <w:r>
              <w:rPr>
                <w:w w:val="100"/>
                <w:sz w:val="21"/>
              </w:rPr>
              <w:t>排</w:t>
            </w:r>
            <w:r>
              <w:rPr>
                <w:spacing w:val="-1"/>
                <w:sz w:val="21"/>
              </w:rPr>
              <w:t>放标准</w:t>
            </w:r>
            <w:r>
              <w:rPr>
                <w:rFonts w:ascii="Times New Roman" w:hAnsi="Times New Roman" w:eastAsia="Times New Roman"/>
                <w:sz w:val="21"/>
              </w:rPr>
              <w:t>”</w:t>
            </w:r>
            <w:r>
              <w:rPr>
                <w:spacing w:val="-13"/>
                <w:sz w:val="21"/>
              </w:rPr>
              <w:t>限值要求后，可排入市政污水管网送三台县城市生活</w:t>
            </w:r>
            <w:r>
              <w:rPr>
                <w:spacing w:val="-6"/>
                <w:sz w:val="21"/>
              </w:rPr>
              <w:t>污水处理厂进一步处理，最终达《城镇污水处理厂污染物排</w:t>
            </w:r>
            <w:r>
              <w:rPr>
                <w:spacing w:val="-31"/>
                <w:sz w:val="21"/>
              </w:rPr>
              <w:t>放标准》</w:t>
            </w:r>
            <w:r>
              <w:rPr>
                <w:sz w:val="21"/>
              </w:rPr>
              <w:t>（</w:t>
            </w:r>
            <w:r>
              <w:rPr>
                <w:rFonts w:ascii="Times New Roman" w:hAnsi="Times New Roman" w:eastAsia="Times New Roman"/>
                <w:sz w:val="21"/>
              </w:rPr>
              <w:t>GB18918-2002</w:t>
            </w:r>
            <w:r>
              <w:rPr>
                <w:sz w:val="21"/>
              </w:rPr>
              <w:t>）</w:t>
            </w:r>
            <w:r>
              <w:rPr>
                <w:spacing w:val="-13"/>
                <w:sz w:val="21"/>
              </w:rPr>
              <w:t>的一级 </w:t>
            </w:r>
            <w:r>
              <w:rPr>
                <w:rFonts w:ascii="Times New Roman" w:hAnsi="Times New Roman" w:eastAsia="Times New Roman"/>
                <w:sz w:val="21"/>
              </w:rPr>
              <w:t>A </w:t>
            </w:r>
            <w:r>
              <w:rPr>
                <w:spacing w:val="-4"/>
                <w:sz w:val="21"/>
              </w:rPr>
              <w:t>标准限值要求后排入涪江。</w:t>
            </w:r>
          </w:p>
          <w:p>
            <w:pPr>
              <w:pStyle w:val="TableParagraph"/>
              <w:numPr>
                <w:ilvl w:val="0"/>
                <w:numId w:val="2"/>
              </w:numPr>
              <w:tabs>
                <w:tab w:pos="646" w:val="left" w:leader="none"/>
              </w:tabs>
              <w:spacing w:line="278" w:lineRule="auto" w:before="0" w:after="0"/>
              <w:ind w:left="108" w:right="85" w:firstLine="0"/>
              <w:jc w:val="both"/>
              <w:rPr>
                <w:sz w:val="21"/>
              </w:rPr>
            </w:pPr>
            <w:r>
              <w:rPr>
                <w:spacing w:val="-1"/>
                <w:sz w:val="21"/>
              </w:rPr>
              <w:t>本项目工作期间产生的医疗废物采用专门的收集容器</w:t>
            </w:r>
            <w:r>
              <w:rPr>
                <w:spacing w:val="-5"/>
                <w:sz w:val="21"/>
              </w:rPr>
              <w:t>统一收集并暂存于医院现有的危险废物污物间，定期由有资质的医疗废物处置单位统一收集处置。</w:t>
            </w:r>
          </w:p>
          <w:p>
            <w:pPr>
              <w:pStyle w:val="TableParagraph"/>
              <w:numPr>
                <w:ilvl w:val="0"/>
                <w:numId w:val="2"/>
              </w:numPr>
              <w:tabs>
                <w:tab w:pos="646" w:val="left" w:leader="none"/>
              </w:tabs>
              <w:spacing w:line="269" w:lineRule="exact" w:before="0" w:after="0"/>
              <w:ind w:left="645" w:right="0" w:hanging="537"/>
              <w:jc w:val="both"/>
              <w:rPr>
                <w:sz w:val="21"/>
              </w:rPr>
            </w:pPr>
            <w:r>
              <w:rPr>
                <w:sz w:val="21"/>
              </w:rPr>
              <w:t>医院产生的生活垃圾依托原有医院设施收集后由市政</w:t>
            </w:r>
          </w:p>
          <w:p>
            <w:pPr>
              <w:pStyle w:val="TableParagraph"/>
              <w:spacing w:line="268" w:lineRule="exact" w:before="42"/>
              <w:ind w:left="108"/>
              <w:jc w:val="both"/>
              <w:rPr>
                <w:sz w:val="21"/>
              </w:rPr>
            </w:pPr>
            <w:r>
              <w:rPr>
                <w:sz w:val="21"/>
              </w:rPr>
              <w:t>环卫部门统一清运。</w:t>
            </w:r>
          </w:p>
        </w:tc>
        <w:tc>
          <w:tcPr>
            <w:tcW w:w="1113" w:type="dxa"/>
            <w:tcBorders>
              <w:bottom w:val="single" w:sz="18"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line="278" w:lineRule="auto" w:before="201"/>
              <w:ind w:left="139" w:right="118"/>
              <w:rPr>
                <w:sz w:val="21"/>
              </w:rPr>
            </w:pPr>
            <w:r>
              <w:rPr>
                <w:sz w:val="21"/>
              </w:rPr>
              <w:t>依托医院现有处理设施</w:t>
            </w:r>
          </w:p>
        </w:tc>
        <w:tc>
          <w:tcPr>
            <w:tcW w:w="1134" w:type="dxa"/>
            <w:gridSpan w:val="2"/>
            <w:tcBorders>
              <w:bottom w:val="single" w:sz="18"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
              <w:jc w:val="left"/>
              <w:rPr>
                <w:sz w:val="29"/>
              </w:rPr>
            </w:pPr>
          </w:p>
          <w:p>
            <w:pPr>
              <w:pStyle w:val="TableParagraph"/>
              <w:ind w:right="34"/>
              <w:rPr>
                <w:rFonts w:ascii="Times New Roman"/>
                <w:sz w:val="21"/>
              </w:rPr>
            </w:pPr>
            <w:r>
              <w:rPr>
                <w:rFonts w:ascii="Times New Roman"/>
                <w:w w:val="100"/>
                <w:sz w:val="21"/>
              </w:rPr>
              <w:t>/</w:t>
            </w:r>
          </w:p>
        </w:tc>
      </w:tr>
    </w:tbl>
    <w:p>
      <w:pPr>
        <w:spacing w:after="0"/>
        <w:rPr>
          <w:rFonts w:ascii="Times New Roman"/>
          <w:sz w:val="21"/>
        </w:rPr>
        <w:sectPr>
          <w:pgSz w:w="11910" w:h="16840"/>
          <w:pgMar w:header="0" w:footer="949" w:top="1220" w:bottom="1140" w:left="1520" w:right="1060"/>
        </w:sect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78"/>
        <w:gridCol w:w="1118"/>
        <w:gridCol w:w="2239"/>
        <w:gridCol w:w="2241"/>
        <w:gridCol w:w="2294"/>
      </w:tblGrid>
      <w:tr>
        <w:trPr>
          <w:trHeight w:val="11075" w:hRule="atLeast"/>
        </w:trPr>
        <w:tc>
          <w:tcPr>
            <w:tcW w:w="9070" w:type="dxa"/>
            <w:gridSpan w:val="5"/>
            <w:tcBorders>
              <w:bottom w:val="single" w:sz="12" w:space="0" w:color="000000"/>
            </w:tcBorders>
          </w:tcPr>
          <w:p>
            <w:pPr>
              <w:pStyle w:val="TableParagraph"/>
              <w:spacing w:before="81"/>
              <w:ind w:left="590"/>
              <w:jc w:val="left"/>
              <w:rPr>
                <w:sz w:val="24"/>
              </w:rPr>
            </w:pPr>
            <w:r>
              <w:rPr>
                <w:sz w:val="24"/>
              </w:rPr>
              <w:t>3、项目依托设施</w:t>
            </w:r>
            <w:r>
              <w:rPr>
                <w:w w:val="50"/>
                <w:sz w:val="24"/>
              </w:rPr>
              <w:t> </w:t>
            </w:r>
          </w:p>
          <w:p>
            <w:pPr>
              <w:pStyle w:val="TableParagraph"/>
              <w:spacing w:line="364" w:lineRule="auto" w:before="161"/>
              <w:ind w:left="107" w:right="91" w:firstLine="480"/>
              <w:jc w:val="both"/>
              <w:rPr>
                <w:sz w:val="24"/>
              </w:rPr>
            </w:pPr>
            <w:r>
              <w:rPr>
                <w:spacing w:val="-2"/>
                <w:sz w:val="24"/>
              </w:rPr>
              <w:t>《关于三台县环境保护局关于三台县中医院灾后重建项目试运行的批复》中完成</w:t>
            </w:r>
            <w:r>
              <w:rPr>
                <w:spacing w:val="-1"/>
                <w:sz w:val="24"/>
              </w:rPr>
              <w:t>了环境影响评价并已取得原三台县环境保护局</w:t>
            </w:r>
            <w:r>
              <w:rPr>
                <w:sz w:val="24"/>
              </w:rPr>
              <w:t>（现绵阳市三台生态环境局</w:t>
            </w:r>
            <w:r>
              <w:rPr>
                <w:spacing w:val="-8"/>
                <w:sz w:val="24"/>
              </w:rPr>
              <w:t>）</w:t>
            </w:r>
            <w:r>
              <w:rPr>
                <w:spacing w:val="-4"/>
                <w:sz w:val="24"/>
              </w:rPr>
              <w:t>批复</w:t>
            </w:r>
            <w:r>
              <w:rPr>
                <w:sz w:val="24"/>
              </w:rPr>
              <w:t>（</w:t>
            </w:r>
            <w:r>
              <w:rPr>
                <w:spacing w:val="-14"/>
                <w:sz w:val="24"/>
              </w:rPr>
              <w:t>三</w:t>
            </w:r>
            <w:r>
              <w:rPr>
                <w:spacing w:val="-1"/>
                <w:sz w:val="24"/>
              </w:rPr>
              <w:t>环保〔</w:t>
            </w:r>
            <w:r>
              <w:rPr>
                <w:rFonts w:ascii="Times New Roman" w:eastAsia="Times New Roman"/>
                <w:sz w:val="24"/>
              </w:rPr>
              <w:t>201</w:t>
            </w:r>
            <w:r>
              <w:rPr>
                <w:rFonts w:ascii="Times New Roman" w:eastAsia="Times New Roman"/>
                <w:spacing w:val="-1"/>
                <w:sz w:val="24"/>
              </w:rPr>
              <w:t>2</w:t>
            </w:r>
            <w:r>
              <w:rPr>
                <w:sz w:val="24"/>
              </w:rPr>
              <w:t>〕</w:t>
            </w:r>
            <w:r>
              <w:rPr>
                <w:rFonts w:ascii="Times New Roman" w:eastAsia="Times New Roman"/>
                <w:sz w:val="24"/>
              </w:rPr>
              <w:t>48 </w:t>
            </w:r>
            <w:r>
              <w:rPr>
                <w:sz w:val="24"/>
              </w:rPr>
              <w:t>号</w:t>
            </w:r>
            <w:r>
              <w:rPr>
                <w:spacing w:val="-120"/>
                <w:sz w:val="24"/>
              </w:rPr>
              <w:t>）</w:t>
            </w:r>
            <w:r>
              <w:rPr>
                <w:spacing w:val="-13"/>
                <w:sz w:val="24"/>
              </w:rPr>
              <w:t>，见附件 </w:t>
            </w:r>
            <w:r>
              <w:rPr>
                <w:rFonts w:ascii="Times New Roman" w:eastAsia="Times New Roman"/>
                <w:sz w:val="24"/>
              </w:rPr>
              <w:t>2</w:t>
            </w:r>
            <w:r>
              <w:rPr>
                <w:sz w:val="24"/>
              </w:rPr>
              <w:t>。本项目依托的主要环保设施有：</w:t>
            </w:r>
          </w:p>
          <w:p>
            <w:pPr>
              <w:pStyle w:val="TableParagraph"/>
              <w:numPr>
                <w:ilvl w:val="0"/>
                <w:numId w:val="3"/>
              </w:numPr>
              <w:tabs>
                <w:tab w:pos="1189" w:val="left" w:leader="none"/>
              </w:tabs>
              <w:spacing w:line="364" w:lineRule="auto" w:before="1" w:after="0"/>
              <w:ind w:left="107" w:right="-29" w:firstLine="480"/>
              <w:jc w:val="left"/>
              <w:rPr>
                <w:rFonts w:ascii="Times New Roman" w:hAnsi="Times New Roman" w:eastAsia="Times New Roman"/>
                <w:sz w:val="24"/>
              </w:rPr>
            </w:pPr>
            <w:r>
              <w:rPr>
                <w:spacing w:val="-9"/>
                <w:sz w:val="24"/>
              </w:rPr>
              <w:t>本项目运行后，废水主要为辐射工作人员和患者产生的少量的生活污水及医</w:t>
            </w:r>
            <w:r>
              <w:rPr>
                <w:spacing w:val="-8"/>
                <w:sz w:val="24"/>
              </w:rPr>
              <w:t>疗废水。处理措施：废水经预处理后，经自建污水管网与医院原有污水管网碰管，汇</w:t>
            </w:r>
            <w:r>
              <w:rPr>
                <w:spacing w:val="-18"/>
                <w:sz w:val="24"/>
              </w:rPr>
              <w:t>入医院现污水处理系统</w:t>
            </w:r>
            <w:r>
              <w:rPr>
                <w:sz w:val="24"/>
              </w:rPr>
              <w:t>（</w:t>
            </w:r>
            <w:r>
              <w:rPr>
                <w:spacing w:val="-14"/>
                <w:sz w:val="24"/>
              </w:rPr>
              <w:t>处理工艺：化粪池</w:t>
            </w:r>
            <w:r>
              <w:rPr>
                <w:rFonts w:ascii="Times New Roman" w:hAnsi="Times New Roman" w:eastAsia="Times New Roman"/>
                <w:sz w:val="24"/>
              </w:rPr>
              <w:t>+</w:t>
            </w:r>
            <w:r>
              <w:rPr>
                <w:sz w:val="24"/>
              </w:rPr>
              <w:t>格栅</w:t>
            </w:r>
            <w:r>
              <w:rPr>
                <w:rFonts w:ascii="Times New Roman" w:hAnsi="Times New Roman" w:eastAsia="Times New Roman"/>
                <w:sz w:val="24"/>
              </w:rPr>
              <w:t>+</w:t>
            </w:r>
            <w:r>
              <w:rPr>
                <w:sz w:val="24"/>
              </w:rPr>
              <w:t>调节池</w:t>
            </w:r>
            <w:r>
              <w:rPr>
                <w:rFonts w:ascii="Times New Roman" w:hAnsi="Times New Roman" w:eastAsia="Times New Roman"/>
                <w:sz w:val="24"/>
              </w:rPr>
              <w:t>+</w:t>
            </w:r>
            <w:r>
              <w:rPr>
                <w:sz w:val="24"/>
              </w:rPr>
              <w:t>一体化污水处理设备</w:t>
            </w:r>
            <w:r>
              <w:rPr>
                <w:rFonts w:ascii="Times New Roman" w:hAnsi="Times New Roman" w:eastAsia="Times New Roman"/>
                <w:sz w:val="24"/>
              </w:rPr>
              <w:t>+</w:t>
            </w:r>
            <w:r>
              <w:rPr>
                <w:sz w:val="24"/>
              </w:rPr>
              <w:t>消毒， </w:t>
            </w:r>
            <w:r>
              <w:rPr>
                <w:spacing w:val="1"/>
                <w:sz w:val="24"/>
              </w:rPr>
              <w:t>处理规模为 </w:t>
            </w:r>
            <w:r>
              <w:rPr>
                <w:rFonts w:ascii="Times New Roman" w:hAnsi="Times New Roman" w:eastAsia="Times New Roman"/>
                <w:sz w:val="24"/>
              </w:rPr>
              <w:t>400m</w:t>
            </w:r>
            <w:r>
              <w:rPr>
                <w:sz w:val="24"/>
              </w:rPr>
              <w:t>³</w:t>
            </w:r>
            <w:r>
              <w:rPr>
                <w:rFonts w:ascii="Times New Roman" w:hAnsi="Times New Roman" w:eastAsia="Times New Roman"/>
                <w:sz w:val="24"/>
              </w:rPr>
              <w:t>/d</w:t>
            </w:r>
            <w:r>
              <w:rPr>
                <w:sz w:val="24"/>
              </w:rPr>
              <w:t>）</w:t>
            </w:r>
            <w:r>
              <w:rPr>
                <w:spacing w:val="-6"/>
                <w:sz w:val="24"/>
              </w:rPr>
              <w:t>处理，经处理达到《医疗机构水污染物排放标准》</w:t>
            </w:r>
            <w:r>
              <w:rPr>
                <w:sz w:val="24"/>
              </w:rPr>
              <w:t>（</w:t>
            </w:r>
            <w:r>
              <w:rPr>
                <w:rFonts w:ascii="Times New Roman" w:hAnsi="Times New Roman" w:eastAsia="Times New Roman"/>
                <w:sz w:val="24"/>
              </w:rPr>
              <w:t>GB18466-</w:t>
            </w:r>
          </w:p>
          <w:p>
            <w:pPr>
              <w:pStyle w:val="TableParagraph"/>
              <w:spacing w:line="364" w:lineRule="auto" w:before="3"/>
              <w:ind w:left="107" w:right="91"/>
              <w:jc w:val="both"/>
              <w:rPr>
                <w:sz w:val="24"/>
              </w:rPr>
            </w:pPr>
            <w:r>
              <w:rPr>
                <w:rFonts w:ascii="Times New Roman" w:hAnsi="Times New Roman" w:eastAsia="Times New Roman"/>
                <w:sz w:val="24"/>
              </w:rPr>
              <w:t>2005</w:t>
            </w:r>
            <w:r>
              <w:rPr>
                <w:sz w:val="24"/>
              </w:rPr>
              <w:t>）</w:t>
            </w:r>
            <w:r>
              <w:rPr>
                <w:spacing w:val="-7"/>
                <w:sz w:val="24"/>
              </w:rPr>
              <w:t>中的表 </w:t>
            </w:r>
            <w:r>
              <w:rPr>
                <w:rFonts w:ascii="Times New Roman" w:hAnsi="Times New Roman" w:eastAsia="Times New Roman"/>
                <w:sz w:val="24"/>
              </w:rPr>
              <w:t>2</w:t>
            </w:r>
            <w:r>
              <w:rPr>
                <w:spacing w:val="-1"/>
                <w:sz w:val="24"/>
              </w:rPr>
              <w:t>“排放标准”限值要求后，可排入市政污水管网送三台县城市生活污</w:t>
            </w:r>
            <w:r>
              <w:rPr>
                <w:spacing w:val="-5"/>
                <w:sz w:val="24"/>
              </w:rPr>
              <w:t>水处理厂进一步处理，最终达《城镇污水处理厂污染物排放标准》</w:t>
            </w:r>
            <w:r>
              <w:rPr>
                <w:sz w:val="24"/>
              </w:rPr>
              <w:t>（</w:t>
            </w:r>
            <w:r>
              <w:rPr>
                <w:rFonts w:ascii="Times New Roman" w:hAnsi="Times New Roman" w:eastAsia="Times New Roman"/>
                <w:sz w:val="24"/>
              </w:rPr>
              <w:t>GB18918-2002</w:t>
            </w:r>
            <w:r>
              <w:rPr>
                <w:sz w:val="24"/>
              </w:rPr>
              <w:t>） </w:t>
            </w:r>
            <w:r>
              <w:rPr>
                <w:spacing w:val="-16"/>
                <w:sz w:val="24"/>
              </w:rPr>
              <w:t>的一级 </w:t>
            </w:r>
            <w:r>
              <w:rPr>
                <w:rFonts w:ascii="Times New Roman" w:hAnsi="Times New Roman" w:eastAsia="Times New Roman"/>
                <w:sz w:val="24"/>
              </w:rPr>
              <w:t>A </w:t>
            </w:r>
            <w:r>
              <w:rPr>
                <w:sz w:val="24"/>
              </w:rPr>
              <w:t>标准限值要求后排入涪江。</w:t>
            </w:r>
          </w:p>
          <w:p>
            <w:pPr>
              <w:pStyle w:val="TableParagraph"/>
              <w:spacing w:line="364" w:lineRule="auto" w:before="2"/>
              <w:ind w:left="107" w:right="43" w:firstLine="480"/>
              <w:jc w:val="left"/>
              <w:rPr>
                <w:sz w:val="24"/>
              </w:rPr>
            </w:pPr>
            <w:r>
              <w:rPr>
                <w:sz w:val="24"/>
              </w:rPr>
              <w:t>本项目不涉及新增工作人员，医院污水处理站现有处理能力能够满足现有生活污水及医疗废水产生量和排放量的排放需求。</w:t>
            </w:r>
          </w:p>
          <w:p>
            <w:pPr>
              <w:pStyle w:val="TableParagraph"/>
              <w:numPr>
                <w:ilvl w:val="0"/>
                <w:numId w:val="3"/>
              </w:numPr>
              <w:tabs>
                <w:tab w:pos="1189" w:val="left" w:leader="none"/>
              </w:tabs>
              <w:spacing w:line="364" w:lineRule="auto" w:before="1" w:after="0"/>
              <w:ind w:left="107" w:right="93" w:firstLine="480"/>
              <w:jc w:val="both"/>
              <w:rPr>
                <w:sz w:val="24"/>
              </w:rPr>
            </w:pPr>
            <w:r>
              <w:rPr>
                <w:spacing w:val="-5"/>
                <w:sz w:val="24"/>
              </w:rPr>
              <w:t>本项目产生的固体废物主要为介入手术时产生的医用器具、药棉、纱布、</w:t>
            </w:r>
            <w:r>
              <w:rPr>
                <w:spacing w:val="-4"/>
                <w:sz w:val="24"/>
              </w:rPr>
              <w:t>废造影剂及废造影剂瓶等医用废物，产生量约为 </w:t>
            </w:r>
            <w:r>
              <w:rPr>
                <w:rFonts w:ascii="Times New Roman" w:eastAsia="Times New Roman"/>
                <w:sz w:val="24"/>
              </w:rPr>
              <w:t>10kg/</w:t>
            </w:r>
            <w:r>
              <w:rPr>
                <w:sz w:val="24"/>
              </w:rPr>
              <w:t>月，介入手术产生的医疗废物</w:t>
            </w:r>
            <w:r>
              <w:rPr>
                <w:spacing w:val="-1"/>
                <w:sz w:val="24"/>
              </w:rPr>
              <w:t>采用专门的收集容器统一收集并暂存于医院现有的危险废物污物间，定期由有资质的</w:t>
            </w:r>
            <w:r>
              <w:rPr>
                <w:spacing w:val="-4"/>
                <w:sz w:val="24"/>
              </w:rPr>
              <w:t>医疗废物处置单位统一收集处置。</w:t>
            </w:r>
          </w:p>
          <w:p>
            <w:pPr>
              <w:pStyle w:val="TableParagraph"/>
              <w:numPr>
                <w:ilvl w:val="0"/>
                <w:numId w:val="3"/>
              </w:numPr>
              <w:tabs>
                <w:tab w:pos="1189" w:val="left" w:leader="none"/>
              </w:tabs>
              <w:spacing w:line="364" w:lineRule="auto" w:before="2" w:after="0"/>
              <w:ind w:left="587" w:right="93" w:firstLine="0"/>
              <w:jc w:val="left"/>
              <w:rPr>
                <w:sz w:val="24"/>
              </w:rPr>
            </w:pPr>
            <w:r>
              <w:rPr>
                <w:sz w:val="24"/>
              </w:rPr>
              <w:t>医院产生的生活垃圾依托原有医院设施收集后由市政环卫部门统一清运。</w:t>
            </w:r>
            <w:r>
              <w:rPr>
                <w:spacing w:val="-4"/>
                <w:sz w:val="24"/>
              </w:rPr>
              <w:t>医院已设置生活垃圾站，本项目产生的生活垃圾在此集中暂存，由市政环卫部门</w:t>
            </w:r>
          </w:p>
          <w:p>
            <w:pPr>
              <w:pStyle w:val="TableParagraph"/>
              <w:spacing w:before="1"/>
              <w:ind w:left="107"/>
              <w:jc w:val="left"/>
              <w:rPr>
                <w:sz w:val="24"/>
              </w:rPr>
            </w:pPr>
            <w:r>
              <w:rPr>
                <w:sz w:val="24"/>
              </w:rPr>
              <w:t>定期统一收集、清运至垃圾处理厂处置。</w:t>
            </w:r>
            <w:r>
              <w:rPr>
                <w:w w:val="50"/>
                <w:sz w:val="24"/>
              </w:rPr>
              <w:t> </w:t>
            </w:r>
          </w:p>
          <w:p>
            <w:pPr>
              <w:pStyle w:val="TableParagraph"/>
              <w:spacing w:before="161"/>
              <w:ind w:left="590"/>
              <w:jc w:val="left"/>
              <w:rPr>
                <w:sz w:val="24"/>
              </w:rPr>
            </w:pPr>
            <w:r>
              <w:rPr>
                <w:sz w:val="24"/>
              </w:rPr>
              <w:t>4、主要原辅材料及能耗</w:t>
            </w:r>
            <w:r>
              <w:rPr>
                <w:w w:val="50"/>
                <w:sz w:val="24"/>
              </w:rPr>
              <w:t> </w:t>
            </w:r>
          </w:p>
          <w:p>
            <w:pPr>
              <w:pStyle w:val="TableParagraph"/>
              <w:spacing w:line="364" w:lineRule="auto" w:before="160"/>
              <w:ind w:left="107" w:right="43" w:firstLine="480"/>
              <w:jc w:val="left"/>
              <w:rPr>
                <w:sz w:val="24"/>
              </w:rPr>
            </w:pPr>
            <w:r>
              <w:rPr>
                <w:sz w:val="24"/>
              </w:rPr>
              <w:t>本项目用电依托既有供电设施，用电引自市政供电网。本项目能耗及原辅材料的使用情况见表 </w:t>
            </w:r>
            <w:r>
              <w:rPr>
                <w:rFonts w:ascii="Times New Roman" w:eastAsia="Times New Roman"/>
                <w:sz w:val="24"/>
              </w:rPr>
              <w:t>1-4</w:t>
            </w:r>
            <w:r>
              <w:rPr>
                <w:sz w:val="24"/>
              </w:rPr>
              <w:t>。</w:t>
            </w:r>
          </w:p>
          <w:p>
            <w:pPr>
              <w:pStyle w:val="TableParagraph"/>
              <w:spacing w:line="211" w:lineRule="exact"/>
              <w:ind w:left="2661"/>
              <w:jc w:val="left"/>
              <w:rPr>
                <w:sz w:val="21"/>
              </w:rPr>
            </w:pPr>
            <w:r>
              <w:rPr>
                <w:sz w:val="21"/>
              </w:rPr>
              <w:t>表 </w:t>
            </w:r>
            <w:r>
              <w:rPr>
                <w:rFonts w:ascii="Times New Roman" w:eastAsia="Times New Roman"/>
                <w:sz w:val="21"/>
              </w:rPr>
              <w:t>1-4 </w:t>
            </w:r>
            <w:r>
              <w:rPr>
                <w:sz w:val="21"/>
              </w:rPr>
              <w:t>主要能耗及原辅材料的使用情况表</w:t>
            </w:r>
          </w:p>
        </w:tc>
      </w:tr>
      <w:tr>
        <w:trPr>
          <w:trHeight w:val="310" w:hRule="atLeast"/>
        </w:trPr>
        <w:tc>
          <w:tcPr>
            <w:tcW w:w="1178" w:type="dxa"/>
            <w:tcBorders>
              <w:top w:val="single" w:sz="12" w:space="0" w:color="000000"/>
              <w:bottom w:val="single" w:sz="12" w:space="0" w:color="000000"/>
            </w:tcBorders>
          </w:tcPr>
          <w:p>
            <w:pPr>
              <w:pStyle w:val="TableParagraph"/>
              <w:spacing w:line="269" w:lineRule="exact" w:before="22"/>
              <w:ind w:left="389" w:right="319"/>
              <w:rPr>
                <w:sz w:val="21"/>
              </w:rPr>
            </w:pPr>
            <w:r>
              <w:rPr>
                <w:sz w:val="21"/>
              </w:rPr>
              <w:t>类别</w:t>
            </w:r>
          </w:p>
        </w:tc>
        <w:tc>
          <w:tcPr>
            <w:tcW w:w="1118" w:type="dxa"/>
            <w:tcBorders>
              <w:top w:val="single" w:sz="12" w:space="0" w:color="000000"/>
              <w:bottom w:val="single" w:sz="12" w:space="0" w:color="000000"/>
            </w:tcBorders>
          </w:tcPr>
          <w:p>
            <w:pPr>
              <w:pStyle w:val="TableParagraph"/>
              <w:spacing w:line="269" w:lineRule="exact" w:before="22"/>
              <w:ind w:left="116" w:right="110"/>
              <w:rPr>
                <w:sz w:val="21"/>
              </w:rPr>
            </w:pPr>
            <w:r>
              <w:rPr>
                <w:sz w:val="21"/>
              </w:rPr>
              <w:t>名称</w:t>
            </w:r>
          </w:p>
        </w:tc>
        <w:tc>
          <w:tcPr>
            <w:tcW w:w="2239" w:type="dxa"/>
            <w:tcBorders>
              <w:top w:val="single" w:sz="12" w:space="0" w:color="000000"/>
              <w:bottom w:val="single" w:sz="12" w:space="0" w:color="000000"/>
            </w:tcBorders>
          </w:tcPr>
          <w:p>
            <w:pPr>
              <w:pStyle w:val="TableParagraph"/>
              <w:spacing w:line="269" w:lineRule="exact" w:before="22"/>
              <w:ind w:left="631" w:right="618"/>
              <w:rPr>
                <w:sz w:val="21"/>
              </w:rPr>
            </w:pPr>
            <w:r>
              <w:rPr>
                <w:sz w:val="21"/>
              </w:rPr>
              <w:t>年耗量</w:t>
            </w:r>
          </w:p>
        </w:tc>
        <w:tc>
          <w:tcPr>
            <w:tcW w:w="2241" w:type="dxa"/>
            <w:tcBorders>
              <w:top w:val="single" w:sz="12" w:space="0" w:color="000000"/>
              <w:bottom w:val="single" w:sz="12" w:space="0" w:color="000000"/>
            </w:tcBorders>
          </w:tcPr>
          <w:p>
            <w:pPr>
              <w:pStyle w:val="TableParagraph"/>
              <w:spacing w:line="269" w:lineRule="exact" w:before="22"/>
              <w:ind w:left="260" w:right="248"/>
              <w:rPr>
                <w:sz w:val="21"/>
              </w:rPr>
            </w:pPr>
            <w:r>
              <w:rPr>
                <w:sz w:val="21"/>
              </w:rPr>
              <w:t>来源</w:t>
            </w:r>
          </w:p>
        </w:tc>
        <w:tc>
          <w:tcPr>
            <w:tcW w:w="2294" w:type="dxa"/>
            <w:tcBorders>
              <w:top w:val="single" w:sz="12" w:space="0" w:color="000000"/>
              <w:bottom w:val="single" w:sz="12" w:space="0" w:color="000000"/>
            </w:tcBorders>
          </w:tcPr>
          <w:p>
            <w:pPr>
              <w:pStyle w:val="TableParagraph"/>
              <w:spacing w:line="269" w:lineRule="exact" w:before="22"/>
              <w:ind w:left="680" w:right="722"/>
              <w:rPr>
                <w:sz w:val="21"/>
              </w:rPr>
            </w:pPr>
            <w:r>
              <w:rPr>
                <w:sz w:val="21"/>
              </w:rPr>
              <w:t>用途</w:t>
            </w:r>
          </w:p>
        </w:tc>
      </w:tr>
      <w:tr>
        <w:trPr>
          <w:trHeight w:val="313" w:hRule="atLeast"/>
        </w:trPr>
        <w:tc>
          <w:tcPr>
            <w:tcW w:w="1178" w:type="dxa"/>
            <w:tcBorders>
              <w:top w:val="single" w:sz="12" w:space="0" w:color="000000"/>
            </w:tcBorders>
          </w:tcPr>
          <w:p>
            <w:pPr>
              <w:pStyle w:val="TableParagraph"/>
              <w:spacing w:before="24"/>
              <w:ind w:left="389" w:right="319"/>
              <w:rPr>
                <w:sz w:val="21"/>
              </w:rPr>
            </w:pPr>
            <w:r>
              <w:rPr>
                <w:sz w:val="21"/>
              </w:rPr>
              <w:t>能源</w:t>
            </w:r>
          </w:p>
        </w:tc>
        <w:tc>
          <w:tcPr>
            <w:tcW w:w="1118" w:type="dxa"/>
            <w:tcBorders>
              <w:top w:val="single" w:sz="12" w:space="0" w:color="000000"/>
            </w:tcBorders>
          </w:tcPr>
          <w:p>
            <w:pPr>
              <w:pStyle w:val="TableParagraph"/>
              <w:spacing w:before="24"/>
              <w:ind w:left="6"/>
              <w:rPr>
                <w:sz w:val="21"/>
              </w:rPr>
            </w:pPr>
            <w:r>
              <w:rPr>
                <w:w w:val="100"/>
                <w:sz w:val="21"/>
              </w:rPr>
              <w:t>电</w:t>
            </w:r>
          </w:p>
        </w:tc>
        <w:tc>
          <w:tcPr>
            <w:tcW w:w="2239" w:type="dxa"/>
            <w:tcBorders>
              <w:top w:val="single" w:sz="12" w:space="0" w:color="000000"/>
            </w:tcBorders>
          </w:tcPr>
          <w:p>
            <w:pPr>
              <w:pStyle w:val="TableParagraph"/>
              <w:spacing w:before="24"/>
              <w:ind w:left="631" w:right="618"/>
              <w:rPr>
                <w:rFonts w:ascii="Times New Roman" w:eastAsia="Times New Roman"/>
                <w:sz w:val="21"/>
              </w:rPr>
            </w:pPr>
            <w:r>
              <w:rPr>
                <w:rFonts w:ascii="Times New Roman" w:eastAsia="Times New Roman"/>
                <w:sz w:val="21"/>
              </w:rPr>
              <w:t>20000 </w:t>
            </w:r>
            <w:r>
              <w:rPr>
                <w:sz w:val="21"/>
              </w:rPr>
              <w:t>度</w:t>
            </w:r>
            <w:r>
              <w:rPr>
                <w:rFonts w:ascii="Times New Roman" w:eastAsia="Times New Roman"/>
                <w:sz w:val="21"/>
              </w:rPr>
              <w:t>/a</w:t>
            </w:r>
          </w:p>
        </w:tc>
        <w:tc>
          <w:tcPr>
            <w:tcW w:w="2241" w:type="dxa"/>
            <w:tcBorders>
              <w:top w:val="single" w:sz="12" w:space="0" w:color="000000"/>
            </w:tcBorders>
          </w:tcPr>
          <w:p>
            <w:pPr>
              <w:pStyle w:val="TableParagraph"/>
              <w:spacing w:before="24"/>
              <w:ind w:left="260" w:right="250"/>
              <w:rPr>
                <w:sz w:val="21"/>
              </w:rPr>
            </w:pPr>
            <w:r>
              <w:rPr>
                <w:sz w:val="21"/>
              </w:rPr>
              <w:t>城市电网</w:t>
            </w:r>
          </w:p>
        </w:tc>
        <w:tc>
          <w:tcPr>
            <w:tcW w:w="2294" w:type="dxa"/>
            <w:tcBorders>
              <w:top w:val="single" w:sz="12" w:space="0" w:color="000000"/>
            </w:tcBorders>
          </w:tcPr>
          <w:p>
            <w:pPr>
              <w:pStyle w:val="TableParagraph"/>
              <w:spacing w:before="24"/>
              <w:ind w:left="680" w:right="724"/>
              <w:rPr>
                <w:sz w:val="21"/>
              </w:rPr>
            </w:pPr>
            <w:r>
              <w:rPr>
                <w:sz w:val="21"/>
              </w:rPr>
              <w:t>设备用电</w:t>
            </w:r>
          </w:p>
        </w:tc>
      </w:tr>
      <w:tr>
        <w:trPr>
          <w:trHeight w:val="311" w:hRule="atLeast"/>
        </w:trPr>
        <w:tc>
          <w:tcPr>
            <w:tcW w:w="1178" w:type="dxa"/>
          </w:tcPr>
          <w:p>
            <w:pPr>
              <w:pStyle w:val="TableParagraph"/>
              <w:spacing w:before="22"/>
              <w:ind w:left="65"/>
              <w:rPr>
                <w:sz w:val="21"/>
              </w:rPr>
            </w:pPr>
            <w:r>
              <w:rPr>
                <w:w w:val="100"/>
                <w:sz w:val="21"/>
              </w:rPr>
              <w:t>水</w:t>
            </w:r>
          </w:p>
        </w:tc>
        <w:tc>
          <w:tcPr>
            <w:tcW w:w="1118" w:type="dxa"/>
          </w:tcPr>
          <w:p>
            <w:pPr>
              <w:pStyle w:val="TableParagraph"/>
              <w:spacing w:before="22"/>
              <w:ind w:left="118" w:right="110"/>
              <w:rPr>
                <w:sz w:val="21"/>
              </w:rPr>
            </w:pPr>
            <w:r>
              <w:rPr>
                <w:sz w:val="21"/>
              </w:rPr>
              <w:t>生活用水</w:t>
            </w:r>
          </w:p>
        </w:tc>
        <w:tc>
          <w:tcPr>
            <w:tcW w:w="2239" w:type="dxa"/>
          </w:tcPr>
          <w:p>
            <w:pPr>
              <w:pStyle w:val="TableParagraph"/>
              <w:spacing w:before="32"/>
              <w:ind w:left="631" w:right="618"/>
              <w:rPr>
                <w:rFonts w:ascii="Times New Roman"/>
                <w:sz w:val="21"/>
              </w:rPr>
            </w:pPr>
            <w:r>
              <w:rPr>
                <w:rFonts w:ascii="Times New Roman"/>
                <w:sz w:val="21"/>
              </w:rPr>
              <w:t>1000m</w:t>
            </w:r>
            <w:r>
              <w:rPr>
                <w:rFonts w:ascii="Times New Roman"/>
                <w:position w:val="7"/>
                <w:sz w:val="14"/>
              </w:rPr>
              <w:t>3</w:t>
            </w:r>
            <w:r>
              <w:rPr>
                <w:rFonts w:ascii="Times New Roman"/>
                <w:sz w:val="21"/>
              </w:rPr>
              <w:t>/a</w:t>
            </w:r>
          </w:p>
        </w:tc>
        <w:tc>
          <w:tcPr>
            <w:tcW w:w="2241" w:type="dxa"/>
          </w:tcPr>
          <w:p>
            <w:pPr>
              <w:pStyle w:val="TableParagraph"/>
              <w:spacing w:before="22"/>
              <w:ind w:left="260" w:right="250"/>
              <w:rPr>
                <w:sz w:val="21"/>
              </w:rPr>
            </w:pPr>
            <w:r>
              <w:rPr>
                <w:sz w:val="21"/>
              </w:rPr>
              <w:t>城市生活用水管网</w:t>
            </w:r>
          </w:p>
        </w:tc>
        <w:tc>
          <w:tcPr>
            <w:tcW w:w="2294" w:type="dxa"/>
          </w:tcPr>
          <w:p>
            <w:pPr>
              <w:pStyle w:val="TableParagraph"/>
              <w:spacing w:before="22"/>
              <w:ind w:left="680" w:right="724"/>
              <w:rPr>
                <w:sz w:val="21"/>
              </w:rPr>
            </w:pPr>
            <w:r>
              <w:rPr>
                <w:sz w:val="21"/>
              </w:rPr>
              <w:t>生活用水</w:t>
            </w:r>
          </w:p>
        </w:tc>
      </w:tr>
      <w:tr>
        <w:trPr>
          <w:trHeight w:val="313" w:hRule="atLeast"/>
        </w:trPr>
        <w:tc>
          <w:tcPr>
            <w:tcW w:w="1178" w:type="dxa"/>
            <w:tcBorders>
              <w:bottom w:val="single" w:sz="12" w:space="0" w:color="000000"/>
            </w:tcBorders>
          </w:tcPr>
          <w:p>
            <w:pPr>
              <w:pStyle w:val="TableParagraph"/>
              <w:spacing w:before="22"/>
              <w:ind w:left="389" w:right="319"/>
              <w:rPr>
                <w:sz w:val="21"/>
              </w:rPr>
            </w:pPr>
            <w:r>
              <w:rPr>
                <w:sz w:val="21"/>
              </w:rPr>
              <w:t>药品</w:t>
            </w:r>
          </w:p>
        </w:tc>
        <w:tc>
          <w:tcPr>
            <w:tcW w:w="1118" w:type="dxa"/>
            <w:tcBorders>
              <w:bottom w:val="single" w:sz="12" w:space="0" w:color="000000"/>
            </w:tcBorders>
          </w:tcPr>
          <w:p>
            <w:pPr>
              <w:pStyle w:val="TableParagraph"/>
              <w:spacing w:before="22"/>
              <w:ind w:left="116" w:right="110"/>
              <w:rPr>
                <w:sz w:val="21"/>
              </w:rPr>
            </w:pPr>
            <w:r>
              <w:rPr>
                <w:sz w:val="21"/>
              </w:rPr>
              <w:t>造影剂</w:t>
            </w:r>
          </w:p>
        </w:tc>
        <w:tc>
          <w:tcPr>
            <w:tcW w:w="2239" w:type="dxa"/>
            <w:tcBorders>
              <w:bottom w:val="single" w:sz="12" w:space="0" w:color="000000"/>
            </w:tcBorders>
          </w:tcPr>
          <w:p>
            <w:pPr>
              <w:pStyle w:val="TableParagraph"/>
              <w:spacing w:before="22"/>
              <w:ind w:left="630" w:right="618"/>
              <w:rPr>
                <w:rFonts w:ascii="Times New Roman" w:eastAsia="Times New Roman"/>
                <w:sz w:val="21"/>
              </w:rPr>
            </w:pPr>
            <w:r>
              <w:rPr>
                <w:sz w:val="21"/>
              </w:rPr>
              <w:t>约 </w:t>
            </w:r>
            <w:r>
              <w:rPr>
                <w:rFonts w:ascii="Times New Roman" w:eastAsia="Times New Roman"/>
                <w:sz w:val="21"/>
              </w:rPr>
              <w:t>100L/a</w:t>
            </w:r>
          </w:p>
        </w:tc>
        <w:tc>
          <w:tcPr>
            <w:tcW w:w="2241" w:type="dxa"/>
            <w:tcBorders>
              <w:bottom w:val="single" w:sz="12" w:space="0" w:color="000000"/>
            </w:tcBorders>
          </w:tcPr>
          <w:p>
            <w:pPr>
              <w:pStyle w:val="TableParagraph"/>
              <w:spacing w:before="22"/>
              <w:ind w:left="260" w:right="248"/>
              <w:rPr>
                <w:sz w:val="21"/>
              </w:rPr>
            </w:pPr>
            <w:r>
              <w:rPr>
                <w:sz w:val="21"/>
              </w:rPr>
              <w:t>外购</w:t>
            </w:r>
          </w:p>
        </w:tc>
        <w:tc>
          <w:tcPr>
            <w:tcW w:w="2294" w:type="dxa"/>
            <w:tcBorders>
              <w:bottom w:val="single" w:sz="12" w:space="0" w:color="000000"/>
            </w:tcBorders>
          </w:tcPr>
          <w:p>
            <w:pPr>
              <w:pStyle w:val="TableParagraph"/>
              <w:spacing w:before="22"/>
              <w:ind w:left="680" w:right="724"/>
              <w:rPr>
                <w:sz w:val="21"/>
              </w:rPr>
            </w:pPr>
            <w:r>
              <w:rPr>
                <w:sz w:val="21"/>
              </w:rPr>
              <w:t>造影使用</w:t>
            </w:r>
          </w:p>
        </w:tc>
      </w:tr>
      <w:tr>
        <w:trPr>
          <w:trHeight w:val="1871" w:hRule="atLeast"/>
        </w:trPr>
        <w:tc>
          <w:tcPr>
            <w:tcW w:w="9070" w:type="dxa"/>
            <w:gridSpan w:val="5"/>
            <w:tcBorders>
              <w:top w:val="single" w:sz="12" w:space="0" w:color="000000"/>
            </w:tcBorders>
          </w:tcPr>
          <w:p>
            <w:pPr>
              <w:pStyle w:val="TableParagraph"/>
              <w:spacing w:before="81"/>
              <w:ind w:left="587"/>
              <w:jc w:val="left"/>
              <w:rPr>
                <w:sz w:val="24"/>
              </w:rPr>
            </w:pPr>
            <w:r>
              <w:rPr>
                <w:spacing w:val="2"/>
                <w:sz w:val="24"/>
              </w:rPr>
              <w:t>本项目使用的造影剂为碘佛醇注射液（本品主要成份为碘佛醇，液态</w:t>
            </w:r>
            <w:r>
              <w:rPr>
                <w:spacing w:val="-118"/>
                <w:sz w:val="24"/>
              </w:rPr>
              <w:t>）</w:t>
            </w:r>
            <w:r>
              <w:rPr>
                <w:spacing w:val="1"/>
                <w:sz w:val="24"/>
              </w:rPr>
              <w:t>，规格为</w:t>
            </w:r>
          </w:p>
          <w:p>
            <w:pPr>
              <w:pStyle w:val="TableParagraph"/>
              <w:spacing w:before="160"/>
              <w:ind w:left="107"/>
              <w:jc w:val="left"/>
              <w:rPr>
                <w:sz w:val="24"/>
              </w:rPr>
            </w:pPr>
            <w:r>
              <w:rPr>
                <w:rFonts w:ascii="Times New Roman" w:eastAsia="Times New Roman"/>
                <w:sz w:val="24"/>
              </w:rPr>
              <w:t>100ml/</w:t>
            </w:r>
            <w:r>
              <w:rPr>
                <w:sz w:val="24"/>
              </w:rPr>
              <w:t>瓶平均每台介入手术使用 </w:t>
            </w:r>
            <w:r>
              <w:rPr>
                <w:rFonts w:ascii="Times New Roman" w:eastAsia="Times New Roman"/>
                <w:sz w:val="24"/>
              </w:rPr>
              <w:t>2 </w:t>
            </w:r>
            <w:r>
              <w:rPr>
                <w:sz w:val="24"/>
              </w:rPr>
              <w:t>瓶，年使用量约为 </w:t>
            </w:r>
            <w:r>
              <w:rPr>
                <w:rFonts w:ascii="Times New Roman" w:eastAsia="Times New Roman"/>
                <w:sz w:val="24"/>
              </w:rPr>
              <w:t>100L</w:t>
            </w:r>
            <w:r>
              <w:rPr>
                <w:sz w:val="24"/>
              </w:rPr>
              <w:t>。</w:t>
            </w:r>
            <w:r>
              <w:rPr>
                <w:w w:val="50"/>
                <w:sz w:val="24"/>
              </w:rPr>
              <w:t> </w:t>
            </w:r>
          </w:p>
          <w:p>
            <w:pPr>
              <w:pStyle w:val="TableParagraph"/>
              <w:spacing w:before="161"/>
              <w:ind w:left="590"/>
              <w:jc w:val="left"/>
              <w:rPr>
                <w:sz w:val="24"/>
              </w:rPr>
            </w:pPr>
            <w:r>
              <w:rPr>
                <w:sz w:val="24"/>
              </w:rPr>
              <w:t>5、工作制度及人员配置</w:t>
            </w:r>
            <w:r>
              <w:rPr>
                <w:w w:val="50"/>
                <w:sz w:val="24"/>
              </w:rPr>
              <w:t> </w:t>
            </w:r>
          </w:p>
          <w:p>
            <w:pPr>
              <w:pStyle w:val="TableParagraph"/>
              <w:spacing w:before="160"/>
              <w:ind w:left="587"/>
              <w:jc w:val="left"/>
              <w:rPr>
                <w:sz w:val="24"/>
              </w:rPr>
            </w:pPr>
            <w:r>
              <w:rPr>
                <w:sz w:val="24"/>
              </w:rPr>
              <w:t>项目共涉及辐射工作人员 </w:t>
            </w:r>
            <w:r>
              <w:rPr>
                <w:rFonts w:ascii="Times New Roman" w:eastAsia="Times New Roman"/>
                <w:sz w:val="24"/>
              </w:rPr>
              <w:t>5 </w:t>
            </w:r>
            <w:r>
              <w:rPr>
                <w:sz w:val="24"/>
              </w:rPr>
              <w:t>名，其中为 </w:t>
            </w:r>
            <w:r>
              <w:rPr>
                <w:rFonts w:ascii="Times New Roman" w:eastAsia="Times New Roman"/>
                <w:sz w:val="24"/>
              </w:rPr>
              <w:t>2 </w:t>
            </w:r>
            <w:r>
              <w:rPr>
                <w:sz w:val="24"/>
              </w:rPr>
              <w:t>名医师，</w:t>
            </w:r>
            <w:r>
              <w:rPr>
                <w:rFonts w:ascii="Times New Roman" w:eastAsia="Times New Roman"/>
                <w:sz w:val="24"/>
              </w:rPr>
              <w:t>2 </w:t>
            </w:r>
            <w:r>
              <w:rPr>
                <w:sz w:val="24"/>
              </w:rPr>
              <w:t>名技师，</w:t>
            </w:r>
            <w:r>
              <w:rPr>
                <w:rFonts w:ascii="Times New Roman" w:eastAsia="Times New Roman"/>
                <w:sz w:val="24"/>
              </w:rPr>
              <w:t>1 </w:t>
            </w:r>
            <w:r>
              <w:rPr>
                <w:sz w:val="24"/>
              </w:rPr>
              <w:t>名护士，均为医</w:t>
            </w:r>
          </w:p>
        </w:tc>
      </w:tr>
    </w:tbl>
    <w:p>
      <w:pPr>
        <w:spacing w:after="0"/>
        <w:jc w:val="left"/>
        <w:rPr>
          <w:sz w:val="24"/>
        </w:rPr>
        <w:sectPr>
          <w:pgSz w:w="11910" w:h="16840"/>
          <w:pgMar w:header="0" w:footer="949" w:top="1220" w:bottom="1140" w:left="1520" w:right="1060"/>
        </w:sectPr>
      </w:pPr>
    </w:p>
    <w:p>
      <w:pPr>
        <w:pStyle w:val="BodyText"/>
        <w:spacing w:line="364" w:lineRule="auto" w:before="100"/>
        <w:ind w:left="232" w:right="236"/>
        <w:jc w:val="both"/>
      </w:pPr>
      <w:r>
        <w:rPr/>
        <w:pict>
          <v:group style="position:absolute;margin-left:81.959999pt;margin-top:62.399937pt;width:454.1pt;height:702pt;mso-position-horizontal-relative:page;mso-position-vertical-relative:page;z-index:-212176" coordorigin="1639,1248" coordsize="9082,14040">
            <v:line style="position:absolute" from="1639,1253" to="10711,1253" stroked="true" strokeweight=".479999pt" strokecolor="#000000">
              <v:stroke dashstyle="solid"/>
            </v:line>
            <v:line style="position:absolute" from="1644,1258" to="1644,15288" stroked="true" strokeweight=".479999pt" strokecolor="#000000">
              <v:stroke dashstyle="solid"/>
            </v:line>
            <v:line style="position:absolute" from="1639,15283" to="10711,15283" stroked="true" strokeweight=".480011pt" strokecolor="#000000">
              <v:stroke dashstyle="solid"/>
            </v:line>
            <v:line style="position:absolute" from="10716,1248" to="10716,15288" stroked="true" strokeweight=".479966pt" strokecolor="#000000">
              <v:stroke dashstyle="solid"/>
            </v:line>
            <w10:wrap type="none"/>
          </v:group>
        </w:pict>
      </w:r>
      <w:r>
        <w:rPr>
          <w:spacing w:val="-4"/>
        </w:rPr>
        <w:t>院现有的工作人员，今后本项目投入运行后定岗定责不参与其他射线装置的工作，人</w:t>
      </w:r>
      <w:r>
        <w:rPr>
          <w:spacing w:val="-1"/>
        </w:rPr>
        <w:t>员均已参加辐射安全与防护培训并持证上岗，培训证书见附件 </w:t>
      </w:r>
      <w:r>
        <w:rPr>
          <w:rFonts w:ascii="Times New Roman" w:eastAsia="Times New Roman"/>
        </w:rPr>
        <w:t>5</w:t>
      </w:r>
      <w:r>
        <w:rPr>
          <w:spacing w:val="-2"/>
        </w:rPr>
        <w:t>。辐射工作人员根据</w:t>
      </w:r>
      <w:r>
        <w:rPr>
          <w:spacing w:val="-5"/>
        </w:rPr>
        <w:t>手术类型分为两组，详见表 </w:t>
      </w:r>
      <w:r>
        <w:rPr>
          <w:rFonts w:ascii="Times New Roman" w:eastAsia="Times New Roman"/>
        </w:rPr>
        <w:t>1-6</w:t>
      </w:r>
      <w:r>
        <w:rPr/>
        <w:t>。</w:t>
      </w:r>
    </w:p>
    <w:p>
      <w:pPr>
        <w:tabs>
          <w:tab w:pos="3251" w:val="left" w:leader="none"/>
        </w:tabs>
        <w:spacing w:line="212" w:lineRule="exact" w:before="0"/>
        <w:ind w:left="2497" w:right="0" w:firstLine="0"/>
        <w:jc w:val="left"/>
        <w:rPr>
          <w:sz w:val="21"/>
        </w:rPr>
      </w:pPr>
      <w:r>
        <w:rPr>
          <w:sz w:val="21"/>
        </w:rPr>
        <w:t>表</w:t>
      </w:r>
      <w:r>
        <w:rPr>
          <w:spacing w:val="-53"/>
          <w:sz w:val="21"/>
        </w:rPr>
        <w:t> </w:t>
      </w:r>
      <w:r>
        <w:rPr>
          <w:rFonts w:ascii="Times New Roman" w:eastAsia="Times New Roman"/>
          <w:sz w:val="21"/>
        </w:rPr>
        <w:t>1-6</w:t>
        <w:tab/>
      </w:r>
      <w:r>
        <w:rPr>
          <w:sz w:val="21"/>
        </w:rPr>
        <w:t>本</w:t>
      </w:r>
      <w:r>
        <w:rPr>
          <w:spacing w:val="-3"/>
          <w:sz w:val="21"/>
        </w:rPr>
        <w:t>项</w:t>
      </w:r>
      <w:r>
        <w:rPr>
          <w:sz w:val="21"/>
        </w:rPr>
        <w:t>目</w:t>
      </w:r>
      <w:r>
        <w:rPr>
          <w:spacing w:val="-3"/>
          <w:sz w:val="21"/>
        </w:rPr>
        <w:t>辐</w:t>
      </w:r>
      <w:r>
        <w:rPr>
          <w:sz w:val="21"/>
        </w:rPr>
        <w:t>射</w:t>
      </w:r>
      <w:r>
        <w:rPr>
          <w:spacing w:val="-3"/>
          <w:sz w:val="21"/>
        </w:rPr>
        <w:t>工</w:t>
      </w:r>
      <w:r>
        <w:rPr>
          <w:sz w:val="21"/>
        </w:rPr>
        <w:t>作</w:t>
      </w:r>
      <w:r>
        <w:rPr>
          <w:spacing w:val="-5"/>
          <w:sz w:val="21"/>
        </w:rPr>
        <w:t>人</w:t>
      </w:r>
      <w:r>
        <w:rPr>
          <w:sz w:val="21"/>
        </w:rPr>
        <w:t>员的</w:t>
      </w:r>
      <w:r>
        <w:rPr>
          <w:spacing w:val="-3"/>
          <w:sz w:val="21"/>
        </w:rPr>
        <w:t>培</w:t>
      </w:r>
      <w:r>
        <w:rPr>
          <w:sz w:val="21"/>
        </w:rPr>
        <w:t>训</w:t>
      </w:r>
      <w:r>
        <w:rPr>
          <w:spacing w:val="-3"/>
          <w:sz w:val="21"/>
        </w:rPr>
        <w:t>及</w:t>
      </w:r>
      <w:r>
        <w:rPr>
          <w:sz w:val="21"/>
        </w:rPr>
        <w:t>证</w:t>
      </w:r>
      <w:r>
        <w:rPr>
          <w:spacing w:val="-3"/>
          <w:sz w:val="21"/>
        </w:rPr>
        <w:t>书</w:t>
      </w:r>
      <w:r>
        <w:rPr>
          <w:sz w:val="21"/>
        </w:rPr>
        <w:t>情况</w:t>
      </w:r>
    </w:p>
    <w:p>
      <w:pPr>
        <w:pStyle w:val="BodyText"/>
        <w:spacing w:before="2"/>
        <w:rPr>
          <w:sz w:val="5"/>
        </w:rPr>
      </w:pPr>
    </w:p>
    <w:tbl>
      <w:tblPr>
        <w:tblW w:w="0" w:type="auto"/>
        <w:jc w:val="left"/>
        <w:tblInd w:w="1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8"/>
        <w:gridCol w:w="986"/>
        <w:gridCol w:w="1171"/>
        <w:gridCol w:w="1713"/>
        <w:gridCol w:w="1727"/>
        <w:gridCol w:w="829"/>
        <w:gridCol w:w="1710"/>
      </w:tblGrid>
      <w:tr>
        <w:trPr>
          <w:trHeight w:val="313" w:hRule="atLeast"/>
        </w:trPr>
        <w:tc>
          <w:tcPr>
            <w:tcW w:w="818" w:type="dxa"/>
            <w:tcBorders>
              <w:left w:val="nil"/>
              <w:right w:val="single" w:sz="2" w:space="0" w:color="000000"/>
            </w:tcBorders>
          </w:tcPr>
          <w:p>
            <w:pPr>
              <w:pStyle w:val="TableParagraph"/>
              <w:spacing w:line="269" w:lineRule="exact" w:before="24"/>
              <w:ind w:left="194" w:right="160"/>
              <w:rPr>
                <w:sz w:val="21"/>
              </w:rPr>
            </w:pPr>
            <w:r>
              <w:rPr>
                <w:sz w:val="21"/>
              </w:rPr>
              <w:t>序号</w:t>
            </w:r>
          </w:p>
        </w:tc>
        <w:tc>
          <w:tcPr>
            <w:tcW w:w="986" w:type="dxa"/>
            <w:tcBorders>
              <w:left w:val="single" w:sz="2" w:space="0" w:color="000000"/>
              <w:right w:val="single" w:sz="2" w:space="0" w:color="000000"/>
            </w:tcBorders>
          </w:tcPr>
          <w:p>
            <w:pPr>
              <w:pStyle w:val="TableParagraph"/>
              <w:spacing w:line="269" w:lineRule="exact" w:before="24"/>
              <w:ind w:left="234" w:right="207"/>
              <w:rPr>
                <w:sz w:val="21"/>
              </w:rPr>
            </w:pPr>
            <w:r>
              <w:rPr>
                <w:sz w:val="21"/>
              </w:rPr>
              <w:t>姓名</w:t>
            </w:r>
          </w:p>
        </w:tc>
        <w:tc>
          <w:tcPr>
            <w:tcW w:w="1171" w:type="dxa"/>
            <w:tcBorders>
              <w:left w:val="single" w:sz="2" w:space="0" w:color="000000"/>
              <w:right w:val="single" w:sz="2" w:space="0" w:color="000000"/>
            </w:tcBorders>
          </w:tcPr>
          <w:p>
            <w:pPr>
              <w:pStyle w:val="TableParagraph"/>
              <w:spacing w:line="269" w:lineRule="exact" w:before="24"/>
              <w:ind w:left="175"/>
              <w:jc w:val="left"/>
              <w:rPr>
                <w:sz w:val="21"/>
              </w:rPr>
            </w:pPr>
            <w:r>
              <w:rPr>
                <w:sz w:val="21"/>
              </w:rPr>
              <w:t>有效时间</w:t>
            </w:r>
          </w:p>
        </w:tc>
        <w:tc>
          <w:tcPr>
            <w:tcW w:w="1713" w:type="dxa"/>
            <w:tcBorders>
              <w:left w:val="single" w:sz="2" w:space="0" w:color="000000"/>
              <w:right w:val="single" w:sz="4" w:space="0" w:color="000000"/>
            </w:tcBorders>
          </w:tcPr>
          <w:p>
            <w:pPr>
              <w:pStyle w:val="TableParagraph"/>
              <w:spacing w:line="269" w:lineRule="exact" w:before="24"/>
              <w:ind w:left="111" w:right="80"/>
              <w:rPr>
                <w:sz w:val="21"/>
              </w:rPr>
            </w:pPr>
            <w:r>
              <w:rPr>
                <w:sz w:val="21"/>
              </w:rPr>
              <w:t>培训类别</w:t>
            </w:r>
          </w:p>
        </w:tc>
        <w:tc>
          <w:tcPr>
            <w:tcW w:w="1727" w:type="dxa"/>
            <w:tcBorders>
              <w:left w:val="single" w:sz="4" w:space="0" w:color="000000"/>
              <w:right w:val="single" w:sz="2" w:space="0" w:color="000000"/>
            </w:tcBorders>
          </w:tcPr>
          <w:p>
            <w:pPr>
              <w:pStyle w:val="TableParagraph"/>
              <w:spacing w:line="269" w:lineRule="exact" w:before="24"/>
              <w:ind w:left="455"/>
              <w:jc w:val="left"/>
              <w:rPr>
                <w:sz w:val="21"/>
              </w:rPr>
            </w:pPr>
            <w:r>
              <w:rPr>
                <w:sz w:val="21"/>
              </w:rPr>
              <w:t>证书编号</w:t>
            </w:r>
          </w:p>
        </w:tc>
        <w:tc>
          <w:tcPr>
            <w:tcW w:w="829" w:type="dxa"/>
            <w:tcBorders>
              <w:left w:val="single" w:sz="2" w:space="0" w:color="000000"/>
              <w:right w:val="single" w:sz="4" w:space="0" w:color="000000"/>
            </w:tcBorders>
          </w:tcPr>
          <w:p>
            <w:pPr>
              <w:pStyle w:val="TableParagraph"/>
              <w:spacing w:line="269" w:lineRule="exact" w:before="24"/>
              <w:ind w:left="199" w:right="162"/>
              <w:rPr>
                <w:sz w:val="21"/>
              </w:rPr>
            </w:pPr>
            <w:r>
              <w:rPr>
                <w:sz w:val="21"/>
              </w:rPr>
              <w:t>备注</w:t>
            </w:r>
          </w:p>
        </w:tc>
        <w:tc>
          <w:tcPr>
            <w:tcW w:w="1710" w:type="dxa"/>
            <w:tcBorders>
              <w:left w:val="single" w:sz="4" w:space="0" w:color="000000"/>
              <w:right w:val="nil"/>
            </w:tcBorders>
          </w:tcPr>
          <w:p>
            <w:pPr>
              <w:pStyle w:val="TableParagraph"/>
              <w:spacing w:line="269" w:lineRule="exact" w:before="24"/>
              <w:ind w:left="236"/>
              <w:jc w:val="left"/>
              <w:rPr>
                <w:sz w:val="21"/>
              </w:rPr>
            </w:pPr>
            <w:r>
              <w:rPr>
                <w:sz w:val="21"/>
              </w:rPr>
              <w:t>负责手术类型</w:t>
            </w:r>
          </w:p>
        </w:tc>
      </w:tr>
      <w:tr>
        <w:trPr>
          <w:trHeight w:val="308" w:hRule="atLeast"/>
        </w:trPr>
        <w:tc>
          <w:tcPr>
            <w:tcW w:w="818" w:type="dxa"/>
            <w:tcBorders>
              <w:left w:val="nil"/>
              <w:bottom w:val="single" w:sz="2" w:space="0" w:color="000000"/>
              <w:right w:val="single" w:sz="2" w:space="0" w:color="000000"/>
            </w:tcBorders>
          </w:tcPr>
          <w:p>
            <w:pPr>
              <w:pStyle w:val="TableParagraph"/>
              <w:spacing w:before="36"/>
              <w:ind w:left="29"/>
              <w:rPr>
                <w:rFonts w:ascii="Times New Roman"/>
                <w:sz w:val="21"/>
              </w:rPr>
            </w:pPr>
            <w:r>
              <w:rPr>
                <w:rFonts w:ascii="Times New Roman"/>
                <w:w w:val="100"/>
                <w:sz w:val="21"/>
              </w:rPr>
              <w:t>1</w:t>
            </w:r>
          </w:p>
        </w:tc>
        <w:tc>
          <w:tcPr>
            <w:tcW w:w="986" w:type="dxa"/>
            <w:tcBorders>
              <w:left w:val="single" w:sz="2" w:space="0" w:color="000000"/>
              <w:bottom w:val="single" w:sz="2" w:space="0" w:color="000000"/>
              <w:right w:val="single" w:sz="2" w:space="0" w:color="000000"/>
            </w:tcBorders>
          </w:tcPr>
          <w:p>
            <w:pPr>
              <w:pStyle w:val="TableParagraph"/>
              <w:spacing w:line="267" w:lineRule="exact" w:before="22"/>
              <w:ind w:left="234" w:right="207"/>
              <w:rPr>
                <w:rFonts w:ascii="Times New Roman" w:eastAsia="Times New Roman"/>
                <w:sz w:val="21"/>
              </w:rPr>
            </w:pPr>
            <w:r>
              <w:rPr>
                <w:sz w:val="21"/>
              </w:rPr>
              <w:t>梁</w:t>
            </w:r>
            <w:r>
              <w:rPr>
                <w:rFonts w:ascii="Times New Roman" w:eastAsia="Times New Roman"/>
                <w:sz w:val="21"/>
              </w:rPr>
              <w:t>**</w:t>
            </w:r>
          </w:p>
        </w:tc>
        <w:tc>
          <w:tcPr>
            <w:tcW w:w="1171" w:type="dxa"/>
            <w:tcBorders>
              <w:left w:val="single" w:sz="2" w:space="0" w:color="000000"/>
              <w:bottom w:val="single" w:sz="2" w:space="0" w:color="000000"/>
              <w:right w:val="single" w:sz="2" w:space="0" w:color="000000"/>
            </w:tcBorders>
          </w:tcPr>
          <w:p>
            <w:pPr>
              <w:pStyle w:val="TableParagraph"/>
              <w:spacing w:before="36"/>
              <w:ind w:left="124"/>
              <w:jc w:val="left"/>
              <w:rPr>
                <w:rFonts w:ascii="Times New Roman"/>
                <w:sz w:val="21"/>
              </w:rPr>
            </w:pPr>
            <w:r>
              <w:rPr>
                <w:rFonts w:ascii="Times New Roman"/>
                <w:sz w:val="21"/>
              </w:rPr>
              <w:t>2023.11.17</w:t>
            </w:r>
          </w:p>
        </w:tc>
        <w:tc>
          <w:tcPr>
            <w:tcW w:w="1713" w:type="dxa"/>
            <w:tcBorders>
              <w:left w:val="single" w:sz="2" w:space="0" w:color="000000"/>
              <w:bottom w:val="single" w:sz="2" w:space="0" w:color="000000"/>
              <w:right w:val="single" w:sz="4" w:space="0" w:color="000000"/>
            </w:tcBorders>
          </w:tcPr>
          <w:p>
            <w:pPr>
              <w:pStyle w:val="TableParagraph"/>
              <w:spacing w:line="267" w:lineRule="exact" w:before="22"/>
              <w:ind w:left="114" w:right="80"/>
              <w:rPr>
                <w:sz w:val="21"/>
              </w:rPr>
            </w:pPr>
            <w:r>
              <w:rPr>
                <w:sz w:val="21"/>
              </w:rPr>
              <w:t>辐射安全与防护</w:t>
            </w:r>
          </w:p>
        </w:tc>
        <w:tc>
          <w:tcPr>
            <w:tcW w:w="1727" w:type="dxa"/>
            <w:tcBorders>
              <w:left w:val="single" w:sz="4" w:space="0" w:color="000000"/>
              <w:bottom w:val="single" w:sz="2" w:space="0" w:color="000000"/>
              <w:right w:val="single" w:sz="2" w:space="0" w:color="000000"/>
            </w:tcBorders>
          </w:tcPr>
          <w:p>
            <w:pPr>
              <w:pStyle w:val="TableParagraph"/>
              <w:spacing w:before="36"/>
              <w:ind w:left="390"/>
              <w:jc w:val="left"/>
              <w:rPr>
                <w:rFonts w:ascii="Times New Roman"/>
                <w:sz w:val="21"/>
              </w:rPr>
            </w:pPr>
            <w:r>
              <w:rPr>
                <w:rFonts w:ascii="Times New Roman"/>
                <w:sz w:val="21"/>
              </w:rPr>
              <w:t>CHO442**</w:t>
            </w:r>
          </w:p>
        </w:tc>
        <w:tc>
          <w:tcPr>
            <w:tcW w:w="829" w:type="dxa"/>
            <w:tcBorders>
              <w:left w:val="single" w:sz="2" w:space="0" w:color="000000"/>
              <w:bottom w:val="single" w:sz="2" w:space="0" w:color="000000"/>
              <w:right w:val="single" w:sz="4" w:space="0" w:color="000000"/>
            </w:tcBorders>
          </w:tcPr>
          <w:p>
            <w:pPr>
              <w:pStyle w:val="TableParagraph"/>
              <w:spacing w:line="267" w:lineRule="exact" w:before="22"/>
              <w:ind w:left="199" w:right="162"/>
              <w:rPr>
                <w:sz w:val="21"/>
              </w:rPr>
            </w:pPr>
            <w:r>
              <w:rPr>
                <w:sz w:val="21"/>
              </w:rPr>
              <w:t>医师</w:t>
            </w:r>
          </w:p>
        </w:tc>
        <w:tc>
          <w:tcPr>
            <w:tcW w:w="1710" w:type="dxa"/>
            <w:vMerge w:val="restart"/>
            <w:tcBorders>
              <w:left w:val="single" w:sz="4" w:space="0" w:color="000000"/>
              <w:bottom w:val="single" w:sz="4" w:space="0" w:color="000000"/>
              <w:right w:val="nil"/>
            </w:tcBorders>
          </w:tcPr>
          <w:p>
            <w:pPr>
              <w:pStyle w:val="TableParagraph"/>
              <w:jc w:val="left"/>
              <w:rPr>
                <w:sz w:val="24"/>
              </w:rPr>
            </w:pPr>
          </w:p>
          <w:p>
            <w:pPr>
              <w:pStyle w:val="TableParagraph"/>
              <w:spacing w:line="278" w:lineRule="auto" w:before="192"/>
              <w:ind w:left="445" w:right="97" w:hanging="315"/>
              <w:jc w:val="left"/>
              <w:rPr>
                <w:sz w:val="21"/>
              </w:rPr>
            </w:pPr>
            <w:r>
              <w:rPr>
                <w:sz w:val="21"/>
              </w:rPr>
              <w:t>外周手术及冠脉支架植入</w:t>
            </w:r>
          </w:p>
        </w:tc>
      </w:tr>
      <w:tr>
        <w:trPr>
          <w:trHeight w:val="306" w:hRule="atLeast"/>
        </w:trPr>
        <w:tc>
          <w:tcPr>
            <w:tcW w:w="818" w:type="dxa"/>
            <w:tcBorders>
              <w:top w:val="single" w:sz="2" w:space="0" w:color="000000"/>
              <w:left w:val="nil"/>
              <w:bottom w:val="single" w:sz="2" w:space="0" w:color="000000"/>
              <w:right w:val="single" w:sz="2" w:space="0" w:color="000000"/>
            </w:tcBorders>
          </w:tcPr>
          <w:p>
            <w:pPr>
              <w:pStyle w:val="TableParagraph"/>
              <w:spacing w:before="34"/>
              <w:ind w:left="29"/>
              <w:rPr>
                <w:rFonts w:ascii="Times New Roman"/>
                <w:sz w:val="21"/>
              </w:rPr>
            </w:pPr>
            <w:r>
              <w:rPr>
                <w:rFonts w:ascii="Times New Roman"/>
                <w:w w:val="100"/>
                <w:sz w:val="21"/>
              </w:rPr>
              <w:t>2</w:t>
            </w:r>
          </w:p>
        </w:tc>
        <w:tc>
          <w:tcPr>
            <w:tcW w:w="986" w:type="dxa"/>
            <w:tcBorders>
              <w:top w:val="single" w:sz="2" w:space="0" w:color="000000"/>
              <w:left w:val="single" w:sz="2" w:space="0" w:color="000000"/>
              <w:bottom w:val="single" w:sz="2" w:space="0" w:color="000000"/>
              <w:right w:val="single" w:sz="2" w:space="0" w:color="000000"/>
            </w:tcBorders>
          </w:tcPr>
          <w:p>
            <w:pPr>
              <w:pStyle w:val="TableParagraph"/>
              <w:spacing w:line="267" w:lineRule="exact" w:before="20"/>
              <w:ind w:left="234" w:right="207"/>
              <w:rPr>
                <w:rFonts w:ascii="Times New Roman" w:eastAsia="Times New Roman"/>
                <w:sz w:val="21"/>
              </w:rPr>
            </w:pPr>
            <w:r>
              <w:rPr>
                <w:sz w:val="21"/>
              </w:rPr>
              <w:t>廖</w:t>
            </w:r>
            <w:r>
              <w:rPr>
                <w:rFonts w:ascii="Times New Roman" w:eastAsia="Times New Roman"/>
                <w:sz w:val="21"/>
              </w:rPr>
              <w:t>*</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before="34"/>
              <w:ind w:left="124"/>
              <w:jc w:val="left"/>
              <w:rPr>
                <w:rFonts w:ascii="Times New Roman"/>
                <w:sz w:val="21"/>
              </w:rPr>
            </w:pPr>
            <w:r>
              <w:rPr>
                <w:rFonts w:ascii="Times New Roman"/>
                <w:sz w:val="21"/>
              </w:rPr>
              <w:t>2023.11.17</w:t>
            </w:r>
          </w:p>
        </w:tc>
        <w:tc>
          <w:tcPr>
            <w:tcW w:w="1713" w:type="dxa"/>
            <w:tcBorders>
              <w:top w:val="single" w:sz="2" w:space="0" w:color="000000"/>
              <w:left w:val="single" w:sz="2" w:space="0" w:color="000000"/>
              <w:bottom w:val="single" w:sz="2" w:space="0" w:color="000000"/>
              <w:right w:val="single" w:sz="2" w:space="0" w:color="000000"/>
            </w:tcBorders>
          </w:tcPr>
          <w:p>
            <w:pPr>
              <w:pStyle w:val="TableParagraph"/>
              <w:spacing w:line="267" w:lineRule="exact" w:before="20"/>
              <w:ind w:left="115" w:right="83"/>
              <w:rPr>
                <w:sz w:val="21"/>
              </w:rPr>
            </w:pPr>
            <w:r>
              <w:rPr>
                <w:sz w:val="21"/>
              </w:rPr>
              <w:t>辐射安全与防护</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spacing w:before="34"/>
              <w:ind w:left="392"/>
              <w:jc w:val="left"/>
              <w:rPr>
                <w:rFonts w:ascii="Times New Roman"/>
                <w:sz w:val="21"/>
              </w:rPr>
            </w:pPr>
            <w:r>
              <w:rPr>
                <w:rFonts w:ascii="Times New Roman"/>
                <w:sz w:val="21"/>
              </w:rPr>
              <w:t>CHO442**</w:t>
            </w:r>
          </w:p>
        </w:tc>
        <w:tc>
          <w:tcPr>
            <w:tcW w:w="829" w:type="dxa"/>
            <w:tcBorders>
              <w:top w:val="single" w:sz="2" w:space="0" w:color="000000"/>
              <w:left w:val="single" w:sz="2" w:space="0" w:color="000000"/>
              <w:bottom w:val="single" w:sz="2" w:space="0" w:color="000000"/>
              <w:right w:val="single" w:sz="4" w:space="0" w:color="000000"/>
            </w:tcBorders>
          </w:tcPr>
          <w:p>
            <w:pPr>
              <w:pStyle w:val="TableParagraph"/>
              <w:spacing w:line="267" w:lineRule="exact" w:before="20"/>
              <w:ind w:left="199" w:right="162"/>
              <w:rPr>
                <w:sz w:val="21"/>
              </w:rPr>
            </w:pPr>
            <w:r>
              <w:rPr>
                <w:sz w:val="21"/>
              </w:rPr>
              <w:t>医师</w:t>
            </w:r>
          </w:p>
        </w:tc>
        <w:tc>
          <w:tcPr>
            <w:tcW w:w="1710" w:type="dxa"/>
            <w:vMerge/>
            <w:tcBorders>
              <w:top w:val="nil"/>
              <w:left w:val="single" w:sz="4" w:space="0" w:color="000000"/>
              <w:bottom w:val="single" w:sz="4" w:space="0" w:color="000000"/>
              <w:right w:val="nil"/>
            </w:tcBorders>
          </w:tcPr>
          <w:p>
            <w:pPr>
              <w:rPr>
                <w:sz w:val="2"/>
                <w:szCs w:val="2"/>
              </w:rPr>
            </w:pPr>
          </w:p>
        </w:tc>
      </w:tr>
      <w:tr>
        <w:trPr>
          <w:trHeight w:val="306" w:hRule="atLeast"/>
        </w:trPr>
        <w:tc>
          <w:tcPr>
            <w:tcW w:w="818" w:type="dxa"/>
            <w:tcBorders>
              <w:top w:val="single" w:sz="2" w:space="0" w:color="000000"/>
              <w:left w:val="nil"/>
              <w:bottom w:val="single" w:sz="2" w:space="0" w:color="000000"/>
              <w:right w:val="single" w:sz="2" w:space="0" w:color="000000"/>
            </w:tcBorders>
          </w:tcPr>
          <w:p>
            <w:pPr>
              <w:pStyle w:val="TableParagraph"/>
              <w:spacing w:before="34"/>
              <w:ind w:left="29"/>
              <w:rPr>
                <w:rFonts w:ascii="Times New Roman"/>
                <w:sz w:val="21"/>
              </w:rPr>
            </w:pPr>
            <w:r>
              <w:rPr>
                <w:rFonts w:ascii="Times New Roman"/>
                <w:w w:val="100"/>
                <w:sz w:val="21"/>
              </w:rPr>
              <w:t>3</w:t>
            </w:r>
          </w:p>
        </w:tc>
        <w:tc>
          <w:tcPr>
            <w:tcW w:w="986" w:type="dxa"/>
            <w:tcBorders>
              <w:top w:val="single" w:sz="2" w:space="0" w:color="000000"/>
              <w:left w:val="single" w:sz="2" w:space="0" w:color="000000"/>
              <w:bottom w:val="single" w:sz="2" w:space="0" w:color="000000"/>
              <w:right w:val="single" w:sz="2" w:space="0" w:color="000000"/>
            </w:tcBorders>
          </w:tcPr>
          <w:p>
            <w:pPr>
              <w:pStyle w:val="TableParagraph"/>
              <w:spacing w:line="267" w:lineRule="exact" w:before="20"/>
              <w:ind w:left="234" w:right="207"/>
              <w:rPr>
                <w:rFonts w:ascii="Times New Roman" w:eastAsia="Times New Roman"/>
                <w:sz w:val="21"/>
              </w:rPr>
            </w:pPr>
            <w:r>
              <w:rPr>
                <w:sz w:val="21"/>
              </w:rPr>
              <w:t>肖</w:t>
            </w:r>
            <w:r>
              <w:rPr>
                <w:rFonts w:ascii="Times New Roman" w:eastAsia="Times New Roman"/>
                <w:sz w:val="21"/>
              </w:rPr>
              <w:t>*</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before="34"/>
              <w:ind w:left="124"/>
              <w:jc w:val="left"/>
              <w:rPr>
                <w:rFonts w:ascii="Times New Roman"/>
                <w:sz w:val="21"/>
              </w:rPr>
            </w:pPr>
            <w:r>
              <w:rPr>
                <w:rFonts w:ascii="Times New Roman"/>
                <w:sz w:val="21"/>
              </w:rPr>
              <w:t>2023.11.17</w:t>
            </w:r>
          </w:p>
        </w:tc>
        <w:tc>
          <w:tcPr>
            <w:tcW w:w="1713" w:type="dxa"/>
            <w:tcBorders>
              <w:top w:val="single" w:sz="2" w:space="0" w:color="000000"/>
              <w:left w:val="single" w:sz="2" w:space="0" w:color="000000"/>
              <w:bottom w:val="single" w:sz="2" w:space="0" w:color="000000"/>
              <w:right w:val="single" w:sz="2" w:space="0" w:color="000000"/>
            </w:tcBorders>
          </w:tcPr>
          <w:p>
            <w:pPr>
              <w:pStyle w:val="TableParagraph"/>
              <w:spacing w:line="267" w:lineRule="exact" w:before="20"/>
              <w:ind w:left="115" w:right="83"/>
              <w:rPr>
                <w:sz w:val="21"/>
              </w:rPr>
            </w:pPr>
            <w:r>
              <w:rPr>
                <w:sz w:val="21"/>
              </w:rPr>
              <w:t>辐射安全与防护</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spacing w:before="34"/>
              <w:ind w:left="392"/>
              <w:jc w:val="left"/>
              <w:rPr>
                <w:rFonts w:ascii="Times New Roman"/>
                <w:sz w:val="21"/>
              </w:rPr>
            </w:pPr>
            <w:r>
              <w:rPr>
                <w:rFonts w:ascii="Times New Roman"/>
                <w:sz w:val="21"/>
              </w:rPr>
              <w:t>CHO442**</w:t>
            </w:r>
          </w:p>
        </w:tc>
        <w:tc>
          <w:tcPr>
            <w:tcW w:w="829" w:type="dxa"/>
            <w:tcBorders>
              <w:top w:val="single" w:sz="2" w:space="0" w:color="000000"/>
              <w:left w:val="single" w:sz="2" w:space="0" w:color="000000"/>
              <w:bottom w:val="single" w:sz="2" w:space="0" w:color="000000"/>
              <w:right w:val="single" w:sz="4" w:space="0" w:color="000000"/>
            </w:tcBorders>
          </w:tcPr>
          <w:p>
            <w:pPr>
              <w:pStyle w:val="TableParagraph"/>
              <w:spacing w:line="267" w:lineRule="exact" w:before="20"/>
              <w:ind w:left="199" w:right="162"/>
              <w:rPr>
                <w:sz w:val="21"/>
              </w:rPr>
            </w:pPr>
            <w:r>
              <w:rPr>
                <w:sz w:val="21"/>
              </w:rPr>
              <w:t>护士</w:t>
            </w:r>
          </w:p>
        </w:tc>
        <w:tc>
          <w:tcPr>
            <w:tcW w:w="1710" w:type="dxa"/>
            <w:vMerge/>
            <w:tcBorders>
              <w:top w:val="nil"/>
              <w:left w:val="single" w:sz="4" w:space="0" w:color="000000"/>
              <w:bottom w:val="single" w:sz="4" w:space="0" w:color="000000"/>
              <w:right w:val="nil"/>
            </w:tcBorders>
          </w:tcPr>
          <w:p>
            <w:pPr>
              <w:rPr>
                <w:sz w:val="2"/>
                <w:szCs w:val="2"/>
              </w:rPr>
            </w:pPr>
          </w:p>
        </w:tc>
      </w:tr>
      <w:tr>
        <w:trPr>
          <w:trHeight w:val="309" w:hRule="atLeast"/>
        </w:trPr>
        <w:tc>
          <w:tcPr>
            <w:tcW w:w="818" w:type="dxa"/>
            <w:tcBorders>
              <w:top w:val="single" w:sz="2" w:space="0" w:color="000000"/>
              <w:left w:val="nil"/>
              <w:bottom w:val="single" w:sz="2" w:space="0" w:color="000000"/>
              <w:right w:val="single" w:sz="2" w:space="0" w:color="000000"/>
            </w:tcBorders>
          </w:tcPr>
          <w:p>
            <w:pPr>
              <w:pStyle w:val="TableParagraph"/>
              <w:spacing w:before="36"/>
              <w:ind w:left="29"/>
              <w:rPr>
                <w:rFonts w:ascii="Times New Roman"/>
                <w:sz w:val="21"/>
              </w:rPr>
            </w:pPr>
            <w:r>
              <w:rPr>
                <w:rFonts w:ascii="Times New Roman"/>
                <w:w w:val="100"/>
                <w:sz w:val="21"/>
              </w:rPr>
              <w:t>4</w:t>
            </w:r>
          </w:p>
        </w:tc>
        <w:tc>
          <w:tcPr>
            <w:tcW w:w="986" w:type="dxa"/>
            <w:tcBorders>
              <w:top w:val="single" w:sz="2" w:space="0" w:color="000000"/>
              <w:left w:val="single" w:sz="2" w:space="0" w:color="000000"/>
              <w:bottom w:val="single" w:sz="2" w:space="0" w:color="000000"/>
              <w:right w:val="single" w:sz="2" w:space="0" w:color="000000"/>
            </w:tcBorders>
          </w:tcPr>
          <w:p>
            <w:pPr>
              <w:pStyle w:val="TableParagraph"/>
              <w:spacing w:line="267" w:lineRule="exact" w:before="22"/>
              <w:ind w:left="234" w:right="207"/>
              <w:rPr>
                <w:rFonts w:ascii="Times New Roman" w:eastAsia="Times New Roman"/>
                <w:sz w:val="21"/>
              </w:rPr>
            </w:pPr>
            <w:r>
              <w:rPr>
                <w:sz w:val="21"/>
              </w:rPr>
              <w:t>赖</w:t>
            </w:r>
            <w:r>
              <w:rPr>
                <w:rFonts w:ascii="Times New Roman" w:eastAsia="Times New Roman"/>
                <w:sz w:val="21"/>
              </w:rPr>
              <w:t>**</w:t>
            </w:r>
          </w:p>
        </w:tc>
        <w:tc>
          <w:tcPr>
            <w:tcW w:w="1171" w:type="dxa"/>
            <w:tcBorders>
              <w:top w:val="single" w:sz="2" w:space="0" w:color="000000"/>
              <w:left w:val="single" w:sz="2" w:space="0" w:color="000000"/>
              <w:bottom w:val="single" w:sz="2" w:space="0" w:color="000000"/>
              <w:right w:val="single" w:sz="2" w:space="0" w:color="000000"/>
            </w:tcBorders>
          </w:tcPr>
          <w:p>
            <w:pPr>
              <w:pStyle w:val="TableParagraph"/>
              <w:spacing w:before="36"/>
              <w:ind w:left="122"/>
              <w:jc w:val="left"/>
              <w:rPr>
                <w:rFonts w:ascii="Times New Roman"/>
                <w:sz w:val="21"/>
              </w:rPr>
            </w:pPr>
            <w:r>
              <w:rPr>
                <w:rFonts w:ascii="Times New Roman"/>
                <w:sz w:val="21"/>
              </w:rPr>
              <w:t>2023.06.09</w:t>
            </w:r>
          </w:p>
        </w:tc>
        <w:tc>
          <w:tcPr>
            <w:tcW w:w="1713" w:type="dxa"/>
            <w:tcBorders>
              <w:top w:val="single" w:sz="2" w:space="0" w:color="000000"/>
              <w:left w:val="single" w:sz="2" w:space="0" w:color="000000"/>
              <w:bottom w:val="single" w:sz="2" w:space="0" w:color="000000"/>
              <w:right w:val="single" w:sz="2" w:space="0" w:color="000000"/>
            </w:tcBorders>
          </w:tcPr>
          <w:p>
            <w:pPr>
              <w:pStyle w:val="TableParagraph"/>
              <w:spacing w:line="267" w:lineRule="exact" w:before="22"/>
              <w:ind w:left="115" w:right="83"/>
              <w:rPr>
                <w:sz w:val="21"/>
              </w:rPr>
            </w:pPr>
            <w:r>
              <w:rPr>
                <w:sz w:val="21"/>
              </w:rPr>
              <w:t>辐射安全与防护</w:t>
            </w:r>
          </w:p>
        </w:tc>
        <w:tc>
          <w:tcPr>
            <w:tcW w:w="1727" w:type="dxa"/>
            <w:tcBorders>
              <w:top w:val="single" w:sz="2" w:space="0" w:color="000000"/>
              <w:left w:val="single" w:sz="2" w:space="0" w:color="000000"/>
              <w:bottom w:val="single" w:sz="2" w:space="0" w:color="000000"/>
              <w:right w:val="single" w:sz="2" w:space="0" w:color="000000"/>
            </w:tcBorders>
          </w:tcPr>
          <w:p>
            <w:pPr>
              <w:pStyle w:val="TableParagraph"/>
              <w:spacing w:before="36"/>
              <w:ind w:left="392"/>
              <w:jc w:val="left"/>
              <w:rPr>
                <w:rFonts w:ascii="Times New Roman"/>
                <w:sz w:val="21"/>
              </w:rPr>
            </w:pPr>
            <w:r>
              <w:rPr>
                <w:rFonts w:ascii="Times New Roman"/>
                <w:sz w:val="21"/>
              </w:rPr>
              <w:t>CHO390**</w:t>
            </w:r>
          </w:p>
        </w:tc>
        <w:tc>
          <w:tcPr>
            <w:tcW w:w="829" w:type="dxa"/>
            <w:tcBorders>
              <w:top w:val="single" w:sz="2" w:space="0" w:color="000000"/>
              <w:left w:val="single" w:sz="2" w:space="0" w:color="000000"/>
              <w:bottom w:val="single" w:sz="2" w:space="0" w:color="000000"/>
              <w:right w:val="single" w:sz="4" w:space="0" w:color="000000"/>
            </w:tcBorders>
          </w:tcPr>
          <w:p>
            <w:pPr>
              <w:pStyle w:val="TableParagraph"/>
              <w:spacing w:line="267" w:lineRule="exact" w:before="22"/>
              <w:ind w:left="199" w:right="162"/>
              <w:rPr>
                <w:sz w:val="21"/>
              </w:rPr>
            </w:pPr>
            <w:r>
              <w:rPr>
                <w:sz w:val="21"/>
              </w:rPr>
              <w:t>技师</w:t>
            </w:r>
          </w:p>
        </w:tc>
        <w:tc>
          <w:tcPr>
            <w:tcW w:w="1710" w:type="dxa"/>
            <w:vMerge/>
            <w:tcBorders>
              <w:top w:val="nil"/>
              <w:left w:val="single" w:sz="4" w:space="0" w:color="000000"/>
              <w:bottom w:val="single" w:sz="4" w:space="0" w:color="000000"/>
              <w:right w:val="nil"/>
            </w:tcBorders>
          </w:tcPr>
          <w:p>
            <w:pPr>
              <w:rPr>
                <w:sz w:val="2"/>
                <w:szCs w:val="2"/>
              </w:rPr>
            </w:pPr>
          </w:p>
        </w:tc>
      </w:tr>
      <w:tr>
        <w:trPr>
          <w:trHeight w:val="309" w:hRule="atLeast"/>
        </w:trPr>
        <w:tc>
          <w:tcPr>
            <w:tcW w:w="818" w:type="dxa"/>
            <w:tcBorders>
              <w:top w:val="single" w:sz="2" w:space="0" w:color="000000"/>
              <w:left w:val="nil"/>
              <w:bottom w:val="single" w:sz="4" w:space="0" w:color="000000"/>
              <w:right w:val="single" w:sz="2" w:space="0" w:color="000000"/>
            </w:tcBorders>
          </w:tcPr>
          <w:p>
            <w:pPr>
              <w:pStyle w:val="TableParagraph"/>
              <w:spacing w:before="34"/>
              <w:ind w:left="29"/>
              <w:rPr>
                <w:rFonts w:ascii="Times New Roman"/>
                <w:sz w:val="21"/>
              </w:rPr>
            </w:pPr>
            <w:r>
              <w:rPr>
                <w:rFonts w:ascii="Times New Roman"/>
                <w:w w:val="100"/>
                <w:sz w:val="21"/>
              </w:rPr>
              <w:t>5</w:t>
            </w:r>
          </w:p>
        </w:tc>
        <w:tc>
          <w:tcPr>
            <w:tcW w:w="986" w:type="dxa"/>
            <w:tcBorders>
              <w:top w:val="single" w:sz="2" w:space="0" w:color="000000"/>
              <w:left w:val="single" w:sz="2" w:space="0" w:color="000000"/>
              <w:bottom w:val="single" w:sz="4" w:space="0" w:color="000000"/>
              <w:right w:val="single" w:sz="2" w:space="0" w:color="000000"/>
            </w:tcBorders>
          </w:tcPr>
          <w:p>
            <w:pPr>
              <w:pStyle w:val="TableParagraph"/>
              <w:spacing w:before="20"/>
              <w:ind w:left="234" w:right="207"/>
              <w:rPr>
                <w:rFonts w:ascii="Times New Roman" w:eastAsia="Times New Roman"/>
                <w:sz w:val="21"/>
              </w:rPr>
            </w:pPr>
            <w:r>
              <w:rPr>
                <w:sz w:val="21"/>
              </w:rPr>
              <w:t>唐</w:t>
            </w:r>
            <w:r>
              <w:rPr>
                <w:rFonts w:ascii="Times New Roman" w:eastAsia="Times New Roman"/>
                <w:sz w:val="21"/>
              </w:rPr>
              <w:t>**</w:t>
            </w:r>
          </w:p>
        </w:tc>
        <w:tc>
          <w:tcPr>
            <w:tcW w:w="1171" w:type="dxa"/>
            <w:tcBorders>
              <w:top w:val="single" w:sz="2" w:space="0" w:color="000000"/>
              <w:left w:val="single" w:sz="2" w:space="0" w:color="000000"/>
              <w:bottom w:val="single" w:sz="4" w:space="0" w:color="000000"/>
              <w:right w:val="single" w:sz="2" w:space="0" w:color="000000"/>
            </w:tcBorders>
          </w:tcPr>
          <w:p>
            <w:pPr>
              <w:pStyle w:val="TableParagraph"/>
              <w:spacing w:before="34"/>
              <w:ind w:left="122"/>
              <w:jc w:val="left"/>
              <w:rPr>
                <w:rFonts w:ascii="Times New Roman"/>
                <w:sz w:val="21"/>
              </w:rPr>
            </w:pPr>
            <w:r>
              <w:rPr>
                <w:rFonts w:ascii="Times New Roman"/>
                <w:sz w:val="21"/>
              </w:rPr>
              <w:t>2023.01.17</w:t>
            </w:r>
          </w:p>
        </w:tc>
        <w:tc>
          <w:tcPr>
            <w:tcW w:w="1713" w:type="dxa"/>
            <w:tcBorders>
              <w:top w:val="single" w:sz="2" w:space="0" w:color="000000"/>
              <w:left w:val="single" w:sz="2" w:space="0" w:color="000000"/>
              <w:bottom w:val="single" w:sz="4" w:space="0" w:color="000000"/>
              <w:right w:val="single" w:sz="4" w:space="0" w:color="000000"/>
            </w:tcBorders>
          </w:tcPr>
          <w:p>
            <w:pPr>
              <w:pStyle w:val="TableParagraph"/>
              <w:spacing w:before="20"/>
              <w:ind w:left="114" w:right="80"/>
              <w:rPr>
                <w:sz w:val="21"/>
              </w:rPr>
            </w:pPr>
            <w:r>
              <w:rPr>
                <w:sz w:val="21"/>
              </w:rPr>
              <w:t>辐射安全与防护</w:t>
            </w:r>
          </w:p>
        </w:tc>
        <w:tc>
          <w:tcPr>
            <w:tcW w:w="1727" w:type="dxa"/>
            <w:tcBorders>
              <w:top w:val="single" w:sz="2" w:space="0" w:color="000000"/>
              <w:left w:val="single" w:sz="4" w:space="0" w:color="000000"/>
              <w:bottom w:val="single" w:sz="4" w:space="0" w:color="000000"/>
              <w:right w:val="single" w:sz="2" w:space="0" w:color="000000"/>
            </w:tcBorders>
          </w:tcPr>
          <w:p>
            <w:pPr>
              <w:pStyle w:val="TableParagraph"/>
              <w:spacing w:before="34"/>
              <w:ind w:left="390"/>
              <w:jc w:val="left"/>
              <w:rPr>
                <w:rFonts w:ascii="Times New Roman"/>
                <w:sz w:val="21"/>
              </w:rPr>
            </w:pPr>
            <w:r>
              <w:rPr>
                <w:rFonts w:ascii="Times New Roman"/>
                <w:sz w:val="21"/>
              </w:rPr>
              <w:t>CHO357**</w:t>
            </w:r>
          </w:p>
        </w:tc>
        <w:tc>
          <w:tcPr>
            <w:tcW w:w="829" w:type="dxa"/>
            <w:tcBorders>
              <w:top w:val="single" w:sz="2" w:space="0" w:color="000000"/>
              <w:left w:val="single" w:sz="2" w:space="0" w:color="000000"/>
              <w:bottom w:val="single" w:sz="4" w:space="0" w:color="000000"/>
              <w:right w:val="single" w:sz="4" w:space="0" w:color="000000"/>
            </w:tcBorders>
          </w:tcPr>
          <w:p>
            <w:pPr>
              <w:pStyle w:val="TableParagraph"/>
              <w:spacing w:before="20"/>
              <w:ind w:left="199" w:right="162"/>
              <w:rPr>
                <w:sz w:val="21"/>
              </w:rPr>
            </w:pPr>
            <w:r>
              <w:rPr>
                <w:sz w:val="21"/>
              </w:rPr>
              <w:t>技师</w:t>
            </w:r>
          </w:p>
        </w:tc>
        <w:tc>
          <w:tcPr>
            <w:tcW w:w="1710" w:type="dxa"/>
            <w:vMerge/>
            <w:tcBorders>
              <w:top w:val="nil"/>
              <w:left w:val="single" w:sz="4" w:space="0" w:color="000000"/>
              <w:bottom w:val="single" w:sz="4" w:space="0" w:color="000000"/>
              <w:right w:val="nil"/>
            </w:tcBorders>
          </w:tcPr>
          <w:p>
            <w:pPr>
              <w:rPr>
                <w:sz w:val="2"/>
                <w:szCs w:val="2"/>
              </w:rPr>
            </w:pPr>
          </w:p>
        </w:tc>
      </w:tr>
    </w:tbl>
    <w:p>
      <w:pPr>
        <w:pStyle w:val="BodyText"/>
        <w:spacing w:before="82"/>
        <w:ind w:left="712"/>
      </w:pPr>
      <w:r>
        <w:rPr/>
        <w:t>工作制度：实行 </w:t>
      </w:r>
      <w:r>
        <w:rPr>
          <w:rFonts w:ascii="Times New Roman" w:eastAsia="Times New Roman"/>
        </w:rPr>
        <w:t>8 </w:t>
      </w:r>
      <w:r>
        <w:rPr/>
        <w:t>小时工作制度，周工作日为 </w:t>
      </w:r>
      <w:r>
        <w:rPr>
          <w:rFonts w:ascii="Times New Roman" w:eastAsia="Times New Roman"/>
        </w:rPr>
        <w:t>5 </w:t>
      </w:r>
      <w:r>
        <w:rPr/>
        <w:t>天。</w:t>
      </w:r>
    </w:p>
    <w:p>
      <w:pPr>
        <w:pStyle w:val="BodyText"/>
        <w:spacing w:line="364" w:lineRule="auto" w:before="160"/>
        <w:ind w:left="232" w:right="231" w:firstLine="480"/>
      </w:pPr>
      <w:r>
        <w:rPr/>
        <w:t>三台县中医院可根据今后开展的项目和工作量等实际情况适当增减及调配辐射工作人员编制。</w:t>
      </w:r>
    </w:p>
    <w:p>
      <w:pPr>
        <w:pStyle w:val="BodyText"/>
        <w:spacing w:line="364" w:lineRule="auto" w:before="1"/>
        <w:ind w:left="232" w:right="231" w:firstLine="482"/>
        <w:jc w:val="both"/>
      </w:pPr>
      <w:r>
        <w:rPr>
          <w:spacing w:val="-4"/>
        </w:rPr>
        <w:t>根据《关于核技术利用辐射安全与防护培训和考核有关事项的公告》</w:t>
      </w:r>
      <w:r>
        <w:rPr/>
        <w:t>（生态环境</w:t>
      </w:r>
      <w:r>
        <w:rPr>
          <w:spacing w:val="-7"/>
        </w:rPr>
        <w:t>部，公告</w:t>
      </w:r>
      <w:r>
        <w:rPr>
          <w:spacing w:val="-7"/>
          <w:w w:val="50"/>
        </w:rPr>
        <w:t> </w:t>
      </w:r>
      <w:r>
        <w:rPr>
          <w:spacing w:val="-60"/>
        </w:rPr>
        <w:t> </w:t>
      </w:r>
      <w:r>
        <w:rPr/>
        <w:t>2019</w:t>
      </w:r>
      <w:r>
        <w:rPr>
          <w:spacing w:val="-30"/>
        </w:rPr>
        <w:t> 年</w:t>
      </w:r>
      <w:r>
        <w:rPr>
          <w:spacing w:val="-30"/>
          <w:w w:val="50"/>
        </w:rPr>
        <w:t> </w:t>
      </w:r>
      <w:r>
        <w:rPr>
          <w:spacing w:val="-41"/>
        </w:rPr>
        <w:t> 第 </w:t>
      </w:r>
      <w:r>
        <w:rPr>
          <w:spacing w:val="-3"/>
        </w:rPr>
        <w:t>5</w:t>
      </w:r>
      <w:r>
        <w:rPr/>
        <w:t>7</w:t>
      </w:r>
      <w:r>
        <w:rPr>
          <w:spacing w:val="-29"/>
        </w:rPr>
        <w:t> 号</w:t>
      </w:r>
      <w:r>
        <w:rPr>
          <w:spacing w:val="-120"/>
        </w:rPr>
        <w:t>）</w:t>
      </w:r>
      <w:r>
        <w:rPr>
          <w:spacing w:val="-52"/>
        </w:rPr>
        <w:t>：“自 </w:t>
      </w:r>
      <w:r>
        <w:rPr/>
        <w:t>2020</w:t>
      </w:r>
      <w:r>
        <w:rPr>
          <w:spacing w:val="-40"/>
        </w:rPr>
        <w:t> 年 </w:t>
      </w:r>
      <w:r>
        <w:rPr/>
        <w:t>1</w:t>
      </w:r>
      <w:r>
        <w:rPr>
          <w:spacing w:val="-41"/>
        </w:rPr>
        <w:t> 月 </w:t>
      </w:r>
      <w:r>
        <w:rPr/>
        <w:t>1</w:t>
      </w:r>
      <w:r>
        <w:rPr>
          <w:spacing w:val="-11"/>
        </w:rPr>
        <w:t> 日起，新从事辐射活动的人员，以及</w:t>
      </w:r>
      <w:r>
        <w:rPr>
          <w:spacing w:val="-13"/>
        </w:rPr>
        <w:t>原持有的辐射安全培训合格证书到期的人员，应当通过生态环境部‘核技术利用辐射</w:t>
      </w:r>
      <w:r>
        <w:rPr>
          <w:spacing w:val="-14"/>
        </w:rPr>
        <w:t>安全与防护培训平台’</w:t>
      </w:r>
      <w:r>
        <w:rPr>
          <w:spacing w:val="2"/>
        </w:rPr>
        <w:t>（</w:t>
      </w:r>
      <w:r>
        <w:rPr>
          <w:spacing w:val="-3"/>
        </w:rPr>
        <w:t>网址：</w:t>
      </w:r>
      <w:r>
        <w:rPr>
          <w:w w:val="111"/>
        </w:rPr>
        <w:t>h</w:t>
      </w:r>
      <w:r>
        <w:rPr>
          <w:w w:val="66"/>
        </w:rPr>
        <w:t>tt</w:t>
      </w:r>
      <w:r>
        <w:rPr>
          <w:w w:val="111"/>
        </w:rPr>
        <w:t>p</w:t>
      </w:r>
      <w:r>
        <w:rPr>
          <w:spacing w:val="-10"/>
        </w:rPr>
        <w:t>：</w:t>
      </w:r>
      <w:r>
        <w:rPr>
          <w:w w:val="55"/>
        </w:rPr>
        <w:t>//</w:t>
      </w:r>
      <w:r>
        <w:rPr>
          <w:w w:val="66"/>
        </w:rPr>
        <w:t>f</w:t>
      </w:r>
      <w:r>
        <w:rPr>
          <w:w w:val="111"/>
        </w:rPr>
        <w:t>u</w:t>
      </w:r>
      <w:r>
        <w:rPr>
          <w:w w:val="77"/>
        </w:rPr>
        <w:t>s</w:t>
      </w:r>
      <w:r>
        <w:rPr>
          <w:w w:val="111"/>
        </w:rPr>
        <w:t>h</w:t>
      </w:r>
      <w:r>
        <w:rPr>
          <w:w w:val="88"/>
        </w:rPr>
        <w:t>e</w:t>
      </w:r>
      <w:r>
        <w:rPr>
          <w:w w:val="50"/>
        </w:rPr>
        <w:t>.</w:t>
      </w:r>
      <w:r>
        <w:rPr>
          <w:w w:val="166"/>
        </w:rPr>
        <w:t>m</w:t>
      </w:r>
      <w:r>
        <w:rPr>
          <w:spacing w:val="-4"/>
          <w:w w:val="88"/>
        </w:rPr>
        <w:t>e</w:t>
      </w:r>
      <w:r>
        <w:rPr>
          <w:w w:val="88"/>
        </w:rPr>
        <w:t>e</w:t>
      </w:r>
      <w:r>
        <w:rPr>
          <w:w w:val="50"/>
        </w:rPr>
        <w:t>.</w:t>
      </w:r>
      <w:r>
        <w:rPr/>
        <w:t>g</w:t>
      </w:r>
      <w:r>
        <w:rPr>
          <w:spacing w:val="2"/>
        </w:rPr>
        <w:t>o</w:t>
      </w:r>
      <w:r>
        <w:rPr>
          <w:spacing w:val="-15"/>
        </w:rPr>
        <w:t>v</w:t>
      </w:r>
      <w:r>
        <w:rPr>
          <w:w w:val="50"/>
        </w:rPr>
        <w:t>.</w:t>
      </w:r>
      <w:r>
        <w:rPr>
          <w:w w:val="88"/>
        </w:rPr>
        <w:t>c</w:t>
      </w:r>
      <w:r>
        <w:rPr>
          <w:spacing w:val="-1"/>
          <w:w w:val="111"/>
        </w:rPr>
        <w:t>n</w:t>
      </w:r>
      <w:r>
        <w:rPr>
          <w:spacing w:val="-10"/>
        </w:rPr>
        <w:t>）</w:t>
      </w:r>
      <w:r>
        <w:rPr>
          <w:spacing w:val="-2"/>
        </w:rPr>
        <w:t>报名并参加考核。</w:t>
      </w:r>
      <w:r>
        <w:rPr/>
        <w:t>2020</w:t>
      </w:r>
      <w:r>
        <w:rPr>
          <w:spacing w:val="-40"/>
        </w:rPr>
        <w:t> 年 </w:t>
      </w:r>
      <w:r>
        <w:rPr/>
        <w:t>1</w:t>
      </w:r>
    </w:p>
    <w:p>
      <w:pPr>
        <w:pStyle w:val="BodyText"/>
        <w:spacing w:line="364" w:lineRule="auto" w:before="3"/>
        <w:ind w:left="232" w:right="233"/>
        <w:jc w:val="both"/>
      </w:pPr>
      <w:r>
        <w:rPr>
          <w:spacing w:val="-8"/>
        </w:rPr>
        <w:t>月 </w:t>
      </w:r>
      <w:r>
        <w:rPr/>
        <w:t>1</w:t>
      </w:r>
      <w:r>
        <w:rPr>
          <w:spacing w:val="-10"/>
        </w:rPr>
        <w:t> 日前已取得的原培训合格证书在有效期内继续有效”。本项目辐射工作人员须在</w:t>
      </w:r>
      <w:r>
        <w:rPr>
          <w:spacing w:val="-11"/>
        </w:rPr>
        <w:t>生态环境部“核技术利用辐射安全与防护培训平台”报名参加辐射安全与防护相关知</w:t>
      </w:r>
      <w:r>
        <w:rPr>
          <w:spacing w:val="-8"/>
        </w:rPr>
        <w:t>识的学习，并参加考核，考核合格后方可上岗。辐射安全培训合格证书到期的人员仍</w:t>
      </w:r>
      <w:r>
        <w:rPr/>
        <w:t>需通过生态环境部‘核技术利用辐射安全与防护培训平台’进行再学习考核。</w:t>
      </w:r>
      <w:r>
        <w:rPr>
          <w:w w:val="50"/>
        </w:rPr>
        <w:t> </w:t>
      </w:r>
    </w:p>
    <w:p>
      <w:pPr>
        <w:pStyle w:val="BodyText"/>
        <w:spacing w:before="2"/>
        <w:ind w:left="714"/>
      </w:pPr>
      <w:r>
        <w:rPr/>
        <w:t>五、产业政策符合性</w:t>
      </w:r>
      <w:r>
        <w:rPr>
          <w:w w:val="50"/>
        </w:rPr>
        <w:t> </w:t>
      </w:r>
    </w:p>
    <w:p>
      <w:pPr>
        <w:pStyle w:val="BodyText"/>
        <w:spacing w:line="364" w:lineRule="auto" w:before="161"/>
        <w:ind w:left="232" w:right="116" w:firstLine="480"/>
      </w:pPr>
      <w:r>
        <w:rPr>
          <w:spacing w:val="-6"/>
        </w:rPr>
        <w:t>本项目系核技术应用项目在医学领域内的运用。根据国家发展和改革委员会 </w:t>
      </w:r>
      <w:r>
        <w:rPr>
          <w:rFonts w:ascii="Times New Roman" w:hAnsi="Times New Roman" w:eastAsia="Times New Roman"/>
        </w:rPr>
        <w:t>2019 </w:t>
      </w:r>
      <w:r>
        <w:rPr>
          <w:spacing w:val="-21"/>
        </w:rPr>
        <w:t>年第 </w:t>
      </w:r>
      <w:r>
        <w:rPr>
          <w:rFonts w:ascii="Times New Roman" w:hAnsi="Times New Roman" w:eastAsia="Times New Roman"/>
        </w:rPr>
        <w:t>29 </w:t>
      </w:r>
      <w:r>
        <w:rPr>
          <w:spacing w:val="-8"/>
        </w:rPr>
        <w:t>号令《产业结构调整指导目录</w:t>
      </w:r>
      <w:r>
        <w:rPr/>
        <w:t>（</w:t>
      </w:r>
      <w:r>
        <w:rPr>
          <w:rFonts w:ascii="Times New Roman" w:hAnsi="Times New Roman" w:eastAsia="Times New Roman"/>
        </w:rPr>
        <w:t>2019 </w:t>
      </w:r>
      <w:r>
        <w:rPr/>
        <w:t>年本</w:t>
      </w:r>
      <w:r>
        <w:rPr>
          <w:spacing w:val="-75"/>
        </w:rPr>
        <w:t>）</w:t>
      </w:r>
      <w:r>
        <w:rPr>
          <w:spacing w:val="-9"/>
        </w:rPr>
        <w:t>，属于鼓励类中第三十七项“卫生</w:t>
      </w:r>
      <w:r>
        <w:rPr>
          <w:spacing w:val="-20"/>
        </w:rPr>
        <w:t>健康”的第 </w:t>
      </w:r>
      <w:r>
        <w:rPr>
          <w:rFonts w:ascii="Times New Roman" w:hAnsi="Times New Roman" w:eastAsia="Times New Roman"/>
        </w:rPr>
        <w:t>5 </w:t>
      </w:r>
      <w:r>
        <w:rPr>
          <w:spacing w:val="-10"/>
        </w:rPr>
        <w:t>条“医疗卫生服务设施建设”，是目前国家鼓励发展的新技术应用项目。</w:t>
      </w:r>
      <w:r>
        <w:rPr>
          <w:spacing w:val="-2"/>
        </w:rPr>
        <w:t>本项目的运营可为三台县及周边病人提供诊疗服务，是提高人民群众生活质量，提高</w:t>
      </w:r>
      <w:r>
        <w:rPr>
          <w:spacing w:val="-4"/>
        </w:rPr>
        <w:t>全市医疗卫生水平和建设小康设备的重要内容，本项目具有放射实践的正当性，符合现行的国家产业政策。</w:t>
      </w:r>
      <w:r>
        <w:rPr>
          <w:spacing w:val="-4"/>
          <w:w w:val="50"/>
        </w:rPr>
        <w:t> </w:t>
      </w:r>
    </w:p>
    <w:p>
      <w:pPr>
        <w:pStyle w:val="BodyText"/>
        <w:spacing w:before="3"/>
        <w:ind w:left="714"/>
      </w:pPr>
      <w:r>
        <w:rPr/>
        <w:t>六、项目周边保护目标以及场址选址情况</w:t>
      </w:r>
      <w:r>
        <w:rPr>
          <w:w w:val="50"/>
        </w:rPr>
        <w:t> </w:t>
      </w:r>
    </w:p>
    <w:p>
      <w:pPr>
        <w:pStyle w:val="BodyText"/>
        <w:spacing w:before="161"/>
        <w:ind w:left="712"/>
      </w:pPr>
      <w:r>
        <w:rPr>
          <w:spacing w:val="-1"/>
        </w:rPr>
        <w:t>三台县中医院位于四川省绵阳市三台县潼川镇学街 </w:t>
      </w:r>
      <w:r>
        <w:rPr>
          <w:rFonts w:ascii="Times New Roman" w:eastAsia="Times New Roman"/>
        </w:rPr>
        <w:t>31</w:t>
      </w:r>
      <w:r>
        <w:rPr>
          <w:rFonts w:ascii="Times New Roman" w:eastAsia="Times New Roman"/>
          <w:spacing w:val="48"/>
        </w:rPr>
        <w:t> </w:t>
      </w:r>
      <w:r>
        <w:rPr/>
        <w:t>号（项目地理位置见附图</w:t>
      </w:r>
    </w:p>
    <w:p>
      <w:pPr>
        <w:pStyle w:val="BodyText"/>
        <w:spacing w:line="364" w:lineRule="auto" w:before="160"/>
        <w:ind w:left="232" w:right="233"/>
        <w:jc w:val="both"/>
      </w:pPr>
      <w:r>
        <w:rPr/>
        <w:t>1，</w:t>
      </w:r>
      <w:r>
        <w:rPr>
          <w:spacing w:val="-2"/>
        </w:rPr>
        <w:t>医院周围环境示意图见附图 </w:t>
      </w:r>
      <w:r>
        <w:rPr/>
        <w:t>2</w:t>
      </w:r>
      <w:r>
        <w:rPr>
          <w:spacing w:val="-120"/>
        </w:rPr>
        <w:t>）</w:t>
      </w:r>
      <w:r>
        <w:rPr>
          <w:spacing w:val="-1"/>
        </w:rPr>
        <w:t>，医院综合考虑项目特点和对周围环境可能存在的</w:t>
      </w:r>
      <w:r>
        <w:rPr>
          <w:spacing w:val="-6"/>
        </w:rPr>
        <w:t>影响，将本项目介入治疗室建于院内行政楼 </w:t>
      </w:r>
      <w:r>
        <w:rPr/>
        <w:t>1</w:t>
      </w:r>
      <w:r>
        <w:rPr>
          <w:spacing w:val="-10"/>
        </w:rPr>
        <w:t> 楼，避开了人流量较大的门诊区域，减</w:t>
      </w:r>
    </w:p>
    <w:p>
      <w:pPr>
        <w:spacing w:after="0" w:line="364" w:lineRule="auto"/>
        <w:jc w:val="both"/>
        <w:sectPr>
          <w:pgSz w:w="11910" w:h="16840"/>
          <w:pgMar w:header="0" w:footer="949" w:top="1220" w:bottom="1140" w:left="1520" w:right="1060"/>
        </w:sectPr>
      </w:pPr>
    </w:p>
    <w:p>
      <w:pPr>
        <w:pStyle w:val="BodyText"/>
        <w:spacing w:line="364" w:lineRule="auto" w:before="100"/>
        <w:ind w:left="232" w:right="187"/>
      </w:pPr>
      <w:r>
        <w:rPr/>
        <w:pict>
          <v:group style="position:absolute;margin-left:81.959999pt;margin-top:62.399937pt;width:454.1pt;height:679.2pt;mso-position-horizontal-relative:page;mso-position-vertical-relative:page;z-index:-212152" coordorigin="1639,1248" coordsize="9082,13584">
            <v:line style="position:absolute" from="1639,1253" to="10711,1253" stroked="true" strokeweight=".479999pt" strokecolor="#000000">
              <v:stroke dashstyle="solid"/>
            </v:line>
            <v:line style="position:absolute" from="1644,1258" to="1644,14832" stroked="true" strokeweight=".479999pt" strokecolor="#000000">
              <v:stroke dashstyle="solid"/>
            </v:line>
            <v:line style="position:absolute" from="1639,14827" to="10711,14827" stroked="true" strokeweight=".480011pt" strokecolor="#000000">
              <v:stroke dashstyle="solid"/>
            </v:line>
            <v:line style="position:absolute" from="10716,1248" to="10716,14832" stroked="true" strokeweight=".479966pt" strokecolor="#000000">
              <v:stroke dashstyle="solid"/>
            </v:line>
            <w10:wrap type="none"/>
          </v:group>
        </w:pict>
      </w:r>
      <w:r>
        <w:rPr/>
        <w:t>少了对公众的不必要照射。从周边外环境关系可知，医院周边规划为居民住宅和市政道路，周边无自然保护区等生态环境保护目标，无大的环境制约因素。</w:t>
      </w:r>
    </w:p>
    <w:p>
      <w:pPr>
        <w:pStyle w:val="BodyText"/>
        <w:spacing w:line="364" w:lineRule="auto" w:before="2"/>
        <w:ind w:left="232" w:right="116" w:firstLine="480"/>
      </w:pPr>
      <w:r>
        <w:rPr>
          <w:spacing w:val="-3"/>
        </w:rPr>
        <w:t>本项目所在行政楼已在《关于三台县环境保护局关于三台县中医院灾后重建项目</w:t>
      </w:r>
      <w:r>
        <w:rPr>
          <w:spacing w:val="-6"/>
        </w:rPr>
        <w:t>试运行的批复》中完成了环境影响评价并已取得原三台县环境保护局</w:t>
      </w:r>
      <w:r>
        <w:rPr/>
        <w:t>（现绵阳市三台生态环境局）批复（</w:t>
      </w:r>
      <w:r>
        <w:rPr>
          <w:spacing w:val="-1"/>
        </w:rPr>
        <w:t>三环保〔</w:t>
      </w:r>
      <w:r>
        <w:rPr>
          <w:rFonts w:ascii="Times New Roman" w:eastAsia="Times New Roman"/>
        </w:rPr>
        <w:t>201</w:t>
      </w:r>
      <w:r>
        <w:rPr>
          <w:rFonts w:ascii="Times New Roman" w:eastAsia="Times New Roman"/>
          <w:spacing w:val="-1"/>
        </w:rPr>
        <w:t>2</w:t>
      </w:r>
      <w:r>
        <w:rPr/>
        <w:t>〕</w:t>
      </w:r>
      <w:r>
        <w:rPr>
          <w:rFonts w:ascii="Times New Roman" w:eastAsia="Times New Roman"/>
        </w:rPr>
        <w:t>48</w:t>
      </w:r>
      <w:r>
        <w:rPr>
          <w:rFonts w:ascii="Times New Roman" w:eastAsia="Times New Roman"/>
          <w:spacing w:val="-12"/>
        </w:rPr>
        <w:t>  </w:t>
      </w:r>
      <w:r>
        <w:rPr/>
        <w:t>号</w:t>
      </w:r>
      <w:r>
        <w:rPr>
          <w:spacing w:val="-120"/>
        </w:rPr>
        <w:t>）</w:t>
      </w:r>
      <w:r>
        <w:rPr/>
        <w:t>，本项目仅为原有房间进行改造装修，不</w:t>
      </w:r>
      <w:r>
        <w:rPr>
          <w:spacing w:val="-4"/>
        </w:rPr>
        <w:t>新增用地，且新建辐射工作场所有良好的实体屏蔽设施和防护措施，产生的辐射经屏</w:t>
      </w:r>
      <w:r>
        <w:rPr>
          <w:spacing w:val="-5"/>
        </w:rPr>
        <w:t>蔽和防护后对辐射工作人员及公众的照射剂量满足《电离辐射防护与辐射源安全基本</w:t>
      </w:r>
      <w:r>
        <w:rPr>
          <w:spacing w:val="-57"/>
        </w:rPr>
        <w:t>标准》</w:t>
      </w:r>
      <w:r>
        <w:rPr>
          <w:spacing w:val="-3"/>
        </w:rPr>
        <w:t>（</w:t>
      </w:r>
      <w:r>
        <w:rPr>
          <w:rFonts w:ascii="Times New Roman" w:eastAsia="Times New Roman"/>
          <w:spacing w:val="-3"/>
        </w:rPr>
        <w:t>GB18871-2002</w:t>
      </w:r>
      <w:r>
        <w:rPr>
          <w:spacing w:val="-3"/>
        </w:rPr>
        <w:t>）</w:t>
      </w:r>
      <w:r>
        <w:rPr>
          <w:spacing w:val="-1"/>
        </w:rPr>
        <w:t>中的剂量限值要求和本报告表确定的剂量管理约束值的要求， </w:t>
      </w:r>
      <w:r>
        <w:rPr/>
        <w:t>从辐射安全防护角度分析，本项目选址是合理的。</w:t>
      </w:r>
    </w:p>
    <w:p>
      <w:pPr>
        <w:pStyle w:val="BodyText"/>
        <w:spacing w:before="4"/>
        <w:ind w:left="714"/>
      </w:pPr>
      <w:r>
        <w:rPr/>
        <w:t>七、实践的正当性</w:t>
      </w:r>
      <w:r>
        <w:rPr>
          <w:w w:val="50"/>
        </w:rPr>
        <w:t> </w:t>
      </w:r>
    </w:p>
    <w:p>
      <w:pPr>
        <w:pStyle w:val="BodyText"/>
        <w:spacing w:line="364" w:lineRule="auto" w:before="160"/>
        <w:ind w:left="232" w:right="231" w:firstLine="480"/>
        <w:jc w:val="both"/>
      </w:pPr>
      <w:r>
        <w:rPr>
          <w:spacing w:val="3"/>
        </w:rPr>
        <w:t>三台县中医院新增数字减影血管造影机使用项目的目的是为了对病人进行医学</w:t>
      </w:r>
      <w:r>
        <w:rPr>
          <w:spacing w:val="-4"/>
        </w:rPr>
        <w:t>诊断。在采取了相应的辐射防护措施后，项目射线装置使用所致的辐射危害可得到有</w:t>
      </w:r>
      <w:r>
        <w:rPr>
          <w:spacing w:val="3"/>
        </w:rPr>
        <w:t>效控制，项目实施的利益大于代价，符合《电离辐射防护与辐射源安全基本标准》</w:t>
      </w:r>
    </w:p>
    <w:p>
      <w:pPr>
        <w:pStyle w:val="BodyText"/>
        <w:spacing w:line="364" w:lineRule="auto" w:before="2"/>
        <w:ind w:left="714" w:right="2739" w:hanging="483"/>
      </w:pPr>
      <w:r>
        <w:rPr/>
        <w:t>（</w:t>
      </w:r>
      <w:r>
        <w:rPr>
          <w:rFonts w:ascii="Times New Roman" w:hAnsi="Times New Roman" w:eastAsia="Times New Roman"/>
        </w:rPr>
        <w:t>GB18871-2002</w:t>
      </w:r>
      <w:r>
        <w:rPr/>
        <w:t>）规定的辐射防护“实践的正当性”原则。八、项目单位核技术应用现状</w:t>
      </w:r>
      <w:r>
        <w:rPr>
          <w:w w:val="50"/>
        </w:rPr>
        <w:t> </w:t>
      </w:r>
    </w:p>
    <w:p>
      <w:pPr>
        <w:pStyle w:val="BodyText"/>
        <w:spacing w:before="1"/>
        <w:ind w:left="714"/>
      </w:pPr>
      <w:r>
        <w:rPr/>
        <w:t>（一）辐射安全许可证的许可种类和范围</w:t>
      </w:r>
      <w:r>
        <w:rPr>
          <w:w w:val="50"/>
        </w:rPr>
        <w:t> </w:t>
      </w:r>
    </w:p>
    <w:p>
      <w:pPr>
        <w:pStyle w:val="BodyText"/>
        <w:spacing w:line="364" w:lineRule="auto" w:before="161"/>
        <w:ind w:left="232" w:right="233" w:firstLine="480"/>
        <w:jc w:val="both"/>
      </w:pPr>
      <w:r>
        <w:rPr>
          <w:spacing w:val="-6"/>
        </w:rPr>
        <w:t>三台县中医院于 </w:t>
      </w:r>
      <w:r>
        <w:rPr>
          <w:rFonts w:ascii="Times New Roman" w:eastAsia="Times New Roman"/>
        </w:rPr>
        <w:t>2021 </w:t>
      </w:r>
      <w:r>
        <w:rPr>
          <w:spacing w:val="-22"/>
        </w:rPr>
        <w:t>年 </w:t>
      </w:r>
      <w:r>
        <w:rPr>
          <w:rFonts w:ascii="Times New Roman" w:eastAsia="Times New Roman"/>
        </w:rPr>
        <w:t>04 </w:t>
      </w:r>
      <w:r>
        <w:rPr>
          <w:spacing w:val="-22"/>
        </w:rPr>
        <w:t>月 </w:t>
      </w:r>
      <w:r>
        <w:rPr>
          <w:rFonts w:ascii="Times New Roman" w:eastAsia="Times New Roman"/>
        </w:rPr>
        <w:t>22 </w:t>
      </w:r>
      <w:r>
        <w:rPr>
          <w:spacing w:val="-1"/>
        </w:rPr>
        <w:t>日重新申领了辐射安全许可证，现持有绵阳市</w:t>
      </w:r>
      <w:r>
        <w:rPr>
          <w:spacing w:val="-15"/>
        </w:rPr>
        <w:t>生态环境局颁发的《辐射安全许可证》，证书编号：川环辐证〔</w:t>
      </w:r>
      <w:r>
        <w:rPr>
          <w:rFonts w:ascii="Times New Roman" w:eastAsia="Times New Roman"/>
        </w:rPr>
        <w:t>08039</w:t>
      </w:r>
      <w:r>
        <w:rPr>
          <w:spacing w:val="-22"/>
        </w:rPr>
        <w:t>〕，许可种类和范</w:t>
      </w:r>
      <w:r>
        <w:rPr>
          <w:spacing w:val="-13"/>
        </w:rPr>
        <w:t>围为：使用 </w:t>
      </w:r>
      <w:r>
        <w:rPr>
          <w:rFonts w:ascii="Times New Roman" w:eastAsia="Times New Roman"/>
        </w:rPr>
        <w:t>III </w:t>
      </w:r>
      <w:r>
        <w:rPr>
          <w:spacing w:val="-8"/>
        </w:rPr>
        <w:t>类射线装置，有效期至 </w:t>
      </w:r>
      <w:r>
        <w:rPr>
          <w:rFonts w:ascii="Times New Roman" w:eastAsia="Times New Roman"/>
        </w:rPr>
        <w:t>2026 </w:t>
      </w:r>
      <w:r>
        <w:rPr>
          <w:spacing w:val="-30"/>
        </w:rPr>
        <w:t>年 </w:t>
      </w:r>
      <w:r>
        <w:rPr>
          <w:rFonts w:ascii="Times New Roman" w:eastAsia="Times New Roman"/>
        </w:rPr>
        <w:t>04 </w:t>
      </w:r>
      <w:r>
        <w:rPr>
          <w:spacing w:val="-30"/>
        </w:rPr>
        <w:t>月 </w:t>
      </w:r>
      <w:r>
        <w:rPr>
          <w:rFonts w:ascii="Times New Roman" w:eastAsia="Times New Roman"/>
        </w:rPr>
        <w:t>21 </w:t>
      </w:r>
      <w:r>
        <w:rPr>
          <w:spacing w:val="-4"/>
        </w:rPr>
        <w:t>日。辐射安全许可证正副本见</w:t>
      </w:r>
      <w:r>
        <w:rPr>
          <w:spacing w:val="-13"/>
        </w:rPr>
        <w:t>详见附件 </w:t>
      </w:r>
      <w:r>
        <w:rPr>
          <w:rFonts w:ascii="Times New Roman" w:eastAsia="Times New Roman"/>
        </w:rPr>
        <w:t>3</w:t>
      </w:r>
      <w:r>
        <w:rPr>
          <w:spacing w:val="-4"/>
        </w:rPr>
        <w:t>。三台县中医院现有核技术利用情况详见表 </w:t>
      </w:r>
      <w:r>
        <w:rPr>
          <w:rFonts w:ascii="Times New Roman" w:eastAsia="Times New Roman"/>
        </w:rPr>
        <w:t>1-5</w:t>
      </w:r>
      <w:r>
        <w:rPr/>
        <w:t>。</w:t>
      </w:r>
    </w:p>
    <w:p>
      <w:pPr>
        <w:spacing w:line="213" w:lineRule="exact" w:before="0" w:after="20"/>
        <w:ind w:left="2444" w:right="0" w:firstLine="0"/>
        <w:jc w:val="left"/>
        <w:rPr>
          <w:sz w:val="21"/>
        </w:rPr>
      </w:pPr>
      <w:r>
        <w:rPr>
          <w:spacing w:val="-27"/>
          <w:sz w:val="21"/>
        </w:rPr>
        <w:t>表 </w:t>
      </w:r>
      <w:r>
        <w:rPr>
          <w:rFonts w:ascii="Times New Roman" w:eastAsia="Times New Roman"/>
          <w:sz w:val="21"/>
        </w:rPr>
        <w:t>1-5 </w:t>
      </w:r>
      <w:r>
        <w:rPr>
          <w:spacing w:val="-4"/>
          <w:sz w:val="21"/>
        </w:rPr>
        <w:t>三台县中医院现有核技术利用情况一览表</w:t>
      </w:r>
    </w:p>
    <w:tbl>
      <w:tblPr>
        <w:tblW w:w="0" w:type="auto"/>
        <w:jc w:val="left"/>
        <w:tblInd w:w="1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1"/>
        <w:gridCol w:w="1567"/>
        <w:gridCol w:w="2409"/>
        <w:gridCol w:w="710"/>
        <w:gridCol w:w="708"/>
        <w:gridCol w:w="2261"/>
        <w:gridCol w:w="663"/>
      </w:tblGrid>
      <w:tr>
        <w:trPr>
          <w:trHeight w:val="310" w:hRule="atLeast"/>
        </w:trPr>
        <w:tc>
          <w:tcPr>
            <w:tcW w:w="641" w:type="dxa"/>
            <w:tcBorders>
              <w:left w:val="nil"/>
              <w:right w:val="single" w:sz="4" w:space="0" w:color="000000"/>
            </w:tcBorders>
          </w:tcPr>
          <w:p>
            <w:pPr>
              <w:pStyle w:val="TableParagraph"/>
              <w:spacing w:line="269" w:lineRule="exact" w:before="22"/>
              <w:ind w:left="106" w:right="70"/>
              <w:rPr>
                <w:sz w:val="21"/>
              </w:rPr>
            </w:pPr>
            <w:r>
              <w:rPr>
                <w:sz w:val="21"/>
              </w:rPr>
              <w:t>序号</w:t>
            </w:r>
          </w:p>
        </w:tc>
        <w:tc>
          <w:tcPr>
            <w:tcW w:w="1567" w:type="dxa"/>
            <w:tcBorders>
              <w:left w:val="single" w:sz="4" w:space="0" w:color="000000"/>
              <w:right w:val="single" w:sz="4" w:space="0" w:color="000000"/>
            </w:tcBorders>
          </w:tcPr>
          <w:p>
            <w:pPr>
              <w:pStyle w:val="TableParagraph"/>
              <w:spacing w:line="269" w:lineRule="exact" w:before="22"/>
              <w:ind w:left="352" w:right="324"/>
              <w:rPr>
                <w:sz w:val="21"/>
              </w:rPr>
            </w:pPr>
            <w:r>
              <w:rPr>
                <w:sz w:val="21"/>
              </w:rPr>
              <w:t>设备名称</w:t>
            </w:r>
          </w:p>
        </w:tc>
        <w:tc>
          <w:tcPr>
            <w:tcW w:w="2409" w:type="dxa"/>
            <w:tcBorders>
              <w:left w:val="single" w:sz="4" w:space="0" w:color="000000"/>
              <w:right w:val="single" w:sz="4" w:space="0" w:color="000000"/>
            </w:tcBorders>
          </w:tcPr>
          <w:p>
            <w:pPr>
              <w:pStyle w:val="TableParagraph"/>
              <w:spacing w:line="269" w:lineRule="exact" w:before="22"/>
              <w:ind w:left="318" w:right="289"/>
              <w:rPr>
                <w:sz w:val="21"/>
              </w:rPr>
            </w:pPr>
            <w:r>
              <w:rPr>
                <w:sz w:val="21"/>
              </w:rPr>
              <w:t>型号</w:t>
            </w:r>
          </w:p>
        </w:tc>
        <w:tc>
          <w:tcPr>
            <w:tcW w:w="710" w:type="dxa"/>
            <w:tcBorders>
              <w:left w:val="single" w:sz="4" w:space="0" w:color="000000"/>
              <w:right w:val="single" w:sz="4" w:space="0" w:color="000000"/>
            </w:tcBorders>
          </w:tcPr>
          <w:p>
            <w:pPr>
              <w:pStyle w:val="TableParagraph"/>
              <w:spacing w:line="269" w:lineRule="exact" w:before="22"/>
              <w:ind w:left="98" w:right="68"/>
              <w:rPr>
                <w:sz w:val="21"/>
              </w:rPr>
            </w:pPr>
            <w:r>
              <w:rPr>
                <w:sz w:val="21"/>
              </w:rPr>
              <w:t>类别</w:t>
            </w:r>
          </w:p>
        </w:tc>
        <w:tc>
          <w:tcPr>
            <w:tcW w:w="708" w:type="dxa"/>
            <w:tcBorders>
              <w:left w:val="single" w:sz="4" w:space="0" w:color="000000"/>
              <w:right w:val="single" w:sz="4" w:space="0" w:color="000000"/>
            </w:tcBorders>
          </w:tcPr>
          <w:p>
            <w:pPr>
              <w:pStyle w:val="TableParagraph"/>
              <w:spacing w:line="269" w:lineRule="exact" w:before="22"/>
              <w:ind w:left="133" w:right="105"/>
              <w:rPr>
                <w:sz w:val="21"/>
              </w:rPr>
            </w:pPr>
            <w:r>
              <w:rPr>
                <w:sz w:val="21"/>
              </w:rPr>
              <w:t>台数</w:t>
            </w:r>
          </w:p>
        </w:tc>
        <w:tc>
          <w:tcPr>
            <w:tcW w:w="2261" w:type="dxa"/>
            <w:tcBorders>
              <w:left w:val="single" w:sz="4" w:space="0" w:color="000000"/>
              <w:right w:val="single" w:sz="4" w:space="0" w:color="000000"/>
            </w:tcBorders>
          </w:tcPr>
          <w:p>
            <w:pPr>
              <w:pStyle w:val="TableParagraph"/>
              <w:spacing w:line="269" w:lineRule="exact" w:before="22"/>
              <w:ind w:left="125" w:right="95"/>
              <w:rPr>
                <w:sz w:val="21"/>
              </w:rPr>
            </w:pPr>
            <w:r>
              <w:rPr>
                <w:sz w:val="21"/>
              </w:rPr>
              <w:t>场所</w:t>
            </w:r>
          </w:p>
        </w:tc>
        <w:tc>
          <w:tcPr>
            <w:tcW w:w="663" w:type="dxa"/>
            <w:tcBorders>
              <w:left w:val="single" w:sz="4" w:space="0" w:color="000000"/>
              <w:right w:val="nil"/>
            </w:tcBorders>
          </w:tcPr>
          <w:p>
            <w:pPr>
              <w:pStyle w:val="TableParagraph"/>
              <w:spacing w:line="269" w:lineRule="exact" w:before="22"/>
              <w:ind w:left="127"/>
              <w:jc w:val="left"/>
              <w:rPr>
                <w:sz w:val="21"/>
              </w:rPr>
            </w:pPr>
            <w:r>
              <w:rPr>
                <w:sz w:val="21"/>
              </w:rPr>
              <w:t>备注</w:t>
            </w:r>
          </w:p>
        </w:tc>
      </w:tr>
      <w:tr>
        <w:trPr>
          <w:trHeight w:val="303" w:hRule="atLeast"/>
        </w:trPr>
        <w:tc>
          <w:tcPr>
            <w:tcW w:w="641" w:type="dxa"/>
            <w:tcBorders>
              <w:left w:val="nil"/>
              <w:bottom w:val="single" w:sz="4" w:space="0" w:color="000000"/>
              <w:right w:val="single" w:sz="4" w:space="0" w:color="000000"/>
            </w:tcBorders>
          </w:tcPr>
          <w:p>
            <w:pPr>
              <w:pStyle w:val="TableParagraph"/>
              <w:spacing w:before="38"/>
              <w:ind w:left="31"/>
              <w:rPr>
                <w:rFonts w:ascii="Times New Roman"/>
                <w:sz w:val="21"/>
              </w:rPr>
            </w:pPr>
            <w:r>
              <w:rPr>
                <w:rFonts w:ascii="Times New Roman"/>
                <w:w w:val="100"/>
                <w:sz w:val="21"/>
              </w:rPr>
              <w:t>1</w:t>
            </w:r>
          </w:p>
        </w:tc>
        <w:tc>
          <w:tcPr>
            <w:tcW w:w="1567" w:type="dxa"/>
            <w:tcBorders>
              <w:left w:val="single" w:sz="4" w:space="0" w:color="000000"/>
              <w:bottom w:val="single" w:sz="4" w:space="0" w:color="000000"/>
              <w:right w:val="single" w:sz="4" w:space="0" w:color="000000"/>
            </w:tcBorders>
          </w:tcPr>
          <w:p>
            <w:pPr>
              <w:pStyle w:val="TableParagraph"/>
              <w:spacing w:line="259" w:lineRule="exact" w:before="24"/>
              <w:ind w:left="352" w:right="321"/>
              <w:rPr>
                <w:sz w:val="21"/>
              </w:rPr>
            </w:pPr>
            <w:r>
              <w:rPr>
                <w:rFonts w:ascii="Times New Roman" w:eastAsia="Times New Roman"/>
                <w:sz w:val="21"/>
              </w:rPr>
              <w:t>CT </w:t>
            </w:r>
            <w:r>
              <w:rPr>
                <w:sz w:val="21"/>
              </w:rPr>
              <w:t>机</w:t>
            </w:r>
          </w:p>
        </w:tc>
        <w:tc>
          <w:tcPr>
            <w:tcW w:w="2409" w:type="dxa"/>
            <w:tcBorders>
              <w:left w:val="single" w:sz="4" w:space="0" w:color="000000"/>
              <w:bottom w:val="single" w:sz="4" w:space="0" w:color="000000"/>
              <w:right w:val="single" w:sz="4" w:space="0" w:color="000000"/>
            </w:tcBorders>
          </w:tcPr>
          <w:p>
            <w:pPr>
              <w:pStyle w:val="TableParagraph"/>
              <w:spacing w:before="38"/>
              <w:ind w:left="319" w:right="289"/>
              <w:rPr>
                <w:rFonts w:ascii="Times New Roman"/>
                <w:sz w:val="21"/>
              </w:rPr>
            </w:pPr>
            <w:r>
              <w:rPr>
                <w:rFonts w:ascii="Times New Roman"/>
                <w:sz w:val="21"/>
              </w:rPr>
              <w:t>Optima CT680</w:t>
            </w:r>
          </w:p>
        </w:tc>
        <w:tc>
          <w:tcPr>
            <w:tcW w:w="710" w:type="dxa"/>
            <w:tcBorders>
              <w:left w:val="single" w:sz="4" w:space="0" w:color="000000"/>
              <w:bottom w:val="single" w:sz="4" w:space="0" w:color="000000"/>
              <w:right w:val="single" w:sz="4" w:space="0" w:color="000000"/>
            </w:tcBorders>
          </w:tcPr>
          <w:p>
            <w:pPr>
              <w:pStyle w:val="TableParagraph"/>
              <w:spacing w:before="38"/>
              <w:ind w:left="28"/>
              <w:rPr>
                <w:rFonts w:ascii="Times New Roman" w:hAnsi="Times New Roman"/>
                <w:sz w:val="21"/>
              </w:rPr>
            </w:pPr>
            <w:r>
              <w:rPr>
                <w:rFonts w:ascii="Times New Roman" w:hAnsi="Times New Roman"/>
                <w:w w:val="100"/>
                <w:sz w:val="21"/>
              </w:rPr>
              <w:t>Ⅲ</w:t>
            </w:r>
          </w:p>
        </w:tc>
        <w:tc>
          <w:tcPr>
            <w:tcW w:w="708" w:type="dxa"/>
            <w:tcBorders>
              <w:left w:val="single" w:sz="4" w:space="0" w:color="000000"/>
              <w:bottom w:val="single" w:sz="4" w:space="0" w:color="000000"/>
              <w:right w:val="single" w:sz="4" w:space="0" w:color="000000"/>
            </w:tcBorders>
          </w:tcPr>
          <w:p>
            <w:pPr>
              <w:pStyle w:val="TableParagraph"/>
              <w:spacing w:before="38"/>
              <w:ind w:left="21"/>
              <w:rPr>
                <w:rFonts w:ascii="Times New Roman"/>
                <w:sz w:val="21"/>
              </w:rPr>
            </w:pPr>
            <w:r>
              <w:rPr>
                <w:rFonts w:ascii="Times New Roman"/>
                <w:w w:val="100"/>
                <w:sz w:val="21"/>
              </w:rPr>
              <w:t>1</w:t>
            </w:r>
          </w:p>
        </w:tc>
        <w:tc>
          <w:tcPr>
            <w:tcW w:w="2261" w:type="dxa"/>
            <w:tcBorders>
              <w:left w:val="single" w:sz="4" w:space="0" w:color="000000"/>
              <w:bottom w:val="single" w:sz="4" w:space="0" w:color="000000"/>
              <w:right w:val="single" w:sz="4" w:space="0" w:color="000000"/>
            </w:tcBorders>
          </w:tcPr>
          <w:p>
            <w:pPr>
              <w:pStyle w:val="TableParagraph"/>
              <w:spacing w:line="259" w:lineRule="exact" w:before="24"/>
              <w:ind w:left="125" w:right="95"/>
              <w:rPr>
                <w:sz w:val="21"/>
              </w:rPr>
            </w:pPr>
            <w:r>
              <w:rPr>
                <w:sz w:val="21"/>
              </w:rPr>
              <w:t>门诊负一楼</w:t>
            </w:r>
            <w:r>
              <w:rPr>
                <w:rFonts w:ascii="Times New Roman" w:eastAsia="Times New Roman"/>
                <w:sz w:val="21"/>
              </w:rPr>
              <w:t>-CT1 </w:t>
            </w:r>
            <w:r>
              <w:rPr>
                <w:sz w:val="21"/>
              </w:rPr>
              <w:t>机房</w:t>
            </w:r>
          </w:p>
        </w:tc>
        <w:tc>
          <w:tcPr>
            <w:tcW w:w="663" w:type="dxa"/>
            <w:vMerge w:val="restart"/>
            <w:tcBorders>
              <w:left w:val="single" w:sz="4" w:space="0" w:color="000000"/>
              <w:right w:val="nil"/>
            </w:tcBorders>
          </w:tcPr>
          <w:p>
            <w:pPr>
              <w:pStyle w:val="TableParagraph"/>
              <w:jc w:val="left"/>
              <w:rPr>
                <w:sz w:val="24"/>
              </w:rPr>
            </w:pPr>
          </w:p>
          <w:p>
            <w:pPr>
              <w:pStyle w:val="TableParagraph"/>
              <w:spacing w:before="11"/>
              <w:jc w:val="left"/>
              <w:rPr>
                <w:sz w:val="28"/>
              </w:rPr>
            </w:pPr>
          </w:p>
          <w:p>
            <w:pPr>
              <w:pStyle w:val="TableParagraph"/>
              <w:spacing w:line="278" w:lineRule="auto"/>
              <w:ind w:left="115" w:right="117"/>
              <w:jc w:val="both"/>
              <w:rPr>
                <w:sz w:val="21"/>
              </w:rPr>
            </w:pPr>
            <w:r>
              <w:rPr>
                <w:sz w:val="21"/>
              </w:rPr>
              <w:t>登记上证在用</w:t>
            </w:r>
          </w:p>
        </w:tc>
      </w:tr>
      <w:tr>
        <w:trPr>
          <w:trHeight w:val="291" w:hRule="atLeast"/>
        </w:trPr>
        <w:tc>
          <w:tcPr>
            <w:tcW w:w="641" w:type="dxa"/>
            <w:tcBorders>
              <w:top w:val="single" w:sz="4" w:space="0" w:color="000000"/>
              <w:left w:val="nil"/>
              <w:bottom w:val="single" w:sz="4" w:space="0" w:color="000000"/>
              <w:right w:val="single" w:sz="4" w:space="0" w:color="000000"/>
            </w:tcBorders>
          </w:tcPr>
          <w:p>
            <w:pPr>
              <w:pStyle w:val="TableParagraph"/>
              <w:spacing w:before="26"/>
              <w:ind w:left="31"/>
              <w:rPr>
                <w:rFonts w:ascii="Times New Roman"/>
                <w:sz w:val="21"/>
              </w:rPr>
            </w:pPr>
            <w:r>
              <w:rPr>
                <w:rFonts w:ascii="Times New Roman"/>
                <w:w w:val="100"/>
                <w:sz w:val="21"/>
              </w:rPr>
              <w:t>2</w:t>
            </w:r>
          </w:p>
        </w:tc>
        <w:tc>
          <w:tcPr>
            <w:tcW w:w="1567" w:type="dxa"/>
            <w:tcBorders>
              <w:top w:val="single" w:sz="4" w:space="0" w:color="000000"/>
              <w:left w:val="single" w:sz="4" w:space="0" w:color="000000"/>
              <w:bottom w:val="single" w:sz="4" w:space="0" w:color="000000"/>
              <w:right w:val="single" w:sz="4" w:space="0" w:color="000000"/>
            </w:tcBorders>
          </w:tcPr>
          <w:p>
            <w:pPr>
              <w:pStyle w:val="TableParagraph"/>
              <w:spacing w:before="26"/>
              <w:ind w:left="350" w:right="324"/>
              <w:rPr>
                <w:rFonts w:ascii="Times New Roman"/>
                <w:sz w:val="21"/>
              </w:rPr>
            </w:pPr>
            <w:r>
              <w:rPr>
                <w:rFonts w:ascii="Times New Roman"/>
                <w:sz w:val="21"/>
              </w:rPr>
              <w:t>DR</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26"/>
              <w:ind w:left="318" w:right="289"/>
              <w:rPr>
                <w:rFonts w:ascii="Times New Roman"/>
                <w:sz w:val="21"/>
              </w:rPr>
            </w:pPr>
            <w:r>
              <w:rPr>
                <w:rFonts w:ascii="Times New Roman"/>
                <w:sz w:val="21"/>
              </w:rPr>
              <w:t>DR-F</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26"/>
              <w:ind w:left="27"/>
              <w:rPr>
                <w:rFonts w:ascii="Times New Roman" w:hAnsi="Times New Roman"/>
                <w:sz w:val="21"/>
              </w:rPr>
            </w:pPr>
            <w:r>
              <w:rPr>
                <w:rFonts w:ascii="Times New Roman" w:hAnsi="Times New Roman"/>
                <w:w w:val="100"/>
                <w:sz w:val="21"/>
              </w:rPr>
              <w:t>Ⅲ</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26"/>
              <w:ind w:left="24"/>
              <w:rPr>
                <w:rFonts w:ascii="Times New Roman"/>
                <w:sz w:val="21"/>
              </w:rPr>
            </w:pPr>
            <w:r>
              <w:rPr>
                <w:rFonts w:ascii="Times New Roman"/>
                <w:w w:val="100"/>
                <w:sz w:val="21"/>
              </w:rPr>
              <w:t>1</w:t>
            </w:r>
          </w:p>
        </w:tc>
        <w:tc>
          <w:tcPr>
            <w:tcW w:w="226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125" w:right="95"/>
              <w:rPr>
                <w:sz w:val="21"/>
              </w:rPr>
            </w:pPr>
            <w:r>
              <w:rPr>
                <w:sz w:val="21"/>
              </w:rPr>
              <w:t>门诊负一楼</w:t>
            </w:r>
            <w:r>
              <w:rPr>
                <w:rFonts w:ascii="Times New Roman" w:eastAsia="Times New Roman"/>
                <w:sz w:val="21"/>
              </w:rPr>
              <w:t>-DR2 </w:t>
            </w:r>
            <w:r>
              <w:rPr>
                <w:sz w:val="21"/>
              </w:rPr>
              <w:t>机房</w:t>
            </w:r>
          </w:p>
        </w:tc>
        <w:tc>
          <w:tcPr>
            <w:tcW w:w="663" w:type="dxa"/>
            <w:vMerge/>
            <w:tcBorders>
              <w:top w:val="nil"/>
              <w:left w:val="single" w:sz="4" w:space="0" w:color="000000"/>
              <w:right w:val="nil"/>
            </w:tcBorders>
          </w:tcPr>
          <w:p>
            <w:pPr>
              <w:rPr>
                <w:sz w:val="2"/>
                <w:szCs w:val="2"/>
              </w:rPr>
            </w:pPr>
          </w:p>
        </w:tc>
      </w:tr>
      <w:tr>
        <w:trPr>
          <w:trHeight w:val="291" w:hRule="atLeast"/>
        </w:trPr>
        <w:tc>
          <w:tcPr>
            <w:tcW w:w="641" w:type="dxa"/>
            <w:tcBorders>
              <w:top w:val="single" w:sz="4" w:space="0" w:color="000000"/>
              <w:left w:val="nil"/>
              <w:bottom w:val="single" w:sz="4" w:space="0" w:color="000000"/>
              <w:right w:val="single" w:sz="4" w:space="0" w:color="000000"/>
            </w:tcBorders>
          </w:tcPr>
          <w:p>
            <w:pPr>
              <w:pStyle w:val="TableParagraph"/>
              <w:spacing w:before="26"/>
              <w:ind w:left="31"/>
              <w:rPr>
                <w:rFonts w:ascii="Times New Roman"/>
                <w:sz w:val="21"/>
              </w:rPr>
            </w:pPr>
            <w:r>
              <w:rPr>
                <w:rFonts w:ascii="Times New Roman"/>
                <w:w w:val="100"/>
                <w:sz w:val="21"/>
              </w:rPr>
              <w:t>3</w:t>
            </w:r>
          </w:p>
        </w:tc>
        <w:tc>
          <w:tcPr>
            <w:tcW w:w="1567"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352" w:right="321"/>
              <w:rPr>
                <w:sz w:val="21"/>
              </w:rPr>
            </w:pPr>
            <w:r>
              <w:rPr>
                <w:sz w:val="21"/>
              </w:rPr>
              <w:t>小 </w:t>
            </w:r>
            <w:r>
              <w:rPr>
                <w:rFonts w:ascii="Times New Roman" w:eastAsia="Times New Roman"/>
                <w:sz w:val="21"/>
              </w:rPr>
              <w:t>C </w:t>
            </w:r>
            <w:r>
              <w:rPr>
                <w:sz w:val="21"/>
              </w:rPr>
              <w:t>臂</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26"/>
              <w:ind w:left="319" w:right="288"/>
              <w:rPr>
                <w:rFonts w:ascii="Times New Roman"/>
                <w:sz w:val="21"/>
              </w:rPr>
            </w:pPr>
            <w:r>
              <w:rPr>
                <w:rFonts w:ascii="Times New Roman"/>
                <w:sz w:val="21"/>
              </w:rPr>
              <w:t>PLX112B</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26"/>
              <w:ind w:left="25"/>
              <w:rPr>
                <w:rFonts w:ascii="Times New Roman" w:hAnsi="Times New Roman"/>
                <w:sz w:val="21"/>
              </w:rPr>
            </w:pPr>
            <w:r>
              <w:rPr>
                <w:rFonts w:ascii="Times New Roman" w:hAnsi="Times New Roman"/>
                <w:w w:val="100"/>
                <w:sz w:val="21"/>
              </w:rPr>
              <w:t>Ⅲ</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26"/>
              <w:ind w:left="22"/>
              <w:rPr>
                <w:rFonts w:ascii="Times New Roman"/>
                <w:sz w:val="21"/>
              </w:rPr>
            </w:pPr>
            <w:r>
              <w:rPr>
                <w:rFonts w:ascii="Times New Roman"/>
                <w:w w:val="100"/>
                <w:sz w:val="21"/>
              </w:rPr>
              <w:t>1</w:t>
            </w:r>
          </w:p>
        </w:tc>
        <w:tc>
          <w:tcPr>
            <w:tcW w:w="226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125" w:right="92"/>
              <w:rPr>
                <w:sz w:val="21"/>
              </w:rPr>
            </w:pPr>
            <w:r>
              <w:rPr>
                <w:sz w:val="21"/>
              </w:rPr>
              <w:t>手术室 </w:t>
            </w:r>
            <w:r>
              <w:rPr>
                <w:rFonts w:ascii="Times New Roman" w:eastAsia="Times New Roman"/>
                <w:sz w:val="21"/>
              </w:rPr>
              <w:t>4 </w:t>
            </w:r>
            <w:r>
              <w:rPr>
                <w:sz w:val="21"/>
              </w:rPr>
              <w:t>间</w:t>
            </w:r>
          </w:p>
        </w:tc>
        <w:tc>
          <w:tcPr>
            <w:tcW w:w="663" w:type="dxa"/>
            <w:vMerge/>
            <w:tcBorders>
              <w:top w:val="nil"/>
              <w:left w:val="single" w:sz="4" w:space="0" w:color="000000"/>
              <w:right w:val="nil"/>
            </w:tcBorders>
          </w:tcPr>
          <w:p>
            <w:pPr>
              <w:rPr>
                <w:sz w:val="2"/>
                <w:szCs w:val="2"/>
              </w:rPr>
            </w:pPr>
          </w:p>
        </w:tc>
      </w:tr>
      <w:tr>
        <w:trPr>
          <w:trHeight w:val="291" w:hRule="atLeast"/>
        </w:trPr>
        <w:tc>
          <w:tcPr>
            <w:tcW w:w="641" w:type="dxa"/>
            <w:tcBorders>
              <w:top w:val="single" w:sz="4" w:space="0" w:color="000000"/>
              <w:left w:val="nil"/>
              <w:bottom w:val="single" w:sz="4" w:space="0" w:color="000000"/>
              <w:right w:val="single" w:sz="4" w:space="0" w:color="000000"/>
            </w:tcBorders>
          </w:tcPr>
          <w:p>
            <w:pPr>
              <w:pStyle w:val="TableParagraph"/>
              <w:spacing w:before="26"/>
              <w:ind w:left="31"/>
              <w:rPr>
                <w:rFonts w:ascii="Times New Roman"/>
                <w:sz w:val="21"/>
              </w:rPr>
            </w:pPr>
            <w:r>
              <w:rPr>
                <w:rFonts w:ascii="Times New Roman"/>
                <w:w w:val="100"/>
                <w:sz w:val="21"/>
              </w:rPr>
              <w:t>4</w:t>
            </w:r>
          </w:p>
        </w:tc>
        <w:tc>
          <w:tcPr>
            <w:tcW w:w="1567"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352" w:right="321"/>
              <w:rPr>
                <w:sz w:val="21"/>
              </w:rPr>
            </w:pPr>
            <w:r>
              <w:rPr>
                <w:sz w:val="21"/>
              </w:rPr>
              <w:t>牙片机</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26"/>
              <w:ind w:left="319" w:right="289"/>
              <w:rPr>
                <w:rFonts w:ascii="Times New Roman"/>
                <w:sz w:val="21"/>
              </w:rPr>
            </w:pPr>
            <w:r>
              <w:rPr>
                <w:rFonts w:ascii="Times New Roman"/>
                <w:sz w:val="21"/>
              </w:rPr>
              <w:t>Planmeca Pro0ne</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26"/>
              <w:ind w:left="25"/>
              <w:rPr>
                <w:rFonts w:ascii="Times New Roman" w:hAnsi="Times New Roman"/>
                <w:sz w:val="21"/>
              </w:rPr>
            </w:pPr>
            <w:r>
              <w:rPr>
                <w:rFonts w:ascii="Times New Roman" w:hAnsi="Times New Roman"/>
                <w:w w:val="100"/>
                <w:sz w:val="21"/>
              </w:rPr>
              <w:t>Ⅲ</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26"/>
              <w:ind w:left="22"/>
              <w:rPr>
                <w:rFonts w:ascii="Times New Roman"/>
                <w:sz w:val="21"/>
              </w:rPr>
            </w:pPr>
            <w:r>
              <w:rPr>
                <w:rFonts w:ascii="Times New Roman"/>
                <w:w w:val="100"/>
                <w:sz w:val="21"/>
              </w:rPr>
              <w:t>1</w:t>
            </w:r>
          </w:p>
        </w:tc>
        <w:tc>
          <w:tcPr>
            <w:tcW w:w="226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125" w:right="95"/>
              <w:rPr>
                <w:sz w:val="21"/>
              </w:rPr>
            </w:pPr>
            <w:r>
              <w:rPr>
                <w:sz w:val="21"/>
              </w:rPr>
              <w:t>门诊负一楼</w:t>
            </w:r>
            <w:r>
              <w:rPr>
                <w:rFonts w:ascii="Times New Roman" w:eastAsia="Times New Roman"/>
                <w:sz w:val="21"/>
              </w:rPr>
              <w:t>-</w:t>
            </w:r>
            <w:r>
              <w:rPr>
                <w:sz w:val="21"/>
              </w:rPr>
              <w:t>牙片室</w:t>
            </w:r>
          </w:p>
        </w:tc>
        <w:tc>
          <w:tcPr>
            <w:tcW w:w="663" w:type="dxa"/>
            <w:vMerge/>
            <w:tcBorders>
              <w:top w:val="nil"/>
              <w:left w:val="single" w:sz="4" w:space="0" w:color="000000"/>
              <w:right w:val="nil"/>
            </w:tcBorders>
          </w:tcPr>
          <w:p>
            <w:pPr>
              <w:rPr>
                <w:sz w:val="2"/>
                <w:szCs w:val="2"/>
              </w:rPr>
            </w:pPr>
          </w:p>
        </w:tc>
      </w:tr>
      <w:tr>
        <w:trPr>
          <w:trHeight w:val="291" w:hRule="atLeast"/>
        </w:trPr>
        <w:tc>
          <w:tcPr>
            <w:tcW w:w="641" w:type="dxa"/>
            <w:tcBorders>
              <w:top w:val="single" w:sz="4" w:space="0" w:color="000000"/>
              <w:left w:val="nil"/>
              <w:bottom w:val="single" w:sz="4" w:space="0" w:color="000000"/>
              <w:right w:val="single" w:sz="4" w:space="0" w:color="000000"/>
            </w:tcBorders>
          </w:tcPr>
          <w:p>
            <w:pPr>
              <w:pStyle w:val="TableParagraph"/>
              <w:spacing w:before="26"/>
              <w:ind w:left="31"/>
              <w:rPr>
                <w:rFonts w:ascii="Times New Roman"/>
                <w:sz w:val="21"/>
              </w:rPr>
            </w:pPr>
            <w:r>
              <w:rPr>
                <w:rFonts w:ascii="Times New Roman"/>
                <w:w w:val="100"/>
                <w:sz w:val="21"/>
              </w:rPr>
              <w:t>5</w:t>
            </w:r>
          </w:p>
        </w:tc>
        <w:tc>
          <w:tcPr>
            <w:tcW w:w="1567" w:type="dxa"/>
            <w:tcBorders>
              <w:top w:val="single" w:sz="4" w:space="0" w:color="000000"/>
              <w:left w:val="single" w:sz="4" w:space="0" w:color="000000"/>
              <w:bottom w:val="single" w:sz="4" w:space="0" w:color="000000"/>
              <w:right w:val="single" w:sz="4" w:space="0" w:color="000000"/>
            </w:tcBorders>
          </w:tcPr>
          <w:p>
            <w:pPr>
              <w:pStyle w:val="TableParagraph"/>
              <w:spacing w:before="26"/>
              <w:ind w:left="350" w:right="324"/>
              <w:rPr>
                <w:rFonts w:ascii="Times New Roman"/>
                <w:sz w:val="21"/>
              </w:rPr>
            </w:pPr>
            <w:r>
              <w:rPr>
                <w:rFonts w:ascii="Times New Roman"/>
                <w:sz w:val="21"/>
              </w:rPr>
              <w:t>DR</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26"/>
              <w:ind w:left="319" w:right="289"/>
              <w:rPr>
                <w:rFonts w:ascii="Times New Roman"/>
                <w:sz w:val="21"/>
              </w:rPr>
            </w:pPr>
            <w:r>
              <w:rPr>
                <w:rFonts w:ascii="Times New Roman"/>
                <w:sz w:val="21"/>
              </w:rPr>
              <w:t>Digitaldiag nost C50</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26"/>
              <w:ind w:left="27"/>
              <w:rPr>
                <w:rFonts w:ascii="Times New Roman" w:hAnsi="Times New Roman"/>
                <w:sz w:val="21"/>
              </w:rPr>
            </w:pPr>
            <w:r>
              <w:rPr>
                <w:rFonts w:ascii="Times New Roman" w:hAnsi="Times New Roman"/>
                <w:w w:val="100"/>
                <w:sz w:val="21"/>
              </w:rPr>
              <w:t>Ⅲ</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26"/>
              <w:ind w:left="25"/>
              <w:rPr>
                <w:rFonts w:ascii="Times New Roman"/>
                <w:sz w:val="21"/>
              </w:rPr>
            </w:pPr>
            <w:r>
              <w:rPr>
                <w:rFonts w:ascii="Times New Roman"/>
                <w:w w:val="100"/>
                <w:sz w:val="21"/>
              </w:rPr>
              <w:t>1</w:t>
            </w:r>
          </w:p>
        </w:tc>
        <w:tc>
          <w:tcPr>
            <w:tcW w:w="226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125" w:right="95"/>
              <w:rPr>
                <w:sz w:val="21"/>
              </w:rPr>
            </w:pPr>
            <w:r>
              <w:rPr>
                <w:sz w:val="21"/>
              </w:rPr>
              <w:t>门诊负一楼</w:t>
            </w:r>
            <w:r>
              <w:rPr>
                <w:rFonts w:ascii="Times New Roman" w:eastAsia="Times New Roman"/>
                <w:sz w:val="21"/>
              </w:rPr>
              <w:t>-DR1 </w:t>
            </w:r>
            <w:r>
              <w:rPr>
                <w:sz w:val="21"/>
              </w:rPr>
              <w:t>机房</w:t>
            </w:r>
          </w:p>
        </w:tc>
        <w:tc>
          <w:tcPr>
            <w:tcW w:w="663" w:type="dxa"/>
            <w:vMerge/>
            <w:tcBorders>
              <w:top w:val="nil"/>
              <w:left w:val="single" w:sz="4" w:space="0" w:color="000000"/>
              <w:right w:val="nil"/>
            </w:tcBorders>
          </w:tcPr>
          <w:p>
            <w:pPr>
              <w:rPr>
                <w:sz w:val="2"/>
                <w:szCs w:val="2"/>
              </w:rPr>
            </w:pPr>
          </w:p>
        </w:tc>
      </w:tr>
      <w:tr>
        <w:trPr>
          <w:trHeight w:val="293" w:hRule="atLeast"/>
        </w:trPr>
        <w:tc>
          <w:tcPr>
            <w:tcW w:w="641" w:type="dxa"/>
            <w:tcBorders>
              <w:top w:val="single" w:sz="4" w:space="0" w:color="000000"/>
              <w:left w:val="nil"/>
              <w:bottom w:val="single" w:sz="4" w:space="0" w:color="000000"/>
              <w:right w:val="single" w:sz="4" w:space="0" w:color="000000"/>
            </w:tcBorders>
          </w:tcPr>
          <w:p>
            <w:pPr>
              <w:pStyle w:val="TableParagraph"/>
              <w:spacing w:before="29"/>
              <w:ind w:left="31"/>
              <w:rPr>
                <w:rFonts w:ascii="Times New Roman"/>
                <w:sz w:val="21"/>
              </w:rPr>
            </w:pPr>
            <w:r>
              <w:rPr>
                <w:rFonts w:ascii="Times New Roman"/>
                <w:w w:val="100"/>
                <w:sz w:val="21"/>
              </w:rPr>
              <w:t>6</w:t>
            </w:r>
          </w:p>
        </w:tc>
        <w:tc>
          <w:tcPr>
            <w:tcW w:w="1567"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352" w:right="321"/>
              <w:rPr>
                <w:sz w:val="21"/>
              </w:rPr>
            </w:pPr>
            <w:r>
              <w:rPr>
                <w:rFonts w:ascii="Times New Roman" w:eastAsia="Times New Roman"/>
                <w:sz w:val="21"/>
              </w:rPr>
              <w:t>CT </w:t>
            </w:r>
            <w:r>
              <w:rPr>
                <w:sz w:val="21"/>
              </w:rPr>
              <w:t>机</w:t>
            </w:r>
          </w:p>
        </w:tc>
        <w:tc>
          <w:tcPr>
            <w:tcW w:w="2409" w:type="dxa"/>
            <w:tcBorders>
              <w:top w:val="single" w:sz="4" w:space="0" w:color="000000"/>
              <w:left w:val="single" w:sz="4" w:space="0" w:color="000000"/>
              <w:bottom w:val="single" w:sz="4" w:space="0" w:color="000000"/>
              <w:right w:val="single" w:sz="4" w:space="0" w:color="000000"/>
            </w:tcBorders>
          </w:tcPr>
          <w:p>
            <w:pPr>
              <w:pStyle w:val="TableParagraph"/>
              <w:spacing w:before="29"/>
              <w:ind w:left="319" w:right="289"/>
              <w:rPr>
                <w:rFonts w:ascii="Times New Roman"/>
                <w:sz w:val="21"/>
              </w:rPr>
            </w:pPr>
            <w:r>
              <w:rPr>
                <w:rFonts w:ascii="Times New Roman"/>
                <w:sz w:val="21"/>
              </w:rPr>
              <w:t>Optima CT520</w:t>
            </w:r>
          </w:p>
        </w:tc>
        <w:tc>
          <w:tcPr>
            <w:tcW w:w="710" w:type="dxa"/>
            <w:tcBorders>
              <w:top w:val="single" w:sz="4" w:space="0" w:color="000000"/>
              <w:left w:val="single" w:sz="4" w:space="0" w:color="000000"/>
              <w:bottom w:val="single" w:sz="4" w:space="0" w:color="000000"/>
              <w:right w:val="single" w:sz="4" w:space="0" w:color="000000"/>
            </w:tcBorders>
          </w:tcPr>
          <w:p>
            <w:pPr>
              <w:pStyle w:val="TableParagraph"/>
              <w:spacing w:before="29"/>
              <w:ind w:left="28"/>
              <w:rPr>
                <w:rFonts w:ascii="Times New Roman" w:hAnsi="Times New Roman"/>
                <w:sz w:val="21"/>
              </w:rPr>
            </w:pPr>
            <w:r>
              <w:rPr>
                <w:rFonts w:ascii="Times New Roman" w:hAnsi="Times New Roman"/>
                <w:w w:val="100"/>
                <w:sz w:val="21"/>
              </w:rPr>
              <w:t>Ⅲ</w:t>
            </w:r>
          </w:p>
        </w:tc>
        <w:tc>
          <w:tcPr>
            <w:tcW w:w="708" w:type="dxa"/>
            <w:tcBorders>
              <w:top w:val="single" w:sz="4" w:space="0" w:color="000000"/>
              <w:left w:val="single" w:sz="4" w:space="0" w:color="000000"/>
              <w:bottom w:val="single" w:sz="4" w:space="0" w:color="000000"/>
              <w:right w:val="single" w:sz="4" w:space="0" w:color="000000"/>
            </w:tcBorders>
          </w:tcPr>
          <w:p>
            <w:pPr>
              <w:pStyle w:val="TableParagraph"/>
              <w:spacing w:before="29"/>
              <w:ind w:left="21"/>
              <w:rPr>
                <w:rFonts w:ascii="Times New Roman"/>
                <w:sz w:val="21"/>
              </w:rPr>
            </w:pPr>
            <w:r>
              <w:rPr>
                <w:rFonts w:ascii="Times New Roman"/>
                <w:w w:val="100"/>
                <w:sz w:val="21"/>
              </w:rPr>
              <w:t>1</w:t>
            </w:r>
          </w:p>
        </w:tc>
        <w:tc>
          <w:tcPr>
            <w:tcW w:w="226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125" w:right="95"/>
              <w:rPr>
                <w:sz w:val="21"/>
              </w:rPr>
            </w:pPr>
            <w:r>
              <w:rPr>
                <w:sz w:val="21"/>
              </w:rPr>
              <w:t>门诊负一楼</w:t>
            </w:r>
            <w:r>
              <w:rPr>
                <w:rFonts w:ascii="Times New Roman" w:eastAsia="Times New Roman"/>
                <w:sz w:val="21"/>
              </w:rPr>
              <w:t>-CT2 </w:t>
            </w:r>
            <w:r>
              <w:rPr>
                <w:sz w:val="21"/>
              </w:rPr>
              <w:t>机房</w:t>
            </w:r>
          </w:p>
        </w:tc>
        <w:tc>
          <w:tcPr>
            <w:tcW w:w="663" w:type="dxa"/>
            <w:vMerge/>
            <w:tcBorders>
              <w:top w:val="nil"/>
              <w:left w:val="single" w:sz="4" w:space="0" w:color="000000"/>
              <w:right w:val="nil"/>
            </w:tcBorders>
          </w:tcPr>
          <w:p>
            <w:pPr>
              <w:rPr>
                <w:sz w:val="2"/>
                <w:szCs w:val="2"/>
              </w:rPr>
            </w:pPr>
          </w:p>
        </w:tc>
      </w:tr>
      <w:tr>
        <w:trPr>
          <w:trHeight w:val="301" w:hRule="atLeast"/>
        </w:trPr>
        <w:tc>
          <w:tcPr>
            <w:tcW w:w="641" w:type="dxa"/>
            <w:tcBorders>
              <w:top w:val="single" w:sz="4" w:space="0" w:color="000000"/>
              <w:left w:val="nil"/>
              <w:right w:val="single" w:sz="4" w:space="0" w:color="000000"/>
            </w:tcBorders>
          </w:tcPr>
          <w:p>
            <w:pPr>
              <w:pStyle w:val="TableParagraph"/>
              <w:spacing w:before="26"/>
              <w:ind w:left="31"/>
              <w:rPr>
                <w:rFonts w:ascii="Times New Roman"/>
                <w:sz w:val="21"/>
              </w:rPr>
            </w:pPr>
            <w:r>
              <w:rPr>
                <w:rFonts w:ascii="Times New Roman"/>
                <w:w w:val="100"/>
                <w:sz w:val="21"/>
              </w:rPr>
              <w:t>8</w:t>
            </w:r>
          </w:p>
        </w:tc>
        <w:tc>
          <w:tcPr>
            <w:tcW w:w="1567" w:type="dxa"/>
            <w:tcBorders>
              <w:top w:val="single" w:sz="4" w:space="0" w:color="000000"/>
              <w:left w:val="single" w:sz="4" w:space="0" w:color="000000"/>
              <w:right w:val="single" w:sz="4" w:space="0" w:color="000000"/>
            </w:tcBorders>
          </w:tcPr>
          <w:p>
            <w:pPr>
              <w:pStyle w:val="TableParagraph"/>
              <w:spacing w:line="269" w:lineRule="exact" w:before="12"/>
              <w:ind w:left="352" w:right="321"/>
              <w:rPr>
                <w:sz w:val="21"/>
              </w:rPr>
            </w:pPr>
            <w:r>
              <w:rPr>
                <w:sz w:val="21"/>
              </w:rPr>
              <w:t>小 </w:t>
            </w:r>
            <w:r>
              <w:rPr>
                <w:rFonts w:ascii="Times New Roman" w:eastAsia="Times New Roman"/>
                <w:sz w:val="21"/>
              </w:rPr>
              <w:t>C </w:t>
            </w:r>
            <w:r>
              <w:rPr>
                <w:sz w:val="21"/>
              </w:rPr>
              <w:t>臂</w:t>
            </w:r>
          </w:p>
        </w:tc>
        <w:tc>
          <w:tcPr>
            <w:tcW w:w="2409" w:type="dxa"/>
            <w:tcBorders>
              <w:top w:val="single" w:sz="4" w:space="0" w:color="000000"/>
              <w:left w:val="single" w:sz="4" w:space="0" w:color="000000"/>
              <w:right w:val="single" w:sz="4" w:space="0" w:color="000000"/>
            </w:tcBorders>
          </w:tcPr>
          <w:p>
            <w:pPr>
              <w:pStyle w:val="TableParagraph"/>
              <w:spacing w:before="26"/>
              <w:ind w:left="317" w:right="289"/>
              <w:rPr>
                <w:rFonts w:ascii="Times New Roman"/>
                <w:sz w:val="21"/>
              </w:rPr>
            </w:pPr>
            <w:r>
              <w:rPr>
                <w:rFonts w:ascii="Times New Roman"/>
                <w:sz w:val="21"/>
              </w:rPr>
              <w:t>Brivo OEC715</w:t>
            </w:r>
          </w:p>
        </w:tc>
        <w:tc>
          <w:tcPr>
            <w:tcW w:w="710" w:type="dxa"/>
            <w:tcBorders>
              <w:top w:val="single" w:sz="4" w:space="0" w:color="000000"/>
              <w:left w:val="single" w:sz="4" w:space="0" w:color="000000"/>
              <w:right w:val="single" w:sz="4" w:space="0" w:color="000000"/>
            </w:tcBorders>
          </w:tcPr>
          <w:p>
            <w:pPr>
              <w:pStyle w:val="TableParagraph"/>
              <w:spacing w:before="26"/>
              <w:ind w:left="26"/>
              <w:rPr>
                <w:rFonts w:ascii="Times New Roman" w:hAnsi="Times New Roman"/>
                <w:sz w:val="21"/>
              </w:rPr>
            </w:pPr>
            <w:r>
              <w:rPr>
                <w:rFonts w:ascii="Times New Roman" w:hAnsi="Times New Roman"/>
                <w:w w:val="100"/>
                <w:sz w:val="21"/>
              </w:rPr>
              <w:t>Ⅲ</w:t>
            </w:r>
          </w:p>
        </w:tc>
        <w:tc>
          <w:tcPr>
            <w:tcW w:w="708" w:type="dxa"/>
            <w:tcBorders>
              <w:top w:val="single" w:sz="4" w:space="0" w:color="000000"/>
              <w:left w:val="single" w:sz="4" w:space="0" w:color="000000"/>
              <w:right w:val="single" w:sz="4" w:space="0" w:color="000000"/>
            </w:tcBorders>
          </w:tcPr>
          <w:p>
            <w:pPr>
              <w:pStyle w:val="TableParagraph"/>
              <w:spacing w:before="26"/>
              <w:ind w:left="23"/>
              <w:rPr>
                <w:rFonts w:ascii="Times New Roman"/>
                <w:sz w:val="21"/>
              </w:rPr>
            </w:pPr>
            <w:r>
              <w:rPr>
                <w:rFonts w:ascii="Times New Roman"/>
                <w:w w:val="100"/>
                <w:sz w:val="21"/>
              </w:rPr>
              <w:t>1</w:t>
            </w:r>
          </w:p>
        </w:tc>
        <w:tc>
          <w:tcPr>
            <w:tcW w:w="2261" w:type="dxa"/>
            <w:tcBorders>
              <w:top w:val="single" w:sz="4" w:space="0" w:color="000000"/>
              <w:left w:val="single" w:sz="4" w:space="0" w:color="000000"/>
              <w:right w:val="single" w:sz="4" w:space="0" w:color="000000"/>
            </w:tcBorders>
          </w:tcPr>
          <w:p>
            <w:pPr>
              <w:pStyle w:val="TableParagraph"/>
              <w:spacing w:line="269" w:lineRule="exact" w:before="12"/>
              <w:ind w:left="125" w:right="92"/>
              <w:rPr>
                <w:sz w:val="21"/>
              </w:rPr>
            </w:pPr>
            <w:r>
              <w:rPr>
                <w:sz w:val="21"/>
              </w:rPr>
              <w:t>手术室 </w:t>
            </w:r>
            <w:r>
              <w:rPr>
                <w:rFonts w:ascii="Times New Roman" w:eastAsia="Times New Roman"/>
                <w:sz w:val="21"/>
              </w:rPr>
              <w:t>1 </w:t>
            </w:r>
            <w:r>
              <w:rPr>
                <w:sz w:val="21"/>
              </w:rPr>
              <w:t>间</w:t>
            </w:r>
          </w:p>
        </w:tc>
        <w:tc>
          <w:tcPr>
            <w:tcW w:w="663" w:type="dxa"/>
            <w:vMerge/>
            <w:tcBorders>
              <w:top w:val="nil"/>
              <w:left w:val="single" w:sz="4" w:space="0" w:color="000000"/>
              <w:right w:val="nil"/>
            </w:tcBorders>
          </w:tcPr>
          <w:p>
            <w:pPr>
              <w:rPr>
                <w:sz w:val="2"/>
                <w:szCs w:val="2"/>
              </w:rPr>
            </w:pPr>
          </w:p>
        </w:tc>
      </w:tr>
    </w:tbl>
    <w:p>
      <w:pPr>
        <w:spacing w:after="0"/>
        <w:rPr>
          <w:sz w:val="2"/>
          <w:szCs w:val="2"/>
        </w:rPr>
        <w:sectPr>
          <w:pgSz w:w="11910" w:h="16840"/>
          <w:pgMar w:header="0" w:footer="949" w:top="1220" w:bottom="1220" w:left="1520" w:right="1060"/>
        </w:sectPr>
      </w:pPr>
    </w:p>
    <w:p>
      <w:pPr>
        <w:pStyle w:val="BodyText"/>
        <w:rPr>
          <w:sz w:val="20"/>
        </w:rPr>
      </w:pPr>
    </w:p>
    <w:p>
      <w:pPr>
        <w:pStyle w:val="BodyText"/>
        <w:rPr>
          <w:sz w:val="20"/>
        </w:rPr>
      </w:pPr>
    </w:p>
    <w:p>
      <w:pPr>
        <w:pStyle w:val="Heading1"/>
        <w:spacing w:before="215"/>
        <w:ind w:left="211"/>
      </w:pPr>
      <w:r>
        <w:rPr/>
        <w:t>表 2 放射源</w:t>
      </w:r>
      <w:r>
        <w:rPr>
          <w:w w:val="50"/>
        </w:rPr>
        <w:t> </w:t>
      </w:r>
    </w:p>
    <w:p>
      <w:pPr>
        <w:pStyle w:val="BodyText"/>
        <w:spacing w:before="4" w:after="1"/>
        <w:rPr>
          <w:sz w:val="1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9"/>
        <w:gridCol w:w="1322"/>
        <w:gridCol w:w="2035"/>
        <w:gridCol w:w="1416"/>
        <w:gridCol w:w="1166"/>
        <w:gridCol w:w="1761"/>
        <w:gridCol w:w="1804"/>
        <w:gridCol w:w="2022"/>
        <w:gridCol w:w="1631"/>
      </w:tblGrid>
      <w:tr>
        <w:trPr>
          <w:trHeight w:val="623" w:hRule="atLeast"/>
        </w:trPr>
        <w:tc>
          <w:tcPr>
            <w:tcW w:w="799" w:type="dxa"/>
          </w:tcPr>
          <w:p>
            <w:pPr>
              <w:pStyle w:val="TableParagraph"/>
              <w:spacing w:before="158"/>
              <w:ind w:left="138" w:right="131"/>
              <w:rPr>
                <w:sz w:val="24"/>
              </w:rPr>
            </w:pPr>
            <w:r>
              <w:rPr>
                <w:sz w:val="24"/>
              </w:rPr>
              <w:t>序号</w:t>
            </w:r>
          </w:p>
        </w:tc>
        <w:tc>
          <w:tcPr>
            <w:tcW w:w="1322" w:type="dxa"/>
          </w:tcPr>
          <w:p>
            <w:pPr>
              <w:pStyle w:val="TableParagraph"/>
              <w:spacing w:before="158"/>
              <w:ind w:left="159" w:right="152"/>
              <w:rPr>
                <w:sz w:val="24"/>
              </w:rPr>
            </w:pPr>
            <w:r>
              <w:rPr>
                <w:sz w:val="24"/>
              </w:rPr>
              <w:t>核素名称</w:t>
            </w:r>
          </w:p>
        </w:tc>
        <w:tc>
          <w:tcPr>
            <w:tcW w:w="2035" w:type="dxa"/>
          </w:tcPr>
          <w:p>
            <w:pPr>
              <w:pStyle w:val="TableParagraph"/>
              <w:spacing w:before="2"/>
              <w:ind w:left="67" w:right="60"/>
              <w:rPr>
                <w:rFonts w:ascii="Times New Roman" w:eastAsia="Times New Roman"/>
                <w:sz w:val="24"/>
              </w:rPr>
            </w:pPr>
            <w:r>
              <w:rPr>
                <w:sz w:val="24"/>
              </w:rPr>
              <w:t>总活度（</w:t>
            </w:r>
            <w:r>
              <w:rPr>
                <w:rFonts w:ascii="Times New Roman" w:eastAsia="Times New Roman"/>
                <w:sz w:val="24"/>
              </w:rPr>
              <w:t>Bq</w:t>
            </w:r>
            <w:r>
              <w:rPr>
                <w:sz w:val="24"/>
              </w:rPr>
              <w:t>）</w:t>
            </w:r>
            <w:r>
              <w:rPr>
                <w:rFonts w:ascii="Times New Roman" w:eastAsia="Times New Roman"/>
                <w:sz w:val="24"/>
              </w:rPr>
              <w:t>/</w:t>
            </w:r>
          </w:p>
          <w:p>
            <w:pPr>
              <w:pStyle w:val="TableParagraph"/>
              <w:spacing w:line="289" w:lineRule="exact" w:before="4"/>
              <w:ind w:left="68" w:right="60"/>
              <w:rPr>
                <w:sz w:val="24"/>
              </w:rPr>
            </w:pPr>
            <w:r>
              <w:rPr>
                <w:sz w:val="24"/>
              </w:rPr>
              <w:t>活度（</w:t>
            </w:r>
            <w:r>
              <w:rPr>
                <w:rFonts w:ascii="Times New Roman" w:hAnsi="Times New Roman" w:eastAsia="Times New Roman"/>
                <w:sz w:val="24"/>
              </w:rPr>
              <w:t>Bq</w:t>
            </w:r>
            <w:r>
              <w:rPr>
                <w:sz w:val="24"/>
              </w:rPr>
              <w:t>）</w:t>
            </w:r>
            <w:r>
              <w:rPr>
                <w:rFonts w:ascii="Times New Roman" w:hAnsi="Times New Roman" w:eastAsia="Times New Roman"/>
                <w:sz w:val="24"/>
              </w:rPr>
              <w:t>×</w:t>
            </w:r>
            <w:r>
              <w:rPr>
                <w:sz w:val="24"/>
              </w:rPr>
              <w:t>枚数</w:t>
            </w:r>
          </w:p>
        </w:tc>
        <w:tc>
          <w:tcPr>
            <w:tcW w:w="1416" w:type="dxa"/>
          </w:tcPr>
          <w:p>
            <w:pPr>
              <w:pStyle w:val="TableParagraph"/>
              <w:spacing w:before="158"/>
              <w:ind w:left="157" w:right="146"/>
              <w:rPr>
                <w:sz w:val="24"/>
              </w:rPr>
            </w:pPr>
            <w:r>
              <w:rPr>
                <w:sz w:val="24"/>
              </w:rPr>
              <w:t>类别</w:t>
            </w:r>
          </w:p>
        </w:tc>
        <w:tc>
          <w:tcPr>
            <w:tcW w:w="1166" w:type="dxa"/>
          </w:tcPr>
          <w:p>
            <w:pPr>
              <w:pStyle w:val="TableParagraph"/>
              <w:spacing w:before="158"/>
              <w:ind w:left="83" w:right="72"/>
              <w:rPr>
                <w:sz w:val="24"/>
              </w:rPr>
            </w:pPr>
            <w:r>
              <w:rPr>
                <w:sz w:val="24"/>
              </w:rPr>
              <w:t>活度种类</w:t>
            </w:r>
          </w:p>
        </w:tc>
        <w:tc>
          <w:tcPr>
            <w:tcW w:w="1761" w:type="dxa"/>
          </w:tcPr>
          <w:p>
            <w:pPr>
              <w:pStyle w:val="TableParagraph"/>
              <w:spacing w:before="158"/>
              <w:ind w:left="621" w:right="609"/>
              <w:rPr>
                <w:sz w:val="24"/>
              </w:rPr>
            </w:pPr>
            <w:r>
              <w:rPr>
                <w:sz w:val="24"/>
              </w:rPr>
              <w:t>用途</w:t>
            </w:r>
          </w:p>
        </w:tc>
        <w:tc>
          <w:tcPr>
            <w:tcW w:w="1804" w:type="dxa"/>
          </w:tcPr>
          <w:p>
            <w:pPr>
              <w:pStyle w:val="TableParagraph"/>
              <w:spacing w:before="158"/>
              <w:ind w:left="403" w:right="390"/>
              <w:rPr>
                <w:sz w:val="24"/>
              </w:rPr>
            </w:pPr>
            <w:r>
              <w:rPr>
                <w:sz w:val="24"/>
              </w:rPr>
              <w:t>使用场所</w:t>
            </w:r>
          </w:p>
        </w:tc>
        <w:tc>
          <w:tcPr>
            <w:tcW w:w="2022" w:type="dxa"/>
          </w:tcPr>
          <w:p>
            <w:pPr>
              <w:pStyle w:val="TableParagraph"/>
              <w:spacing w:before="158"/>
              <w:ind w:left="152" w:right="139"/>
              <w:rPr>
                <w:sz w:val="24"/>
              </w:rPr>
            </w:pPr>
            <w:r>
              <w:rPr>
                <w:sz w:val="24"/>
              </w:rPr>
              <w:t>贮存方式与地点</w:t>
            </w:r>
          </w:p>
        </w:tc>
        <w:tc>
          <w:tcPr>
            <w:tcW w:w="1631" w:type="dxa"/>
          </w:tcPr>
          <w:p>
            <w:pPr>
              <w:pStyle w:val="TableParagraph"/>
              <w:spacing w:before="158"/>
              <w:ind w:left="559" w:right="541"/>
              <w:rPr>
                <w:sz w:val="24"/>
              </w:rPr>
            </w:pPr>
            <w:r>
              <w:rPr>
                <w:sz w:val="24"/>
              </w:rPr>
              <w:t>备注</w:t>
            </w:r>
          </w:p>
        </w:tc>
      </w:tr>
      <w:tr>
        <w:trPr>
          <w:trHeight w:val="722" w:hRule="atLeast"/>
        </w:trPr>
        <w:tc>
          <w:tcPr>
            <w:tcW w:w="799" w:type="dxa"/>
          </w:tcPr>
          <w:p>
            <w:pPr>
              <w:pStyle w:val="TableParagraph"/>
              <w:spacing w:before="222"/>
              <w:ind w:left="6"/>
              <w:rPr>
                <w:rFonts w:ascii="Times New Roman"/>
                <w:sz w:val="24"/>
              </w:rPr>
            </w:pPr>
            <w:r>
              <w:rPr>
                <w:rFonts w:ascii="Times New Roman"/>
                <w:w w:val="99"/>
                <w:sz w:val="24"/>
              </w:rPr>
              <w:t>/</w:t>
            </w:r>
          </w:p>
        </w:tc>
        <w:tc>
          <w:tcPr>
            <w:tcW w:w="1322" w:type="dxa"/>
          </w:tcPr>
          <w:p>
            <w:pPr>
              <w:pStyle w:val="TableParagraph"/>
              <w:spacing w:before="222"/>
              <w:ind w:left="6"/>
              <w:rPr>
                <w:rFonts w:ascii="Times New Roman"/>
                <w:sz w:val="24"/>
              </w:rPr>
            </w:pPr>
            <w:r>
              <w:rPr>
                <w:rFonts w:ascii="Times New Roman"/>
                <w:w w:val="99"/>
                <w:sz w:val="24"/>
              </w:rPr>
              <w:t>/</w:t>
            </w:r>
          </w:p>
        </w:tc>
        <w:tc>
          <w:tcPr>
            <w:tcW w:w="2035" w:type="dxa"/>
          </w:tcPr>
          <w:p>
            <w:pPr>
              <w:pStyle w:val="TableParagraph"/>
              <w:spacing w:before="222"/>
              <w:ind w:left="3"/>
              <w:rPr>
                <w:rFonts w:ascii="Times New Roman"/>
                <w:sz w:val="24"/>
              </w:rPr>
            </w:pPr>
            <w:r>
              <w:rPr>
                <w:rFonts w:ascii="Times New Roman"/>
                <w:w w:val="99"/>
                <w:sz w:val="24"/>
              </w:rPr>
              <w:t>/</w:t>
            </w:r>
          </w:p>
        </w:tc>
        <w:tc>
          <w:tcPr>
            <w:tcW w:w="1416" w:type="dxa"/>
          </w:tcPr>
          <w:p>
            <w:pPr>
              <w:pStyle w:val="TableParagraph"/>
              <w:spacing w:before="222"/>
              <w:ind w:left="11"/>
              <w:rPr>
                <w:rFonts w:ascii="Times New Roman"/>
                <w:sz w:val="24"/>
              </w:rPr>
            </w:pPr>
            <w:r>
              <w:rPr>
                <w:rFonts w:ascii="Times New Roman"/>
                <w:w w:val="99"/>
                <w:sz w:val="24"/>
              </w:rPr>
              <w:t>/</w:t>
            </w:r>
          </w:p>
        </w:tc>
        <w:tc>
          <w:tcPr>
            <w:tcW w:w="1166" w:type="dxa"/>
          </w:tcPr>
          <w:p>
            <w:pPr>
              <w:pStyle w:val="TableParagraph"/>
              <w:spacing w:before="222"/>
              <w:ind w:left="11"/>
              <w:rPr>
                <w:rFonts w:ascii="Times New Roman"/>
                <w:sz w:val="24"/>
              </w:rPr>
            </w:pPr>
            <w:r>
              <w:rPr>
                <w:rFonts w:ascii="Times New Roman"/>
                <w:w w:val="99"/>
                <w:sz w:val="24"/>
              </w:rPr>
              <w:t>/</w:t>
            </w:r>
          </w:p>
        </w:tc>
        <w:tc>
          <w:tcPr>
            <w:tcW w:w="1761" w:type="dxa"/>
          </w:tcPr>
          <w:p>
            <w:pPr>
              <w:pStyle w:val="TableParagraph"/>
              <w:spacing w:before="222"/>
              <w:ind w:left="10"/>
              <w:rPr>
                <w:rFonts w:ascii="Times New Roman"/>
                <w:sz w:val="24"/>
              </w:rPr>
            </w:pPr>
            <w:r>
              <w:rPr>
                <w:rFonts w:ascii="Times New Roman"/>
                <w:w w:val="99"/>
                <w:sz w:val="24"/>
              </w:rPr>
              <w:t>/</w:t>
            </w:r>
          </w:p>
        </w:tc>
        <w:tc>
          <w:tcPr>
            <w:tcW w:w="1804" w:type="dxa"/>
          </w:tcPr>
          <w:p>
            <w:pPr>
              <w:pStyle w:val="TableParagraph"/>
              <w:spacing w:before="222"/>
              <w:ind w:left="11"/>
              <w:rPr>
                <w:rFonts w:ascii="Times New Roman"/>
                <w:sz w:val="24"/>
              </w:rPr>
            </w:pPr>
            <w:r>
              <w:rPr>
                <w:rFonts w:ascii="Times New Roman"/>
                <w:w w:val="99"/>
                <w:sz w:val="24"/>
              </w:rPr>
              <w:t>/</w:t>
            </w:r>
          </w:p>
        </w:tc>
        <w:tc>
          <w:tcPr>
            <w:tcW w:w="2022" w:type="dxa"/>
          </w:tcPr>
          <w:p>
            <w:pPr>
              <w:pStyle w:val="TableParagraph"/>
              <w:spacing w:before="222"/>
              <w:ind w:left="14"/>
              <w:rPr>
                <w:rFonts w:ascii="Times New Roman"/>
                <w:sz w:val="24"/>
              </w:rPr>
            </w:pPr>
            <w:r>
              <w:rPr>
                <w:rFonts w:ascii="Times New Roman"/>
                <w:w w:val="99"/>
                <w:sz w:val="24"/>
              </w:rPr>
              <w:t>/</w:t>
            </w:r>
          </w:p>
        </w:tc>
        <w:tc>
          <w:tcPr>
            <w:tcW w:w="1631" w:type="dxa"/>
          </w:tcPr>
          <w:p>
            <w:pPr>
              <w:pStyle w:val="TableParagraph"/>
              <w:spacing w:before="222"/>
              <w:ind w:left="17"/>
              <w:rPr>
                <w:rFonts w:ascii="Times New Roman"/>
                <w:sz w:val="24"/>
              </w:rPr>
            </w:pPr>
            <w:r>
              <w:rPr>
                <w:rFonts w:ascii="Times New Roman"/>
                <w:w w:val="99"/>
                <w:sz w:val="24"/>
              </w:rPr>
              <w:t>/</w:t>
            </w:r>
          </w:p>
        </w:tc>
      </w:tr>
      <w:tr>
        <w:trPr>
          <w:trHeight w:val="721" w:hRule="atLeast"/>
        </w:trPr>
        <w:tc>
          <w:tcPr>
            <w:tcW w:w="799" w:type="dxa"/>
          </w:tcPr>
          <w:p>
            <w:pPr>
              <w:pStyle w:val="TableParagraph"/>
              <w:jc w:val="left"/>
              <w:rPr>
                <w:rFonts w:ascii="Times New Roman"/>
                <w:sz w:val="24"/>
              </w:rPr>
            </w:pPr>
          </w:p>
        </w:tc>
        <w:tc>
          <w:tcPr>
            <w:tcW w:w="1322" w:type="dxa"/>
          </w:tcPr>
          <w:p>
            <w:pPr>
              <w:pStyle w:val="TableParagraph"/>
              <w:jc w:val="left"/>
              <w:rPr>
                <w:rFonts w:ascii="Times New Roman"/>
                <w:sz w:val="24"/>
              </w:rPr>
            </w:pPr>
          </w:p>
        </w:tc>
        <w:tc>
          <w:tcPr>
            <w:tcW w:w="2035" w:type="dxa"/>
          </w:tcPr>
          <w:p>
            <w:pPr>
              <w:pStyle w:val="TableParagraph"/>
              <w:jc w:val="left"/>
              <w:rPr>
                <w:rFonts w:ascii="Times New Roman"/>
                <w:sz w:val="24"/>
              </w:rPr>
            </w:pPr>
          </w:p>
        </w:tc>
        <w:tc>
          <w:tcPr>
            <w:tcW w:w="1416" w:type="dxa"/>
          </w:tcPr>
          <w:p>
            <w:pPr>
              <w:pStyle w:val="TableParagraph"/>
              <w:jc w:val="left"/>
              <w:rPr>
                <w:rFonts w:ascii="Times New Roman"/>
                <w:sz w:val="24"/>
              </w:rPr>
            </w:pPr>
          </w:p>
        </w:tc>
        <w:tc>
          <w:tcPr>
            <w:tcW w:w="1166" w:type="dxa"/>
          </w:tcPr>
          <w:p>
            <w:pPr>
              <w:pStyle w:val="TableParagraph"/>
              <w:jc w:val="left"/>
              <w:rPr>
                <w:rFonts w:ascii="Times New Roman"/>
                <w:sz w:val="24"/>
              </w:rPr>
            </w:pPr>
          </w:p>
        </w:tc>
        <w:tc>
          <w:tcPr>
            <w:tcW w:w="1761" w:type="dxa"/>
          </w:tcPr>
          <w:p>
            <w:pPr>
              <w:pStyle w:val="TableParagraph"/>
              <w:jc w:val="left"/>
              <w:rPr>
                <w:rFonts w:ascii="Times New Roman"/>
                <w:sz w:val="24"/>
              </w:rPr>
            </w:pPr>
          </w:p>
        </w:tc>
        <w:tc>
          <w:tcPr>
            <w:tcW w:w="1804" w:type="dxa"/>
          </w:tcPr>
          <w:p>
            <w:pPr>
              <w:pStyle w:val="TableParagraph"/>
              <w:jc w:val="left"/>
              <w:rPr>
                <w:rFonts w:ascii="Times New Roman"/>
                <w:sz w:val="24"/>
              </w:rPr>
            </w:pPr>
          </w:p>
        </w:tc>
        <w:tc>
          <w:tcPr>
            <w:tcW w:w="2022" w:type="dxa"/>
          </w:tcPr>
          <w:p>
            <w:pPr>
              <w:pStyle w:val="TableParagraph"/>
              <w:jc w:val="left"/>
              <w:rPr>
                <w:rFonts w:ascii="Times New Roman"/>
                <w:sz w:val="24"/>
              </w:rPr>
            </w:pPr>
          </w:p>
        </w:tc>
        <w:tc>
          <w:tcPr>
            <w:tcW w:w="1631" w:type="dxa"/>
          </w:tcPr>
          <w:p>
            <w:pPr>
              <w:pStyle w:val="TableParagraph"/>
              <w:jc w:val="left"/>
              <w:rPr>
                <w:rFonts w:ascii="Times New Roman"/>
                <w:sz w:val="24"/>
              </w:rPr>
            </w:pPr>
          </w:p>
        </w:tc>
      </w:tr>
    </w:tbl>
    <w:p>
      <w:pPr>
        <w:pStyle w:val="BodyText"/>
        <w:spacing w:before="81"/>
        <w:ind w:left="211"/>
      </w:pPr>
      <w:r>
        <w:rPr/>
        <w:t>注：放射源包括放射性中子源，对其要说明是何种核素以及产生的中子流强度（</w:t>
      </w:r>
      <w:r>
        <w:rPr>
          <w:rFonts w:ascii="Times New Roman" w:eastAsia="Times New Roman"/>
        </w:rPr>
        <w:t>n/s</w:t>
      </w:r>
      <w:r>
        <w:rPr/>
        <w:t>）</w:t>
      </w:r>
    </w:p>
    <w:p>
      <w:pPr>
        <w:pStyle w:val="Heading1"/>
        <w:spacing w:before="212"/>
        <w:ind w:left="211"/>
      </w:pPr>
      <w:r>
        <w:rPr/>
        <w:t>表 3 非密封放射性物质</w:t>
      </w:r>
      <w:r>
        <w:rPr>
          <w:w w:val="50"/>
        </w:rPr>
        <w:t> </w:t>
      </w:r>
    </w:p>
    <w:p>
      <w:pPr>
        <w:pStyle w:val="BodyText"/>
        <w:spacing w:before="4"/>
        <w:rPr>
          <w:sz w:val="1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1077"/>
        <w:gridCol w:w="1559"/>
        <w:gridCol w:w="707"/>
        <w:gridCol w:w="1701"/>
        <w:gridCol w:w="1699"/>
        <w:gridCol w:w="1418"/>
        <w:gridCol w:w="1276"/>
        <w:gridCol w:w="1415"/>
        <w:gridCol w:w="1134"/>
        <w:gridCol w:w="1343"/>
      </w:tblGrid>
      <w:tr>
        <w:trPr>
          <w:trHeight w:val="623" w:hRule="atLeast"/>
        </w:trPr>
        <w:tc>
          <w:tcPr>
            <w:tcW w:w="619" w:type="dxa"/>
          </w:tcPr>
          <w:p>
            <w:pPr>
              <w:pStyle w:val="TableParagraph"/>
              <w:spacing w:before="158"/>
              <w:ind w:left="49" w:right="40"/>
              <w:rPr>
                <w:sz w:val="24"/>
              </w:rPr>
            </w:pPr>
            <w:r>
              <w:rPr>
                <w:sz w:val="24"/>
              </w:rPr>
              <w:t>序号</w:t>
            </w:r>
          </w:p>
        </w:tc>
        <w:tc>
          <w:tcPr>
            <w:tcW w:w="1077" w:type="dxa"/>
          </w:tcPr>
          <w:p>
            <w:pPr>
              <w:pStyle w:val="TableParagraph"/>
              <w:spacing w:before="158"/>
              <w:ind w:left="37" w:right="29"/>
              <w:rPr>
                <w:sz w:val="24"/>
              </w:rPr>
            </w:pPr>
            <w:r>
              <w:rPr>
                <w:sz w:val="24"/>
              </w:rPr>
              <w:t>核素名称</w:t>
            </w:r>
          </w:p>
        </w:tc>
        <w:tc>
          <w:tcPr>
            <w:tcW w:w="1559" w:type="dxa"/>
          </w:tcPr>
          <w:p>
            <w:pPr>
              <w:pStyle w:val="TableParagraph"/>
              <w:spacing w:before="158"/>
              <w:ind w:left="46" w:right="34"/>
              <w:rPr>
                <w:sz w:val="24"/>
              </w:rPr>
            </w:pPr>
            <w:r>
              <w:rPr>
                <w:sz w:val="24"/>
              </w:rPr>
              <w:t>理化性质</w:t>
            </w:r>
          </w:p>
        </w:tc>
        <w:tc>
          <w:tcPr>
            <w:tcW w:w="707" w:type="dxa"/>
          </w:tcPr>
          <w:p>
            <w:pPr>
              <w:pStyle w:val="TableParagraph"/>
              <w:spacing w:before="2"/>
              <w:ind w:left="114"/>
              <w:jc w:val="left"/>
              <w:rPr>
                <w:sz w:val="24"/>
              </w:rPr>
            </w:pPr>
            <w:r>
              <w:rPr>
                <w:sz w:val="24"/>
              </w:rPr>
              <w:t>活动</w:t>
            </w:r>
          </w:p>
          <w:p>
            <w:pPr>
              <w:pStyle w:val="TableParagraph"/>
              <w:spacing w:line="289" w:lineRule="exact" w:before="4"/>
              <w:ind w:left="114"/>
              <w:jc w:val="left"/>
              <w:rPr>
                <w:sz w:val="24"/>
              </w:rPr>
            </w:pPr>
            <w:r>
              <w:rPr>
                <w:sz w:val="24"/>
              </w:rPr>
              <w:t>种类</w:t>
            </w:r>
          </w:p>
        </w:tc>
        <w:tc>
          <w:tcPr>
            <w:tcW w:w="1701" w:type="dxa"/>
          </w:tcPr>
          <w:p>
            <w:pPr>
              <w:pStyle w:val="TableParagraph"/>
              <w:spacing w:before="2"/>
              <w:ind w:left="12" w:right="-15"/>
              <w:rPr>
                <w:sz w:val="24"/>
              </w:rPr>
            </w:pPr>
            <w:r>
              <w:rPr>
                <w:sz w:val="24"/>
              </w:rPr>
              <w:t>实际日最大操作</w:t>
            </w:r>
          </w:p>
          <w:p>
            <w:pPr>
              <w:pStyle w:val="TableParagraph"/>
              <w:spacing w:line="289" w:lineRule="exact" w:before="4"/>
              <w:ind w:left="332" w:right="317"/>
              <w:rPr>
                <w:sz w:val="24"/>
              </w:rPr>
            </w:pPr>
            <w:r>
              <w:rPr>
                <w:sz w:val="24"/>
              </w:rPr>
              <w:t>量（</w:t>
            </w:r>
            <w:r>
              <w:rPr>
                <w:rFonts w:ascii="Times New Roman" w:eastAsia="Times New Roman"/>
                <w:sz w:val="24"/>
              </w:rPr>
              <w:t>Bq</w:t>
            </w:r>
            <w:r>
              <w:rPr>
                <w:sz w:val="24"/>
              </w:rPr>
              <w:t>）</w:t>
            </w:r>
          </w:p>
        </w:tc>
        <w:tc>
          <w:tcPr>
            <w:tcW w:w="1699" w:type="dxa"/>
          </w:tcPr>
          <w:p>
            <w:pPr>
              <w:pStyle w:val="TableParagraph"/>
              <w:spacing w:before="2"/>
              <w:ind w:left="10" w:right="-15"/>
              <w:rPr>
                <w:sz w:val="24"/>
              </w:rPr>
            </w:pPr>
            <w:r>
              <w:rPr>
                <w:sz w:val="24"/>
              </w:rPr>
              <w:t>日等效最大操作</w:t>
            </w:r>
          </w:p>
          <w:p>
            <w:pPr>
              <w:pStyle w:val="TableParagraph"/>
              <w:spacing w:line="289" w:lineRule="exact" w:before="4"/>
              <w:ind w:left="331" w:right="317"/>
              <w:rPr>
                <w:sz w:val="24"/>
              </w:rPr>
            </w:pPr>
            <w:r>
              <w:rPr>
                <w:sz w:val="24"/>
              </w:rPr>
              <w:t>量（</w:t>
            </w:r>
            <w:r>
              <w:rPr>
                <w:rFonts w:ascii="Times New Roman" w:eastAsia="Times New Roman"/>
                <w:sz w:val="24"/>
              </w:rPr>
              <w:t>Bq</w:t>
            </w:r>
            <w:r>
              <w:rPr>
                <w:sz w:val="24"/>
              </w:rPr>
              <w:t>）</w:t>
            </w:r>
          </w:p>
        </w:tc>
        <w:tc>
          <w:tcPr>
            <w:tcW w:w="1418" w:type="dxa"/>
          </w:tcPr>
          <w:p>
            <w:pPr>
              <w:pStyle w:val="TableParagraph"/>
              <w:spacing w:before="2"/>
              <w:ind w:left="91" w:right="77"/>
              <w:rPr>
                <w:sz w:val="24"/>
              </w:rPr>
            </w:pPr>
            <w:r>
              <w:rPr>
                <w:sz w:val="24"/>
              </w:rPr>
              <w:t>年最大用量</w:t>
            </w:r>
          </w:p>
          <w:p>
            <w:pPr>
              <w:pStyle w:val="TableParagraph"/>
              <w:spacing w:line="289" w:lineRule="exact" w:before="4"/>
              <w:ind w:left="91" w:right="74"/>
              <w:rPr>
                <w:sz w:val="24"/>
              </w:rPr>
            </w:pPr>
            <w:r>
              <w:rPr>
                <w:sz w:val="24"/>
              </w:rPr>
              <w:t>（</w:t>
            </w:r>
            <w:r>
              <w:rPr>
                <w:rFonts w:ascii="Times New Roman" w:eastAsia="Times New Roman"/>
                <w:sz w:val="24"/>
              </w:rPr>
              <w:t>Bq</w:t>
            </w:r>
            <w:r>
              <w:rPr>
                <w:sz w:val="24"/>
              </w:rPr>
              <w:t>）</w:t>
            </w:r>
          </w:p>
        </w:tc>
        <w:tc>
          <w:tcPr>
            <w:tcW w:w="1276" w:type="dxa"/>
          </w:tcPr>
          <w:p>
            <w:pPr>
              <w:pStyle w:val="TableParagraph"/>
              <w:spacing w:before="158"/>
              <w:ind w:left="26" w:right="8"/>
              <w:rPr>
                <w:sz w:val="24"/>
              </w:rPr>
            </w:pPr>
            <w:r>
              <w:rPr>
                <w:sz w:val="24"/>
              </w:rPr>
              <w:t>用途</w:t>
            </w:r>
          </w:p>
        </w:tc>
        <w:tc>
          <w:tcPr>
            <w:tcW w:w="1415" w:type="dxa"/>
          </w:tcPr>
          <w:p>
            <w:pPr>
              <w:pStyle w:val="TableParagraph"/>
              <w:spacing w:before="158"/>
              <w:ind w:left="212" w:right="192"/>
              <w:rPr>
                <w:sz w:val="24"/>
              </w:rPr>
            </w:pPr>
            <w:r>
              <w:rPr>
                <w:sz w:val="24"/>
              </w:rPr>
              <w:t>操作方式</w:t>
            </w:r>
          </w:p>
        </w:tc>
        <w:tc>
          <w:tcPr>
            <w:tcW w:w="1134" w:type="dxa"/>
          </w:tcPr>
          <w:p>
            <w:pPr>
              <w:pStyle w:val="TableParagraph"/>
              <w:spacing w:before="158"/>
              <w:ind w:left="71" w:right="52"/>
              <w:rPr>
                <w:sz w:val="24"/>
              </w:rPr>
            </w:pPr>
            <w:r>
              <w:rPr>
                <w:sz w:val="24"/>
              </w:rPr>
              <w:t>使用场所</w:t>
            </w:r>
          </w:p>
        </w:tc>
        <w:tc>
          <w:tcPr>
            <w:tcW w:w="1343" w:type="dxa"/>
          </w:tcPr>
          <w:p>
            <w:pPr>
              <w:pStyle w:val="TableParagraph"/>
              <w:spacing w:before="2"/>
              <w:ind w:left="58" w:right="34"/>
              <w:rPr>
                <w:sz w:val="24"/>
              </w:rPr>
            </w:pPr>
            <w:r>
              <w:rPr>
                <w:sz w:val="24"/>
              </w:rPr>
              <w:t>贮存方式与</w:t>
            </w:r>
          </w:p>
          <w:p>
            <w:pPr>
              <w:pStyle w:val="TableParagraph"/>
              <w:spacing w:line="289" w:lineRule="exact" w:before="4"/>
              <w:ind w:left="58" w:right="34"/>
              <w:rPr>
                <w:sz w:val="24"/>
              </w:rPr>
            </w:pPr>
            <w:r>
              <w:rPr>
                <w:sz w:val="24"/>
              </w:rPr>
              <w:t>地点</w:t>
            </w:r>
          </w:p>
        </w:tc>
      </w:tr>
      <w:tr>
        <w:trPr>
          <w:trHeight w:val="815" w:hRule="atLeast"/>
        </w:trPr>
        <w:tc>
          <w:tcPr>
            <w:tcW w:w="619" w:type="dxa"/>
          </w:tcPr>
          <w:p>
            <w:pPr>
              <w:pStyle w:val="TableParagraph"/>
              <w:spacing w:before="1"/>
              <w:jc w:val="left"/>
              <w:rPr>
                <w:sz w:val="21"/>
              </w:rPr>
            </w:pPr>
          </w:p>
          <w:p>
            <w:pPr>
              <w:pStyle w:val="TableParagraph"/>
              <w:ind w:left="9"/>
              <w:rPr>
                <w:rFonts w:ascii="Times New Roman"/>
                <w:sz w:val="24"/>
              </w:rPr>
            </w:pPr>
            <w:r>
              <w:rPr>
                <w:rFonts w:ascii="Times New Roman"/>
                <w:w w:val="99"/>
                <w:sz w:val="24"/>
              </w:rPr>
              <w:t>/</w:t>
            </w:r>
          </w:p>
        </w:tc>
        <w:tc>
          <w:tcPr>
            <w:tcW w:w="1077" w:type="dxa"/>
          </w:tcPr>
          <w:p>
            <w:pPr>
              <w:pStyle w:val="TableParagraph"/>
              <w:spacing w:before="1"/>
              <w:jc w:val="left"/>
              <w:rPr>
                <w:sz w:val="21"/>
              </w:rPr>
            </w:pPr>
          </w:p>
          <w:p>
            <w:pPr>
              <w:pStyle w:val="TableParagraph"/>
              <w:ind w:left="6"/>
              <w:rPr>
                <w:rFonts w:ascii="Times New Roman"/>
                <w:sz w:val="24"/>
              </w:rPr>
            </w:pPr>
            <w:r>
              <w:rPr>
                <w:rFonts w:ascii="Times New Roman"/>
                <w:w w:val="99"/>
                <w:sz w:val="24"/>
              </w:rPr>
              <w:t>/</w:t>
            </w:r>
          </w:p>
        </w:tc>
        <w:tc>
          <w:tcPr>
            <w:tcW w:w="1559" w:type="dxa"/>
          </w:tcPr>
          <w:p>
            <w:pPr>
              <w:pStyle w:val="TableParagraph"/>
              <w:spacing w:before="1"/>
              <w:jc w:val="left"/>
              <w:rPr>
                <w:sz w:val="21"/>
              </w:rPr>
            </w:pPr>
          </w:p>
          <w:p>
            <w:pPr>
              <w:pStyle w:val="TableParagraph"/>
              <w:ind w:left="11"/>
              <w:rPr>
                <w:rFonts w:ascii="Times New Roman"/>
                <w:sz w:val="24"/>
              </w:rPr>
            </w:pPr>
            <w:r>
              <w:rPr>
                <w:rFonts w:ascii="Times New Roman"/>
                <w:w w:val="99"/>
                <w:sz w:val="24"/>
              </w:rPr>
              <w:t>/</w:t>
            </w:r>
          </w:p>
        </w:tc>
        <w:tc>
          <w:tcPr>
            <w:tcW w:w="707" w:type="dxa"/>
          </w:tcPr>
          <w:p>
            <w:pPr>
              <w:pStyle w:val="TableParagraph"/>
              <w:spacing w:before="1"/>
              <w:jc w:val="left"/>
              <w:rPr>
                <w:sz w:val="21"/>
              </w:rPr>
            </w:pPr>
          </w:p>
          <w:p>
            <w:pPr>
              <w:pStyle w:val="TableParagraph"/>
              <w:ind w:left="9"/>
              <w:rPr>
                <w:rFonts w:ascii="Times New Roman"/>
                <w:sz w:val="24"/>
              </w:rPr>
            </w:pPr>
            <w:r>
              <w:rPr>
                <w:rFonts w:ascii="Times New Roman"/>
                <w:w w:val="99"/>
                <w:sz w:val="24"/>
              </w:rPr>
              <w:t>/</w:t>
            </w:r>
          </w:p>
        </w:tc>
        <w:tc>
          <w:tcPr>
            <w:tcW w:w="1701" w:type="dxa"/>
          </w:tcPr>
          <w:p>
            <w:pPr>
              <w:pStyle w:val="TableParagraph"/>
              <w:spacing w:before="1"/>
              <w:jc w:val="left"/>
              <w:rPr>
                <w:sz w:val="21"/>
              </w:rPr>
            </w:pPr>
          </w:p>
          <w:p>
            <w:pPr>
              <w:pStyle w:val="TableParagraph"/>
              <w:ind w:left="10"/>
              <w:rPr>
                <w:rFonts w:ascii="Times New Roman"/>
                <w:sz w:val="24"/>
              </w:rPr>
            </w:pPr>
            <w:r>
              <w:rPr>
                <w:rFonts w:ascii="Times New Roman"/>
                <w:w w:val="99"/>
                <w:sz w:val="24"/>
              </w:rPr>
              <w:t>/</w:t>
            </w:r>
          </w:p>
        </w:tc>
        <w:tc>
          <w:tcPr>
            <w:tcW w:w="1699" w:type="dxa"/>
          </w:tcPr>
          <w:p>
            <w:pPr>
              <w:pStyle w:val="TableParagraph"/>
              <w:spacing w:before="1"/>
              <w:jc w:val="left"/>
              <w:rPr>
                <w:sz w:val="21"/>
              </w:rPr>
            </w:pPr>
          </w:p>
          <w:p>
            <w:pPr>
              <w:pStyle w:val="TableParagraph"/>
              <w:ind w:left="12"/>
              <w:rPr>
                <w:rFonts w:ascii="Times New Roman"/>
                <w:sz w:val="24"/>
              </w:rPr>
            </w:pPr>
            <w:r>
              <w:rPr>
                <w:rFonts w:ascii="Times New Roman"/>
                <w:w w:val="99"/>
                <w:sz w:val="24"/>
              </w:rPr>
              <w:t>/</w:t>
            </w:r>
          </w:p>
        </w:tc>
        <w:tc>
          <w:tcPr>
            <w:tcW w:w="1418" w:type="dxa"/>
          </w:tcPr>
          <w:p>
            <w:pPr>
              <w:pStyle w:val="TableParagraph"/>
              <w:spacing w:before="1"/>
              <w:jc w:val="left"/>
              <w:rPr>
                <w:sz w:val="21"/>
              </w:rPr>
            </w:pPr>
          </w:p>
          <w:p>
            <w:pPr>
              <w:pStyle w:val="TableParagraph"/>
              <w:ind w:left="14"/>
              <w:rPr>
                <w:rFonts w:ascii="Times New Roman"/>
                <w:sz w:val="24"/>
              </w:rPr>
            </w:pPr>
            <w:r>
              <w:rPr>
                <w:rFonts w:ascii="Times New Roman"/>
                <w:w w:val="99"/>
                <w:sz w:val="24"/>
              </w:rPr>
              <w:t>/</w:t>
            </w:r>
          </w:p>
        </w:tc>
        <w:tc>
          <w:tcPr>
            <w:tcW w:w="1276" w:type="dxa"/>
          </w:tcPr>
          <w:p>
            <w:pPr>
              <w:pStyle w:val="TableParagraph"/>
              <w:spacing w:before="1"/>
              <w:jc w:val="left"/>
              <w:rPr>
                <w:sz w:val="21"/>
              </w:rPr>
            </w:pPr>
          </w:p>
          <w:p>
            <w:pPr>
              <w:pStyle w:val="TableParagraph"/>
              <w:ind w:left="16"/>
              <w:rPr>
                <w:rFonts w:ascii="Times New Roman"/>
                <w:sz w:val="24"/>
              </w:rPr>
            </w:pPr>
            <w:r>
              <w:rPr>
                <w:rFonts w:ascii="Times New Roman"/>
                <w:w w:val="99"/>
                <w:sz w:val="24"/>
              </w:rPr>
              <w:t>/</w:t>
            </w:r>
          </w:p>
        </w:tc>
        <w:tc>
          <w:tcPr>
            <w:tcW w:w="1415" w:type="dxa"/>
          </w:tcPr>
          <w:p>
            <w:pPr>
              <w:pStyle w:val="TableParagraph"/>
              <w:spacing w:before="1"/>
              <w:jc w:val="left"/>
              <w:rPr>
                <w:sz w:val="21"/>
              </w:rPr>
            </w:pPr>
          </w:p>
          <w:p>
            <w:pPr>
              <w:pStyle w:val="TableParagraph"/>
              <w:ind w:left="17"/>
              <w:rPr>
                <w:rFonts w:ascii="Times New Roman"/>
                <w:sz w:val="24"/>
              </w:rPr>
            </w:pPr>
            <w:r>
              <w:rPr>
                <w:rFonts w:ascii="Times New Roman"/>
                <w:w w:val="99"/>
                <w:sz w:val="24"/>
              </w:rPr>
              <w:t>/</w:t>
            </w:r>
          </w:p>
        </w:tc>
        <w:tc>
          <w:tcPr>
            <w:tcW w:w="1134" w:type="dxa"/>
          </w:tcPr>
          <w:p>
            <w:pPr>
              <w:pStyle w:val="TableParagraph"/>
              <w:spacing w:before="1"/>
              <w:jc w:val="left"/>
              <w:rPr>
                <w:sz w:val="21"/>
              </w:rPr>
            </w:pPr>
          </w:p>
          <w:p>
            <w:pPr>
              <w:pStyle w:val="TableParagraph"/>
              <w:ind w:left="20"/>
              <w:rPr>
                <w:rFonts w:ascii="Times New Roman"/>
                <w:sz w:val="24"/>
              </w:rPr>
            </w:pPr>
            <w:r>
              <w:rPr>
                <w:rFonts w:ascii="Times New Roman"/>
                <w:w w:val="99"/>
                <w:sz w:val="24"/>
              </w:rPr>
              <w:t>/</w:t>
            </w:r>
          </w:p>
        </w:tc>
        <w:tc>
          <w:tcPr>
            <w:tcW w:w="1343" w:type="dxa"/>
          </w:tcPr>
          <w:p>
            <w:pPr>
              <w:pStyle w:val="TableParagraph"/>
              <w:spacing w:before="1"/>
              <w:jc w:val="left"/>
              <w:rPr>
                <w:sz w:val="21"/>
              </w:rPr>
            </w:pPr>
          </w:p>
          <w:p>
            <w:pPr>
              <w:pStyle w:val="TableParagraph"/>
              <w:ind w:left="11"/>
              <w:jc w:val="left"/>
              <w:rPr>
                <w:rFonts w:ascii="Times New Roman"/>
                <w:sz w:val="24"/>
              </w:rPr>
            </w:pPr>
            <w:r>
              <w:rPr>
                <w:rFonts w:ascii="Times New Roman"/>
                <w:w w:val="99"/>
                <w:sz w:val="24"/>
              </w:rPr>
              <w:t>/</w:t>
            </w:r>
          </w:p>
        </w:tc>
      </w:tr>
      <w:tr>
        <w:trPr>
          <w:trHeight w:val="817" w:hRule="atLeast"/>
        </w:trPr>
        <w:tc>
          <w:tcPr>
            <w:tcW w:w="619" w:type="dxa"/>
          </w:tcPr>
          <w:p>
            <w:pPr>
              <w:pStyle w:val="TableParagraph"/>
              <w:spacing w:before="3"/>
              <w:jc w:val="left"/>
              <w:rPr>
                <w:sz w:val="21"/>
              </w:rPr>
            </w:pPr>
          </w:p>
          <w:p>
            <w:pPr>
              <w:pStyle w:val="TableParagraph"/>
              <w:ind w:left="9"/>
              <w:rPr>
                <w:rFonts w:ascii="Times New Roman"/>
                <w:sz w:val="24"/>
              </w:rPr>
            </w:pPr>
            <w:r>
              <w:rPr>
                <w:rFonts w:ascii="Times New Roman"/>
                <w:w w:val="99"/>
                <w:sz w:val="24"/>
              </w:rPr>
              <w:t>/</w:t>
            </w:r>
          </w:p>
        </w:tc>
        <w:tc>
          <w:tcPr>
            <w:tcW w:w="1077" w:type="dxa"/>
          </w:tcPr>
          <w:p>
            <w:pPr>
              <w:pStyle w:val="TableParagraph"/>
              <w:spacing w:before="3"/>
              <w:jc w:val="left"/>
              <w:rPr>
                <w:sz w:val="21"/>
              </w:rPr>
            </w:pPr>
          </w:p>
          <w:p>
            <w:pPr>
              <w:pStyle w:val="TableParagraph"/>
              <w:ind w:left="6"/>
              <w:rPr>
                <w:rFonts w:ascii="Times New Roman"/>
                <w:sz w:val="24"/>
              </w:rPr>
            </w:pPr>
            <w:r>
              <w:rPr>
                <w:rFonts w:ascii="Times New Roman"/>
                <w:w w:val="99"/>
                <w:sz w:val="24"/>
              </w:rPr>
              <w:t>/</w:t>
            </w:r>
          </w:p>
        </w:tc>
        <w:tc>
          <w:tcPr>
            <w:tcW w:w="1559" w:type="dxa"/>
          </w:tcPr>
          <w:p>
            <w:pPr>
              <w:pStyle w:val="TableParagraph"/>
              <w:spacing w:before="3"/>
              <w:jc w:val="left"/>
              <w:rPr>
                <w:sz w:val="21"/>
              </w:rPr>
            </w:pPr>
          </w:p>
          <w:p>
            <w:pPr>
              <w:pStyle w:val="TableParagraph"/>
              <w:ind w:left="11"/>
              <w:rPr>
                <w:rFonts w:ascii="Times New Roman"/>
                <w:sz w:val="24"/>
              </w:rPr>
            </w:pPr>
            <w:r>
              <w:rPr>
                <w:rFonts w:ascii="Times New Roman"/>
                <w:w w:val="99"/>
                <w:sz w:val="24"/>
              </w:rPr>
              <w:t>/</w:t>
            </w:r>
          </w:p>
        </w:tc>
        <w:tc>
          <w:tcPr>
            <w:tcW w:w="707" w:type="dxa"/>
          </w:tcPr>
          <w:p>
            <w:pPr>
              <w:pStyle w:val="TableParagraph"/>
              <w:spacing w:before="3"/>
              <w:jc w:val="left"/>
              <w:rPr>
                <w:sz w:val="21"/>
              </w:rPr>
            </w:pPr>
          </w:p>
          <w:p>
            <w:pPr>
              <w:pStyle w:val="TableParagraph"/>
              <w:ind w:left="9"/>
              <w:rPr>
                <w:rFonts w:ascii="Times New Roman"/>
                <w:sz w:val="24"/>
              </w:rPr>
            </w:pPr>
            <w:r>
              <w:rPr>
                <w:rFonts w:ascii="Times New Roman"/>
                <w:w w:val="99"/>
                <w:sz w:val="24"/>
              </w:rPr>
              <w:t>/</w:t>
            </w:r>
          </w:p>
        </w:tc>
        <w:tc>
          <w:tcPr>
            <w:tcW w:w="1701" w:type="dxa"/>
          </w:tcPr>
          <w:p>
            <w:pPr>
              <w:pStyle w:val="TableParagraph"/>
              <w:spacing w:before="3"/>
              <w:jc w:val="left"/>
              <w:rPr>
                <w:sz w:val="21"/>
              </w:rPr>
            </w:pPr>
          </w:p>
          <w:p>
            <w:pPr>
              <w:pStyle w:val="TableParagraph"/>
              <w:ind w:left="10"/>
              <w:rPr>
                <w:rFonts w:ascii="Times New Roman"/>
                <w:sz w:val="24"/>
              </w:rPr>
            </w:pPr>
            <w:r>
              <w:rPr>
                <w:rFonts w:ascii="Times New Roman"/>
                <w:w w:val="99"/>
                <w:sz w:val="24"/>
              </w:rPr>
              <w:t>/</w:t>
            </w:r>
          </w:p>
        </w:tc>
        <w:tc>
          <w:tcPr>
            <w:tcW w:w="1699" w:type="dxa"/>
          </w:tcPr>
          <w:p>
            <w:pPr>
              <w:pStyle w:val="TableParagraph"/>
              <w:spacing w:before="3"/>
              <w:jc w:val="left"/>
              <w:rPr>
                <w:sz w:val="21"/>
              </w:rPr>
            </w:pPr>
          </w:p>
          <w:p>
            <w:pPr>
              <w:pStyle w:val="TableParagraph"/>
              <w:ind w:left="12"/>
              <w:rPr>
                <w:rFonts w:ascii="Times New Roman"/>
                <w:sz w:val="24"/>
              </w:rPr>
            </w:pPr>
            <w:r>
              <w:rPr>
                <w:rFonts w:ascii="Times New Roman"/>
                <w:w w:val="99"/>
                <w:sz w:val="24"/>
              </w:rPr>
              <w:t>/</w:t>
            </w:r>
          </w:p>
        </w:tc>
        <w:tc>
          <w:tcPr>
            <w:tcW w:w="1418" w:type="dxa"/>
          </w:tcPr>
          <w:p>
            <w:pPr>
              <w:pStyle w:val="TableParagraph"/>
              <w:spacing w:before="3"/>
              <w:jc w:val="left"/>
              <w:rPr>
                <w:sz w:val="21"/>
              </w:rPr>
            </w:pPr>
          </w:p>
          <w:p>
            <w:pPr>
              <w:pStyle w:val="TableParagraph"/>
              <w:ind w:left="14"/>
              <w:rPr>
                <w:rFonts w:ascii="Times New Roman"/>
                <w:sz w:val="24"/>
              </w:rPr>
            </w:pPr>
            <w:r>
              <w:rPr>
                <w:rFonts w:ascii="Times New Roman"/>
                <w:w w:val="99"/>
                <w:sz w:val="24"/>
              </w:rPr>
              <w:t>/</w:t>
            </w:r>
          </w:p>
        </w:tc>
        <w:tc>
          <w:tcPr>
            <w:tcW w:w="1276" w:type="dxa"/>
          </w:tcPr>
          <w:p>
            <w:pPr>
              <w:pStyle w:val="TableParagraph"/>
              <w:spacing w:before="3"/>
              <w:jc w:val="left"/>
              <w:rPr>
                <w:sz w:val="21"/>
              </w:rPr>
            </w:pPr>
          </w:p>
          <w:p>
            <w:pPr>
              <w:pStyle w:val="TableParagraph"/>
              <w:ind w:left="16"/>
              <w:rPr>
                <w:rFonts w:ascii="Times New Roman"/>
                <w:sz w:val="24"/>
              </w:rPr>
            </w:pPr>
            <w:r>
              <w:rPr>
                <w:rFonts w:ascii="Times New Roman"/>
                <w:w w:val="99"/>
                <w:sz w:val="24"/>
              </w:rPr>
              <w:t>/</w:t>
            </w:r>
          </w:p>
        </w:tc>
        <w:tc>
          <w:tcPr>
            <w:tcW w:w="1415" w:type="dxa"/>
          </w:tcPr>
          <w:p>
            <w:pPr>
              <w:pStyle w:val="TableParagraph"/>
              <w:spacing w:before="3"/>
              <w:jc w:val="left"/>
              <w:rPr>
                <w:sz w:val="21"/>
              </w:rPr>
            </w:pPr>
          </w:p>
          <w:p>
            <w:pPr>
              <w:pStyle w:val="TableParagraph"/>
              <w:ind w:left="17"/>
              <w:rPr>
                <w:rFonts w:ascii="Times New Roman"/>
                <w:sz w:val="24"/>
              </w:rPr>
            </w:pPr>
            <w:r>
              <w:rPr>
                <w:rFonts w:ascii="Times New Roman"/>
                <w:w w:val="99"/>
                <w:sz w:val="24"/>
              </w:rPr>
              <w:t>/</w:t>
            </w:r>
          </w:p>
        </w:tc>
        <w:tc>
          <w:tcPr>
            <w:tcW w:w="1134" w:type="dxa"/>
          </w:tcPr>
          <w:p>
            <w:pPr>
              <w:pStyle w:val="TableParagraph"/>
              <w:spacing w:before="3"/>
              <w:jc w:val="left"/>
              <w:rPr>
                <w:sz w:val="21"/>
              </w:rPr>
            </w:pPr>
          </w:p>
          <w:p>
            <w:pPr>
              <w:pStyle w:val="TableParagraph"/>
              <w:ind w:left="20"/>
              <w:rPr>
                <w:rFonts w:ascii="Times New Roman"/>
                <w:sz w:val="24"/>
              </w:rPr>
            </w:pPr>
            <w:r>
              <w:rPr>
                <w:rFonts w:ascii="Times New Roman"/>
                <w:w w:val="99"/>
                <w:sz w:val="24"/>
              </w:rPr>
              <w:t>/</w:t>
            </w:r>
          </w:p>
        </w:tc>
        <w:tc>
          <w:tcPr>
            <w:tcW w:w="1343" w:type="dxa"/>
          </w:tcPr>
          <w:p>
            <w:pPr>
              <w:pStyle w:val="TableParagraph"/>
              <w:spacing w:before="3"/>
              <w:jc w:val="left"/>
              <w:rPr>
                <w:sz w:val="21"/>
              </w:rPr>
            </w:pPr>
          </w:p>
          <w:p>
            <w:pPr>
              <w:pStyle w:val="TableParagraph"/>
              <w:ind w:left="24"/>
              <w:rPr>
                <w:rFonts w:ascii="Times New Roman"/>
                <w:sz w:val="24"/>
              </w:rPr>
            </w:pPr>
            <w:r>
              <w:rPr>
                <w:rFonts w:ascii="Times New Roman"/>
                <w:w w:val="99"/>
                <w:sz w:val="24"/>
              </w:rPr>
              <w:t>/</w:t>
            </w:r>
          </w:p>
        </w:tc>
      </w:tr>
    </w:tbl>
    <w:p>
      <w:pPr>
        <w:pStyle w:val="BodyText"/>
        <w:spacing w:before="81"/>
        <w:ind w:left="211"/>
      </w:pPr>
      <w:r>
        <w:rPr>
          <w:spacing w:val="-4"/>
        </w:rPr>
        <w:t>注：日等效最大操作量和操作方式见《电离辐射防护与辐射源安全基本标准》</w:t>
      </w:r>
      <w:r>
        <w:rPr/>
        <w:t>（</w:t>
      </w:r>
      <w:r>
        <w:rPr>
          <w:rFonts w:ascii="Times New Roman" w:eastAsia="Times New Roman"/>
          <w:w w:val="99"/>
        </w:rPr>
        <w:t>G</w:t>
      </w:r>
      <w:r>
        <w:rPr>
          <w:rFonts w:ascii="Times New Roman" w:eastAsia="Times New Roman"/>
          <w:w w:val="99"/>
        </w:rPr>
        <w:t>B</w:t>
      </w:r>
      <w:r>
        <w:rPr>
          <w:rFonts w:ascii="Times New Roman" w:eastAsia="Times New Roman"/>
        </w:rPr>
        <w:t>18871-200</w:t>
      </w:r>
      <w:r>
        <w:rPr>
          <w:rFonts w:ascii="Times New Roman" w:eastAsia="Times New Roman"/>
          <w:spacing w:val="-1"/>
        </w:rPr>
        <w:t>2</w:t>
      </w:r>
      <w:r>
        <w:rPr>
          <w:spacing w:val="-120"/>
        </w:rPr>
        <w:t>）</w:t>
      </w:r>
      <w:r>
        <w:rPr/>
        <w:t>。</w:t>
      </w:r>
    </w:p>
    <w:p>
      <w:pPr>
        <w:spacing w:after="0"/>
        <w:sectPr>
          <w:footerReference w:type="default" r:id="rId6"/>
          <w:pgSz w:w="16840" w:h="11910" w:orient="landscape"/>
          <w:pgMar w:footer="964" w:header="0" w:top="1100" w:bottom="1160" w:left="1320" w:right="1320"/>
          <w:pgNumType w:start="8"/>
        </w:sectPr>
      </w:pPr>
    </w:p>
    <w:p>
      <w:pPr>
        <w:pStyle w:val="BodyText"/>
        <w:rPr>
          <w:sz w:val="20"/>
        </w:rPr>
      </w:pPr>
    </w:p>
    <w:p>
      <w:pPr>
        <w:pStyle w:val="BodyText"/>
        <w:rPr>
          <w:sz w:val="20"/>
        </w:rPr>
      </w:pPr>
    </w:p>
    <w:p>
      <w:pPr>
        <w:pStyle w:val="Heading1"/>
        <w:spacing w:before="215"/>
        <w:ind w:left="211"/>
      </w:pPr>
      <w:r>
        <w:rPr/>
        <w:t>表 4 射线装置</w:t>
      </w:r>
      <w:r>
        <w:rPr>
          <w:w w:val="50"/>
        </w:rPr>
        <w:t> </w:t>
      </w:r>
    </w:p>
    <w:p>
      <w:pPr>
        <w:spacing w:before="265"/>
        <w:ind w:left="211" w:right="0" w:firstLine="0"/>
        <w:jc w:val="left"/>
        <w:rPr>
          <w:sz w:val="28"/>
        </w:rPr>
      </w:pPr>
      <w:r>
        <w:rPr>
          <w:sz w:val="28"/>
        </w:rPr>
        <w:t>（一）加速器：包括医用、工农业、科研、教学等用途的各种类型加速器</w:t>
      </w:r>
    </w:p>
    <w:p>
      <w:pPr>
        <w:pStyle w:val="BodyText"/>
        <w:spacing w:before="5"/>
        <w:rPr>
          <w:sz w:val="1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1502"/>
        <w:gridCol w:w="1276"/>
        <w:gridCol w:w="990"/>
        <w:gridCol w:w="1134"/>
        <w:gridCol w:w="1556"/>
        <w:gridCol w:w="1700"/>
        <w:gridCol w:w="1983"/>
        <w:gridCol w:w="1131"/>
        <w:gridCol w:w="1369"/>
        <w:gridCol w:w="683"/>
      </w:tblGrid>
      <w:tr>
        <w:trPr>
          <w:trHeight w:val="935" w:hRule="atLeast"/>
        </w:trPr>
        <w:tc>
          <w:tcPr>
            <w:tcW w:w="619" w:type="dxa"/>
          </w:tcPr>
          <w:p>
            <w:pPr>
              <w:pStyle w:val="TableParagraph"/>
              <w:spacing w:before="6"/>
              <w:jc w:val="left"/>
              <w:rPr>
                <w:sz w:val="24"/>
              </w:rPr>
            </w:pPr>
          </w:p>
          <w:p>
            <w:pPr>
              <w:pStyle w:val="TableParagraph"/>
              <w:ind w:left="49" w:right="40"/>
              <w:rPr>
                <w:sz w:val="24"/>
              </w:rPr>
            </w:pPr>
            <w:r>
              <w:rPr>
                <w:sz w:val="24"/>
              </w:rPr>
              <w:t>序号</w:t>
            </w:r>
          </w:p>
        </w:tc>
        <w:tc>
          <w:tcPr>
            <w:tcW w:w="1502" w:type="dxa"/>
          </w:tcPr>
          <w:p>
            <w:pPr>
              <w:pStyle w:val="TableParagraph"/>
              <w:spacing w:before="6"/>
              <w:jc w:val="left"/>
              <w:rPr>
                <w:sz w:val="24"/>
              </w:rPr>
            </w:pPr>
          </w:p>
          <w:p>
            <w:pPr>
              <w:pStyle w:val="TableParagraph"/>
              <w:ind w:left="491" w:right="481"/>
              <w:rPr>
                <w:sz w:val="24"/>
              </w:rPr>
            </w:pPr>
            <w:r>
              <w:rPr>
                <w:sz w:val="24"/>
              </w:rPr>
              <w:t>名称</w:t>
            </w:r>
          </w:p>
        </w:tc>
        <w:tc>
          <w:tcPr>
            <w:tcW w:w="1276" w:type="dxa"/>
          </w:tcPr>
          <w:p>
            <w:pPr>
              <w:pStyle w:val="TableParagraph"/>
              <w:spacing w:before="6"/>
              <w:jc w:val="left"/>
              <w:rPr>
                <w:sz w:val="24"/>
              </w:rPr>
            </w:pPr>
          </w:p>
          <w:p>
            <w:pPr>
              <w:pStyle w:val="TableParagraph"/>
              <w:ind w:left="14" w:right="8"/>
              <w:rPr>
                <w:sz w:val="24"/>
              </w:rPr>
            </w:pPr>
            <w:r>
              <w:rPr>
                <w:sz w:val="24"/>
              </w:rPr>
              <w:t>类别</w:t>
            </w:r>
          </w:p>
        </w:tc>
        <w:tc>
          <w:tcPr>
            <w:tcW w:w="990" w:type="dxa"/>
          </w:tcPr>
          <w:p>
            <w:pPr>
              <w:pStyle w:val="TableParagraph"/>
              <w:spacing w:before="6"/>
              <w:jc w:val="left"/>
              <w:rPr>
                <w:sz w:val="24"/>
              </w:rPr>
            </w:pPr>
          </w:p>
          <w:p>
            <w:pPr>
              <w:pStyle w:val="TableParagraph"/>
              <w:ind w:left="235" w:right="224"/>
              <w:rPr>
                <w:sz w:val="24"/>
              </w:rPr>
            </w:pPr>
            <w:r>
              <w:rPr>
                <w:sz w:val="24"/>
              </w:rPr>
              <w:t>数量</w:t>
            </w:r>
          </w:p>
        </w:tc>
        <w:tc>
          <w:tcPr>
            <w:tcW w:w="1134" w:type="dxa"/>
          </w:tcPr>
          <w:p>
            <w:pPr>
              <w:pStyle w:val="TableParagraph"/>
              <w:spacing w:before="6"/>
              <w:jc w:val="left"/>
              <w:rPr>
                <w:sz w:val="24"/>
              </w:rPr>
            </w:pPr>
          </w:p>
          <w:p>
            <w:pPr>
              <w:pStyle w:val="TableParagraph"/>
              <w:ind w:left="65" w:right="52"/>
              <w:rPr>
                <w:sz w:val="24"/>
              </w:rPr>
            </w:pPr>
            <w:r>
              <w:rPr>
                <w:sz w:val="24"/>
              </w:rPr>
              <w:t>型号</w:t>
            </w:r>
          </w:p>
        </w:tc>
        <w:tc>
          <w:tcPr>
            <w:tcW w:w="1556" w:type="dxa"/>
          </w:tcPr>
          <w:p>
            <w:pPr>
              <w:pStyle w:val="TableParagraph"/>
              <w:spacing w:before="6"/>
              <w:jc w:val="left"/>
              <w:rPr>
                <w:sz w:val="24"/>
              </w:rPr>
            </w:pPr>
          </w:p>
          <w:p>
            <w:pPr>
              <w:pStyle w:val="TableParagraph"/>
              <w:ind w:left="281" w:right="265"/>
              <w:rPr>
                <w:sz w:val="24"/>
              </w:rPr>
            </w:pPr>
            <w:r>
              <w:rPr>
                <w:sz w:val="24"/>
              </w:rPr>
              <w:t>加速粒子</w:t>
            </w:r>
          </w:p>
        </w:tc>
        <w:tc>
          <w:tcPr>
            <w:tcW w:w="1700" w:type="dxa"/>
          </w:tcPr>
          <w:p>
            <w:pPr>
              <w:pStyle w:val="TableParagraph"/>
              <w:spacing w:before="81"/>
              <w:ind w:left="374"/>
              <w:jc w:val="left"/>
              <w:rPr>
                <w:sz w:val="24"/>
              </w:rPr>
            </w:pPr>
            <w:r>
              <w:rPr>
                <w:sz w:val="24"/>
              </w:rPr>
              <w:t>最大能量</w:t>
            </w:r>
          </w:p>
          <w:p>
            <w:pPr>
              <w:pStyle w:val="TableParagraph"/>
              <w:spacing w:before="161"/>
              <w:ind w:left="367"/>
              <w:jc w:val="left"/>
              <w:rPr>
                <w:sz w:val="24"/>
              </w:rPr>
            </w:pPr>
            <w:r>
              <w:rPr>
                <w:sz w:val="24"/>
              </w:rPr>
              <w:t>（</w:t>
            </w:r>
            <w:r>
              <w:rPr>
                <w:rFonts w:ascii="Times New Roman" w:eastAsia="Times New Roman"/>
                <w:sz w:val="24"/>
              </w:rPr>
              <w:t>MeV</w:t>
            </w:r>
            <w:r>
              <w:rPr>
                <w:sz w:val="24"/>
              </w:rPr>
              <w:t>）</w:t>
            </w:r>
          </w:p>
        </w:tc>
        <w:tc>
          <w:tcPr>
            <w:tcW w:w="1983" w:type="dxa"/>
          </w:tcPr>
          <w:p>
            <w:pPr>
              <w:pStyle w:val="TableParagraph"/>
              <w:spacing w:before="81"/>
              <w:ind w:left="64"/>
              <w:jc w:val="left"/>
              <w:rPr>
                <w:rFonts w:ascii="Times New Roman" w:eastAsia="Times New Roman"/>
                <w:sz w:val="24"/>
              </w:rPr>
            </w:pPr>
            <w:r>
              <w:rPr>
                <w:sz w:val="24"/>
              </w:rPr>
              <w:t>额定电流（</w:t>
            </w:r>
            <w:r>
              <w:rPr>
                <w:rFonts w:ascii="Times New Roman" w:eastAsia="Times New Roman"/>
                <w:sz w:val="24"/>
              </w:rPr>
              <w:t>mA</w:t>
            </w:r>
            <w:r>
              <w:rPr>
                <w:sz w:val="24"/>
              </w:rPr>
              <w:t>）</w:t>
            </w:r>
            <w:r>
              <w:rPr>
                <w:rFonts w:ascii="Times New Roman" w:eastAsia="Times New Roman"/>
                <w:sz w:val="24"/>
              </w:rPr>
              <w:t>/</w:t>
            </w:r>
          </w:p>
          <w:p>
            <w:pPr>
              <w:pStyle w:val="TableParagraph"/>
              <w:spacing w:before="161"/>
              <w:ind w:left="158"/>
              <w:jc w:val="left"/>
              <w:rPr>
                <w:sz w:val="24"/>
              </w:rPr>
            </w:pPr>
            <w:r>
              <w:rPr>
                <w:sz w:val="24"/>
              </w:rPr>
              <w:t>剂量率（</w:t>
            </w:r>
            <w:r>
              <w:rPr>
                <w:rFonts w:ascii="Times New Roman" w:eastAsia="Times New Roman"/>
                <w:sz w:val="24"/>
              </w:rPr>
              <w:t>Gy/h</w:t>
            </w:r>
            <w:r>
              <w:rPr>
                <w:sz w:val="24"/>
              </w:rPr>
              <w:t>）</w:t>
            </w:r>
          </w:p>
        </w:tc>
        <w:tc>
          <w:tcPr>
            <w:tcW w:w="1131" w:type="dxa"/>
          </w:tcPr>
          <w:p>
            <w:pPr>
              <w:pStyle w:val="TableParagraph"/>
              <w:spacing w:before="6"/>
              <w:jc w:val="left"/>
              <w:rPr>
                <w:sz w:val="24"/>
              </w:rPr>
            </w:pPr>
          </w:p>
          <w:p>
            <w:pPr>
              <w:pStyle w:val="TableParagraph"/>
              <w:ind w:left="314" w:right="286"/>
              <w:rPr>
                <w:sz w:val="24"/>
              </w:rPr>
            </w:pPr>
            <w:r>
              <w:rPr>
                <w:sz w:val="24"/>
              </w:rPr>
              <w:t>用途</w:t>
            </w:r>
          </w:p>
        </w:tc>
        <w:tc>
          <w:tcPr>
            <w:tcW w:w="1369" w:type="dxa"/>
          </w:tcPr>
          <w:p>
            <w:pPr>
              <w:pStyle w:val="TableParagraph"/>
              <w:spacing w:before="6"/>
              <w:jc w:val="left"/>
              <w:rPr>
                <w:sz w:val="24"/>
              </w:rPr>
            </w:pPr>
          </w:p>
          <w:p>
            <w:pPr>
              <w:pStyle w:val="TableParagraph"/>
              <w:ind w:left="194" w:right="165"/>
              <w:rPr>
                <w:sz w:val="24"/>
              </w:rPr>
            </w:pPr>
            <w:r>
              <w:rPr>
                <w:sz w:val="24"/>
              </w:rPr>
              <w:t>工作场所</w:t>
            </w:r>
          </w:p>
        </w:tc>
        <w:tc>
          <w:tcPr>
            <w:tcW w:w="683" w:type="dxa"/>
          </w:tcPr>
          <w:p>
            <w:pPr>
              <w:pStyle w:val="TableParagraph"/>
              <w:spacing w:before="6"/>
              <w:jc w:val="left"/>
              <w:rPr>
                <w:sz w:val="24"/>
              </w:rPr>
            </w:pPr>
          </w:p>
          <w:p>
            <w:pPr>
              <w:pStyle w:val="TableParagraph"/>
              <w:ind w:left="92" w:right="60"/>
              <w:rPr>
                <w:sz w:val="24"/>
              </w:rPr>
            </w:pPr>
            <w:r>
              <w:rPr>
                <w:sz w:val="24"/>
              </w:rPr>
              <w:t>备注</w:t>
            </w:r>
          </w:p>
        </w:tc>
      </w:tr>
      <w:tr>
        <w:trPr>
          <w:trHeight w:val="633" w:hRule="atLeast"/>
        </w:trPr>
        <w:tc>
          <w:tcPr>
            <w:tcW w:w="619" w:type="dxa"/>
          </w:tcPr>
          <w:p>
            <w:pPr>
              <w:pStyle w:val="TableParagraph"/>
              <w:spacing w:before="179"/>
              <w:ind w:left="9"/>
              <w:rPr>
                <w:rFonts w:ascii="Times New Roman"/>
                <w:sz w:val="24"/>
              </w:rPr>
            </w:pPr>
            <w:r>
              <w:rPr>
                <w:rFonts w:ascii="Times New Roman"/>
                <w:w w:val="99"/>
                <w:sz w:val="24"/>
              </w:rPr>
              <w:t>/</w:t>
            </w:r>
          </w:p>
        </w:tc>
        <w:tc>
          <w:tcPr>
            <w:tcW w:w="1502" w:type="dxa"/>
          </w:tcPr>
          <w:p>
            <w:pPr>
              <w:pStyle w:val="TableParagraph"/>
              <w:spacing w:before="179"/>
              <w:ind w:left="8"/>
              <w:rPr>
                <w:rFonts w:ascii="Times New Roman"/>
                <w:sz w:val="24"/>
              </w:rPr>
            </w:pPr>
            <w:r>
              <w:rPr>
                <w:rFonts w:ascii="Times New Roman"/>
                <w:w w:val="99"/>
                <w:sz w:val="24"/>
              </w:rPr>
              <w:t>/</w:t>
            </w:r>
          </w:p>
        </w:tc>
        <w:tc>
          <w:tcPr>
            <w:tcW w:w="1276" w:type="dxa"/>
          </w:tcPr>
          <w:p>
            <w:pPr>
              <w:pStyle w:val="TableParagraph"/>
              <w:spacing w:before="179"/>
              <w:ind w:left="3"/>
              <w:rPr>
                <w:rFonts w:ascii="Times New Roman"/>
                <w:sz w:val="24"/>
              </w:rPr>
            </w:pPr>
            <w:r>
              <w:rPr>
                <w:rFonts w:ascii="Times New Roman"/>
                <w:w w:val="99"/>
                <w:sz w:val="24"/>
              </w:rPr>
              <w:t>/</w:t>
            </w:r>
          </w:p>
        </w:tc>
        <w:tc>
          <w:tcPr>
            <w:tcW w:w="990" w:type="dxa"/>
          </w:tcPr>
          <w:p>
            <w:pPr>
              <w:pStyle w:val="TableParagraph"/>
              <w:spacing w:before="179"/>
              <w:ind w:left="11"/>
              <w:rPr>
                <w:rFonts w:ascii="Times New Roman"/>
                <w:sz w:val="24"/>
              </w:rPr>
            </w:pPr>
            <w:r>
              <w:rPr>
                <w:rFonts w:ascii="Times New Roman"/>
                <w:w w:val="99"/>
                <w:sz w:val="24"/>
              </w:rPr>
              <w:t>/</w:t>
            </w:r>
          </w:p>
        </w:tc>
        <w:tc>
          <w:tcPr>
            <w:tcW w:w="1134" w:type="dxa"/>
          </w:tcPr>
          <w:p>
            <w:pPr>
              <w:pStyle w:val="TableParagraph"/>
              <w:spacing w:before="179"/>
              <w:ind w:left="13"/>
              <w:rPr>
                <w:rFonts w:ascii="Times New Roman"/>
                <w:sz w:val="24"/>
              </w:rPr>
            </w:pPr>
            <w:r>
              <w:rPr>
                <w:rFonts w:ascii="Times New Roman"/>
                <w:w w:val="99"/>
                <w:sz w:val="24"/>
              </w:rPr>
              <w:t>/</w:t>
            </w:r>
          </w:p>
        </w:tc>
        <w:tc>
          <w:tcPr>
            <w:tcW w:w="1556" w:type="dxa"/>
          </w:tcPr>
          <w:p>
            <w:pPr>
              <w:pStyle w:val="TableParagraph"/>
              <w:spacing w:before="179"/>
              <w:ind w:left="14"/>
              <w:rPr>
                <w:rFonts w:ascii="Times New Roman"/>
                <w:sz w:val="24"/>
              </w:rPr>
            </w:pPr>
            <w:r>
              <w:rPr>
                <w:rFonts w:ascii="Times New Roman"/>
                <w:w w:val="99"/>
                <w:sz w:val="24"/>
              </w:rPr>
              <w:t>/</w:t>
            </w:r>
          </w:p>
        </w:tc>
        <w:tc>
          <w:tcPr>
            <w:tcW w:w="1700" w:type="dxa"/>
          </w:tcPr>
          <w:p>
            <w:pPr>
              <w:pStyle w:val="TableParagraph"/>
              <w:spacing w:before="179"/>
              <w:ind w:left="16"/>
              <w:rPr>
                <w:rFonts w:ascii="Times New Roman"/>
                <w:sz w:val="24"/>
              </w:rPr>
            </w:pPr>
            <w:r>
              <w:rPr>
                <w:rFonts w:ascii="Times New Roman"/>
                <w:w w:val="99"/>
                <w:sz w:val="24"/>
              </w:rPr>
              <w:t>/</w:t>
            </w:r>
          </w:p>
        </w:tc>
        <w:tc>
          <w:tcPr>
            <w:tcW w:w="1983" w:type="dxa"/>
          </w:tcPr>
          <w:p>
            <w:pPr>
              <w:pStyle w:val="TableParagraph"/>
              <w:spacing w:before="179"/>
              <w:ind w:left="23"/>
              <w:rPr>
                <w:rFonts w:ascii="Times New Roman"/>
                <w:sz w:val="24"/>
              </w:rPr>
            </w:pPr>
            <w:r>
              <w:rPr>
                <w:rFonts w:ascii="Times New Roman"/>
                <w:w w:val="99"/>
                <w:sz w:val="24"/>
              </w:rPr>
              <w:t>/</w:t>
            </w:r>
          </w:p>
        </w:tc>
        <w:tc>
          <w:tcPr>
            <w:tcW w:w="1131" w:type="dxa"/>
          </w:tcPr>
          <w:p>
            <w:pPr>
              <w:pStyle w:val="TableParagraph"/>
              <w:spacing w:before="179"/>
              <w:ind w:left="28"/>
              <w:rPr>
                <w:rFonts w:ascii="Times New Roman"/>
                <w:sz w:val="24"/>
              </w:rPr>
            </w:pPr>
            <w:r>
              <w:rPr>
                <w:rFonts w:ascii="Times New Roman"/>
                <w:w w:val="99"/>
                <w:sz w:val="24"/>
              </w:rPr>
              <w:t>/</w:t>
            </w:r>
          </w:p>
        </w:tc>
        <w:tc>
          <w:tcPr>
            <w:tcW w:w="1369" w:type="dxa"/>
          </w:tcPr>
          <w:p>
            <w:pPr>
              <w:pStyle w:val="TableParagraph"/>
              <w:spacing w:before="179"/>
              <w:ind w:left="28"/>
              <w:rPr>
                <w:rFonts w:ascii="Times New Roman"/>
                <w:sz w:val="24"/>
              </w:rPr>
            </w:pPr>
            <w:r>
              <w:rPr>
                <w:rFonts w:ascii="Times New Roman"/>
                <w:w w:val="99"/>
                <w:sz w:val="24"/>
              </w:rPr>
              <w:t>/</w:t>
            </w:r>
          </w:p>
        </w:tc>
        <w:tc>
          <w:tcPr>
            <w:tcW w:w="683" w:type="dxa"/>
          </w:tcPr>
          <w:p>
            <w:pPr>
              <w:pStyle w:val="TableParagraph"/>
              <w:spacing w:before="179"/>
              <w:ind w:left="29"/>
              <w:rPr>
                <w:rFonts w:ascii="Times New Roman"/>
                <w:sz w:val="24"/>
              </w:rPr>
            </w:pPr>
            <w:r>
              <w:rPr>
                <w:rFonts w:ascii="Times New Roman"/>
                <w:w w:val="99"/>
                <w:sz w:val="24"/>
              </w:rPr>
              <w:t>/</w:t>
            </w:r>
          </w:p>
        </w:tc>
      </w:tr>
    </w:tbl>
    <w:p>
      <w:pPr>
        <w:pStyle w:val="BodyText"/>
        <w:rPr>
          <w:sz w:val="34"/>
        </w:rPr>
      </w:pPr>
    </w:p>
    <w:p>
      <w:pPr>
        <w:pStyle w:val="BodyText"/>
        <w:rPr>
          <w:sz w:val="25"/>
        </w:rPr>
      </w:pPr>
    </w:p>
    <w:p>
      <w:pPr>
        <w:spacing w:before="1"/>
        <w:ind w:left="211" w:right="0" w:firstLine="0"/>
        <w:jc w:val="left"/>
        <w:rPr>
          <w:sz w:val="28"/>
        </w:rPr>
      </w:pPr>
      <w:r>
        <w:rPr>
          <w:sz w:val="28"/>
        </w:rPr>
        <w:t>（二）</w:t>
      </w:r>
      <w:r>
        <w:rPr>
          <w:rFonts w:ascii="Times New Roman" w:eastAsia="Times New Roman"/>
          <w:sz w:val="28"/>
        </w:rPr>
        <w:t>X </w:t>
      </w:r>
      <w:r>
        <w:rPr>
          <w:sz w:val="28"/>
        </w:rPr>
        <w:t>射线机，包括工业探伤、医用诊断和治疗、分析等用途</w:t>
      </w:r>
    </w:p>
    <w:p>
      <w:pPr>
        <w:pStyle w:val="BodyText"/>
        <w:spacing w:before="4"/>
        <w:rPr>
          <w:sz w:val="1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19"/>
        <w:gridCol w:w="1219"/>
        <w:gridCol w:w="991"/>
        <w:gridCol w:w="993"/>
        <w:gridCol w:w="1559"/>
        <w:gridCol w:w="2267"/>
        <w:gridCol w:w="2267"/>
        <w:gridCol w:w="1273"/>
        <w:gridCol w:w="1700"/>
        <w:gridCol w:w="1059"/>
      </w:tblGrid>
      <w:tr>
        <w:trPr>
          <w:trHeight w:val="602" w:hRule="atLeast"/>
        </w:trPr>
        <w:tc>
          <w:tcPr>
            <w:tcW w:w="619" w:type="dxa"/>
          </w:tcPr>
          <w:p>
            <w:pPr>
              <w:pStyle w:val="TableParagraph"/>
              <w:spacing w:before="148"/>
              <w:ind w:left="49" w:right="40"/>
              <w:rPr>
                <w:sz w:val="24"/>
              </w:rPr>
            </w:pPr>
            <w:r>
              <w:rPr>
                <w:sz w:val="24"/>
              </w:rPr>
              <w:t>序号</w:t>
            </w:r>
          </w:p>
        </w:tc>
        <w:tc>
          <w:tcPr>
            <w:tcW w:w="1219" w:type="dxa"/>
          </w:tcPr>
          <w:p>
            <w:pPr>
              <w:pStyle w:val="TableParagraph"/>
              <w:spacing w:before="148"/>
              <w:ind w:left="349" w:right="339"/>
              <w:rPr>
                <w:sz w:val="24"/>
              </w:rPr>
            </w:pPr>
            <w:r>
              <w:rPr>
                <w:sz w:val="24"/>
              </w:rPr>
              <w:t>名称</w:t>
            </w:r>
          </w:p>
        </w:tc>
        <w:tc>
          <w:tcPr>
            <w:tcW w:w="991" w:type="dxa"/>
          </w:tcPr>
          <w:p>
            <w:pPr>
              <w:pStyle w:val="TableParagraph"/>
              <w:spacing w:before="148"/>
              <w:ind w:left="234" w:right="226"/>
              <w:rPr>
                <w:sz w:val="24"/>
              </w:rPr>
            </w:pPr>
            <w:r>
              <w:rPr>
                <w:sz w:val="24"/>
              </w:rPr>
              <w:t>类别</w:t>
            </w:r>
          </w:p>
        </w:tc>
        <w:tc>
          <w:tcPr>
            <w:tcW w:w="993" w:type="dxa"/>
          </w:tcPr>
          <w:p>
            <w:pPr>
              <w:pStyle w:val="TableParagraph"/>
              <w:spacing w:before="148"/>
              <w:ind w:left="236" w:right="225"/>
              <w:rPr>
                <w:sz w:val="24"/>
              </w:rPr>
            </w:pPr>
            <w:r>
              <w:rPr>
                <w:sz w:val="24"/>
              </w:rPr>
              <w:t>数量</w:t>
            </w:r>
          </w:p>
        </w:tc>
        <w:tc>
          <w:tcPr>
            <w:tcW w:w="1559" w:type="dxa"/>
          </w:tcPr>
          <w:p>
            <w:pPr>
              <w:pStyle w:val="TableParagraph"/>
              <w:spacing w:before="148"/>
              <w:ind w:left="46" w:right="38"/>
              <w:rPr>
                <w:sz w:val="24"/>
              </w:rPr>
            </w:pPr>
            <w:r>
              <w:rPr>
                <w:sz w:val="24"/>
              </w:rPr>
              <w:t>型号</w:t>
            </w:r>
          </w:p>
        </w:tc>
        <w:tc>
          <w:tcPr>
            <w:tcW w:w="2267" w:type="dxa"/>
          </w:tcPr>
          <w:p>
            <w:pPr>
              <w:pStyle w:val="TableParagraph"/>
              <w:spacing w:before="148"/>
              <w:ind w:left="91" w:right="84"/>
              <w:rPr>
                <w:sz w:val="24"/>
              </w:rPr>
            </w:pPr>
            <w:r>
              <w:rPr>
                <w:sz w:val="24"/>
              </w:rPr>
              <w:t>最大管电压（</w:t>
            </w:r>
            <w:r>
              <w:rPr>
                <w:rFonts w:ascii="Times New Roman" w:eastAsia="Times New Roman"/>
                <w:sz w:val="24"/>
              </w:rPr>
              <w:t>kV</w:t>
            </w:r>
            <w:r>
              <w:rPr>
                <w:sz w:val="24"/>
              </w:rPr>
              <w:t>）</w:t>
            </w:r>
          </w:p>
        </w:tc>
        <w:tc>
          <w:tcPr>
            <w:tcW w:w="2267" w:type="dxa"/>
          </w:tcPr>
          <w:p>
            <w:pPr>
              <w:pStyle w:val="TableParagraph"/>
              <w:spacing w:before="148"/>
              <w:ind w:left="93" w:right="84"/>
              <w:rPr>
                <w:sz w:val="24"/>
              </w:rPr>
            </w:pPr>
            <w:r>
              <w:rPr>
                <w:sz w:val="24"/>
              </w:rPr>
              <w:t>最大管电流（</w:t>
            </w:r>
            <w:r>
              <w:rPr>
                <w:rFonts w:ascii="Times New Roman" w:eastAsia="Times New Roman"/>
                <w:sz w:val="24"/>
              </w:rPr>
              <w:t>mA</w:t>
            </w:r>
            <w:r>
              <w:rPr>
                <w:sz w:val="24"/>
              </w:rPr>
              <w:t>）</w:t>
            </w:r>
          </w:p>
        </w:tc>
        <w:tc>
          <w:tcPr>
            <w:tcW w:w="1273" w:type="dxa"/>
          </w:tcPr>
          <w:p>
            <w:pPr>
              <w:pStyle w:val="TableParagraph"/>
              <w:spacing w:before="148"/>
              <w:ind w:left="139" w:right="123"/>
              <w:rPr>
                <w:sz w:val="24"/>
              </w:rPr>
            </w:pPr>
            <w:r>
              <w:rPr>
                <w:sz w:val="24"/>
              </w:rPr>
              <w:t>用途</w:t>
            </w:r>
          </w:p>
        </w:tc>
        <w:tc>
          <w:tcPr>
            <w:tcW w:w="1700" w:type="dxa"/>
          </w:tcPr>
          <w:p>
            <w:pPr>
              <w:pStyle w:val="TableParagraph"/>
              <w:spacing w:before="148"/>
              <w:ind w:left="143" w:right="124"/>
              <w:rPr>
                <w:sz w:val="24"/>
              </w:rPr>
            </w:pPr>
            <w:r>
              <w:rPr>
                <w:sz w:val="24"/>
              </w:rPr>
              <w:t>工作场所</w:t>
            </w:r>
          </w:p>
        </w:tc>
        <w:tc>
          <w:tcPr>
            <w:tcW w:w="1059" w:type="dxa"/>
          </w:tcPr>
          <w:p>
            <w:pPr>
              <w:pStyle w:val="TableParagraph"/>
              <w:spacing w:before="148"/>
              <w:ind w:left="37" w:right="12"/>
              <w:rPr>
                <w:sz w:val="24"/>
              </w:rPr>
            </w:pPr>
            <w:r>
              <w:rPr>
                <w:sz w:val="24"/>
              </w:rPr>
              <w:t>备注</w:t>
            </w:r>
          </w:p>
        </w:tc>
      </w:tr>
      <w:tr>
        <w:trPr>
          <w:trHeight w:val="623" w:hRule="atLeast"/>
        </w:trPr>
        <w:tc>
          <w:tcPr>
            <w:tcW w:w="619" w:type="dxa"/>
          </w:tcPr>
          <w:p>
            <w:pPr>
              <w:pStyle w:val="TableParagraph"/>
              <w:spacing w:before="174"/>
              <w:ind w:left="9"/>
              <w:rPr>
                <w:rFonts w:ascii="Times New Roman"/>
                <w:sz w:val="24"/>
              </w:rPr>
            </w:pPr>
            <w:r>
              <w:rPr>
                <w:rFonts w:ascii="Times New Roman"/>
                <w:sz w:val="24"/>
              </w:rPr>
              <w:t>1</w:t>
            </w:r>
          </w:p>
        </w:tc>
        <w:tc>
          <w:tcPr>
            <w:tcW w:w="1219" w:type="dxa"/>
          </w:tcPr>
          <w:p>
            <w:pPr>
              <w:pStyle w:val="TableParagraph"/>
              <w:spacing w:before="174"/>
              <w:ind w:left="349" w:right="339"/>
              <w:rPr>
                <w:rFonts w:ascii="Times New Roman"/>
                <w:sz w:val="24"/>
              </w:rPr>
            </w:pPr>
            <w:r>
              <w:rPr>
                <w:rFonts w:ascii="Times New Roman"/>
                <w:sz w:val="24"/>
              </w:rPr>
              <w:t>DSA</w:t>
            </w:r>
          </w:p>
        </w:tc>
        <w:tc>
          <w:tcPr>
            <w:tcW w:w="991" w:type="dxa"/>
          </w:tcPr>
          <w:p>
            <w:pPr>
              <w:pStyle w:val="TableParagraph"/>
              <w:spacing w:before="174"/>
              <w:ind w:left="9"/>
              <w:rPr>
                <w:rFonts w:ascii="Times New Roman" w:hAnsi="Times New Roman"/>
                <w:sz w:val="24"/>
              </w:rPr>
            </w:pPr>
            <w:r>
              <w:rPr>
                <w:rFonts w:ascii="Times New Roman" w:hAnsi="Times New Roman"/>
                <w:w w:val="99"/>
                <w:sz w:val="24"/>
              </w:rPr>
              <w:t>Ⅱ</w:t>
            </w:r>
          </w:p>
        </w:tc>
        <w:tc>
          <w:tcPr>
            <w:tcW w:w="993" w:type="dxa"/>
          </w:tcPr>
          <w:p>
            <w:pPr>
              <w:pStyle w:val="TableParagraph"/>
              <w:spacing w:before="158"/>
              <w:ind w:left="233" w:right="225"/>
              <w:rPr>
                <w:sz w:val="24"/>
              </w:rPr>
            </w:pPr>
            <w:r>
              <w:rPr>
                <w:rFonts w:ascii="Times New Roman" w:eastAsia="Times New Roman"/>
                <w:sz w:val="24"/>
              </w:rPr>
              <w:t>1 </w:t>
            </w:r>
            <w:r>
              <w:rPr>
                <w:sz w:val="24"/>
              </w:rPr>
              <w:t>台</w:t>
            </w:r>
          </w:p>
        </w:tc>
        <w:tc>
          <w:tcPr>
            <w:tcW w:w="1559" w:type="dxa"/>
          </w:tcPr>
          <w:p>
            <w:pPr>
              <w:pStyle w:val="TableParagraph"/>
              <w:spacing w:before="174"/>
              <w:ind w:left="46" w:right="42"/>
              <w:rPr>
                <w:rFonts w:ascii="Times New Roman"/>
                <w:sz w:val="24"/>
              </w:rPr>
            </w:pPr>
            <w:r>
              <w:rPr>
                <w:rFonts w:ascii="Times New Roman"/>
                <w:sz w:val="24"/>
              </w:rPr>
              <w:t>Azurion7 M20</w:t>
            </w:r>
          </w:p>
        </w:tc>
        <w:tc>
          <w:tcPr>
            <w:tcW w:w="2267" w:type="dxa"/>
          </w:tcPr>
          <w:p>
            <w:pPr>
              <w:pStyle w:val="TableParagraph"/>
              <w:spacing w:before="174"/>
              <w:ind w:left="91" w:right="84"/>
              <w:rPr>
                <w:rFonts w:ascii="Times New Roman"/>
                <w:sz w:val="24"/>
              </w:rPr>
            </w:pPr>
            <w:r>
              <w:rPr>
                <w:rFonts w:ascii="Times New Roman"/>
                <w:sz w:val="24"/>
              </w:rPr>
              <w:t>125</w:t>
            </w:r>
          </w:p>
        </w:tc>
        <w:tc>
          <w:tcPr>
            <w:tcW w:w="2267" w:type="dxa"/>
          </w:tcPr>
          <w:p>
            <w:pPr>
              <w:pStyle w:val="TableParagraph"/>
              <w:spacing w:before="174"/>
              <w:ind w:left="93" w:right="84"/>
              <w:rPr>
                <w:rFonts w:ascii="Times New Roman"/>
                <w:sz w:val="24"/>
              </w:rPr>
            </w:pPr>
            <w:r>
              <w:rPr>
                <w:rFonts w:ascii="Times New Roman"/>
                <w:sz w:val="24"/>
              </w:rPr>
              <w:t>1000</w:t>
            </w:r>
          </w:p>
        </w:tc>
        <w:tc>
          <w:tcPr>
            <w:tcW w:w="1273" w:type="dxa"/>
          </w:tcPr>
          <w:p>
            <w:pPr>
              <w:pStyle w:val="TableParagraph"/>
              <w:spacing w:before="158"/>
              <w:ind w:left="139" w:right="123"/>
              <w:rPr>
                <w:sz w:val="24"/>
              </w:rPr>
            </w:pPr>
            <w:r>
              <w:rPr>
                <w:sz w:val="24"/>
              </w:rPr>
              <w:t>介入诊断</w:t>
            </w:r>
          </w:p>
        </w:tc>
        <w:tc>
          <w:tcPr>
            <w:tcW w:w="1700" w:type="dxa"/>
          </w:tcPr>
          <w:p>
            <w:pPr>
              <w:pStyle w:val="TableParagraph"/>
              <w:spacing w:before="2"/>
              <w:ind w:left="254"/>
              <w:jc w:val="left"/>
              <w:rPr>
                <w:sz w:val="24"/>
              </w:rPr>
            </w:pPr>
            <w:r>
              <w:rPr>
                <w:spacing w:val="-15"/>
                <w:sz w:val="24"/>
              </w:rPr>
              <w:t>行政楼 </w:t>
            </w:r>
            <w:r>
              <w:rPr>
                <w:rFonts w:ascii="Times New Roman" w:eastAsia="Times New Roman"/>
                <w:sz w:val="24"/>
              </w:rPr>
              <w:t>1 </w:t>
            </w:r>
            <w:r>
              <w:rPr>
                <w:sz w:val="24"/>
              </w:rPr>
              <w:t>楼</w:t>
            </w:r>
          </w:p>
          <w:p>
            <w:pPr>
              <w:pStyle w:val="TableParagraph"/>
              <w:spacing w:line="289" w:lineRule="exact" w:before="4"/>
              <w:ind w:left="254"/>
              <w:jc w:val="left"/>
              <w:rPr>
                <w:sz w:val="24"/>
              </w:rPr>
            </w:pPr>
            <w:r>
              <w:rPr>
                <w:sz w:val="24"/>
              </w:rPr>
              <w:t>介入治疗室</w:t>
            </w:r>
          </w:p>
        </w:tc>
        <w:tc>
          <w:tcPr>
            <w:tcW w:w="1059" w:type="dxa"/>
          </w:tcPr>
          <w:p>
            <w:pPr>
              <w:pStyle w:val="TableParagraph"/>
              <w:spacing w:before="158"/>
              <w:ind w:left="37" w:right="12"/>
              <w:rPr>
                <w:sz w:val="24"/>
              </w:rPr>
            </w:pPr>
            <w:r>
              <w:rPr>
                <w:sz w:val="24"/>
              </w:rPr>
              <w:t>本次环评</w:t>
            </w:r>
          </w:p>
        </w:tc>
      </w:tr>
      <w:tr>
        <w:trPr>
          <w:trHeight w:val="602" w:hRule="atLeast"/>
        </w:trPr>
        <w:tc>
          <w:tcPr>
            <w:tcW w:w="619" w:type="dxa"/>
          </w:tcPr>
          <w:p>
            <w:pPr>
              <w:pStyle w:val="TableParagraph"/>
              <w:spacing w:before="164"/>
              <w:ind w:left="9"/>
              <w:rPr>
                <w:rFonts w:ascii="Times New Roman"/>
                <w:sz w:val="24"/>
              </w:rPr>
            </w:pPr>
            <w:r>
              <w:rPr>
                <w:rFonts w:ascii="Times New Roman"/>
                <w:w w:val="99"/>
                <w:sz w:val="24"/>
              </w:rPr>
              <w:t>/</w:t>
            </w:r>
          </w:p>
        </w:tc>
        <w:tc>
          <w:tcPr>
            <w:tcW w:w="1219" w:type="dxa"/>
          </w:tcPr>
          <w:p>
            <w:pPr>
              <w:pStyle w:val="TableParagraph"/>
              <w:spacing w:before="164"/>
              <w:ind w:left="8"/>
              <w:rPr>
                <w:rFonts w:ascii="Times New Roman"/>
                <w:sz w:val="24"/>
              </w:rPr>
            </w:pPr>
            <w:r>
              <w:rPr>
                <w:rFonts w:ascii="Times New Roman"/>
                <w:w w:val="99"/>
                <w:sz w:val="24"/>
              </w:rPr>
              <w:t>/</w:t>
            </w:r>
          </w:p>
        </w:tc>
        <w:tc>
          <w:tcPr>
            <w:tcW w:w="991" w:type="dxa"/>
          </w:tcPr>
          <w:p>
            <w:pPr>
              <w:pStyle w:val="TableParagraph"/>
              <w:spacing w:before="164"/>
              <w:ind w:left="5"/>
              <w:rPr>
                <w:rFonts w:ascii="Times New Roman"/>
                <w:sz w:val="24"/>
              </w:rPr>
            </w:pPr>
            <w:r>
              <w:rPr>
                <w:rFonts w:ascii="Times New Roman"/>
                <w:w w:val="99"/>
                <w:sz w:val="24"/>
              </w:rPr>
              <w:t>/</w:t>
            </w:r>
          </w:p>
        </w:tc>
        <w:tc>
          <w:tcPr>
            <w:tcW w:w="993" w:type="dxa"/>
          </w:tcPr>
          <w:p>
            <w:pPr>
              <w:pStyle w:val="TableParagraph"/>
              <w:spacing w:before="164"/>
              <w:ind w:left="12"/>
              <w:rPr>
                <w:rFonts w:ascii="Times New Roman"/>
                <w:sz w:val="24"/>
              </w:rPr>
            </w:pPr>
            <w:r>
              <w:rPr>
                <w:rFonts w:ascii="Times New Roman"/>
                <w:w w:val="99"/>
                <w:sz w:val="24"/>
              </w:rPr>
              <w:t>/</w:t>
            </w:r>
          </w:p>
        </w:tc>
        <w:tc>
          <w:tcPr>
            <w:tcW w:w="1559" w:type="dxa"/>
          </w:tcPr>
          <w:p>
            <w:pPr>
              <w:pStyle w:val="TableParagraph"/>
              <w:spacing w:before="164"/>
              <w:ind w:left="7"/>
              <w:rPr>
                <w:rFonts w:ascii="Times New Roman"/>
                <w:sz w:val="24"/>
              </w:rPr>
            </w:pPr>
            <w:r>
              <w:rPr>
                <w:rFonts w:ascii="Times New Roman"/>
                <w:w w:val="99"/>
                <w:sz w:val="24"/>
              </w:rPr>
              <w:t>/</w:t>
            </w:r>
          </w:p>
        </w:tc>
        <w:tc>
          <w:tcPr>
            <w:tcW w:w="2267" w:type="dxa"/>
          </w:tcPr>
          <w:p>
            <w:pPr>
              <w:pStyle w:val="TableParagraph"/>
              <w:spacing w:before="164"/>
              <w:ind w:left="6"/>
              <w:rPr>
                <w:rFonts w:ascii="Times New Roman"/>
                <w:sz w:val="24"/>
              </w:rPr>
            </w:pPr>
            <w:r>
              <w:rPr>
                <w:rFonts w:ascii="Times New Roman"/>
                <w:w w:val="99"/>
                <w:sz w:val="24"/>
              </w:rPr>
              <w:t>/</w:t>
            </w:r>
          </w:p>
        </w:tc>
        <w:tc>
          <w:tcPr>
            <w:tcW w:w="2267" w:type="dxa"/>
          </w:tcPr>
          <w:p>
            <w:pPr>
              <w:pStyle w:val="TableParagraph"/>
              <w:spacing w:before="164"/>
              <w:ind w:left="6"/>
              <w:rPr>
                <w:rFonts w:ascii="Times New Roman"/>
                <w:sz w:val="24"/>
              </w:rPr>
            </w:pPr>
            <w:r>
              <w:rPr>
                <w:rFonts w:ascii="Times New Roman"/>
                <w:w w:val="99"/>
                <w:sz w:val="24"/>
              </w:rPr>
              <w:t>/</w:t>
            </w:r>
          </w:p>
        </w:tc>
        <w:tc>
          <w:tcPr>
            <w:tcW w:w="1273" w:type="dxa"/>
          </w:tcPr>
          <w:p>
            <w:pPr>
              <w:pStyle w:val="TableParagraph"/>
              <w:spacing w:before="164"/>
              <w:ind w:left="17"/>
              <w:rPr>
                <w:rFonts w:ascii="Times New Roman"/>
                <w:sz w:val="24"/>
              </w:rPr>
            </w:pPr>
            <w:r>
              <w:rPr>
                <w:rFonts w:ascii="Times New Roman"/>
                <w:w w:val="99"/>
                <w:sz w:val="24"/>
              </w:rPr>
              <w:t>/</w:t>
            </w:r>
          </w:p>
        </w:tc>
        <w:tc>
          <w:tcPr>
            <w:tcW w:w="1700" w:type="dxa"/>
          </w:tcPr>
          <w:p>
            <w:pPr>
              <w:pStyle w:val="TableParagraph"/>
              <w:spacing w:before="164"/>
              <w:ind w:left="19"/>
              <w:rPr>
                <w:rFonts w:ascii="Times New Roman"/>
                <w:sz w:val="24"/>
              </w:rPr>
            </w:pPr>
            <w:r>
              <w:rPr>
                <w:rFonts w:ascii="Times New Roman"/>
                <w:w w:val="99"/>
                <w:sz w:val="24"/>
              </w:rPr>
              <w:t>/</w:t>
            </w:r>
          </w:p>
        </w:tc>
        <w:tc>
          <w:tcPr>
            <w:tcW w:w="1059" w:type="dxa"/>
          </w:tcPr>
          <w:p>
            <w:pPr>
              <w:pStyle w:val="TableParagraph"/>
              <w:spacing w:before="164"/>
              <w:ind w:left="24"/>
              <w:rPr>
                <w:rFonts w:ascii="Times New Roman"/>
                <w:sz w:val="24"/>
              </w:rPr>
            </w:pPr>
            <w:r>
              <w:rPr>
                <w:rFonts w:ascii="Times New Roman"/>
                <w:w w:val="99"/>
                <w:sz w:val="24"/>
              </w:rPr>
              <w:t>/</w:t>
            </w:r>
          </w:p>
        </w:tc>
      </w:tr>
    </w:tbl>
    <w:p>
      <w:pPr>
        <w:pStyle w:val="BodyText"/>
        <w:rPr>
          <w:sz w:val="36"/>
        </w:rPr>
      </w:pPr>
    </w:p>
    <w:p>
      <w:pPr>
        <w:spacing w:before="295"/>
        <w:ind w:left="211" w:right="0" w:firstLine="0"/>
        <w:jc w:val="left"/>
        <w:rPr>
          <w:sz w:val="28"/>
        </w:rPr>
      </w:pPr>
      <w:r>
        <w:rPr>
          <w:sz w:val="28"/>
        </w:rPr>
        <w:t>（三）中子发生器，包括中子管，但不包括放射性中子源</w:t>
      </w:r>
    </w:p>
    <w:p>
      <w:pPr>
        <w:pStyle w:val="BodyText"/>
        <w:spacing w:before="4" w:after="1"/>
        <w:rPr>
          <w:sz w:val="1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8"/>
        <w:gridCol w:w="795"/>
        <w:gridCol w:w="709"/>
        <w:gridCol w:w="735"/>
        <w:gridCol w:w="685"/>
        <w:gridCol w:w="1275"/>
        <w:gridCol w:w="1561"/>
        <w:gridCol w:w="1067"/>
        <w:gridCol w:w="933"/>
        <w:gridCol w:w="1043"/>
        <w:gridCol w:w="1281"/>
        <w:gridCol w:w="1279"/>
        <w:gridCol w:w="1281"/>
        <w:gridCol w:w="851"/>
      </w:tblGrid>
      <w:tr>
        <w:trPr>
          <w:trHeight w:val="462" w:hRule="atLeast"/>
        </w:trPr>
        <w:tc>
          <w:tcPr>
            <w:tcW w:w="478" w:type="dxa"/>
            <w:vMerge w:val="restart"/>
          </w:tcPr>
          <w:p>
            <w:pPr>
              <w:pStyle w:val="TableParagraph"/>
              <w:spacing w:line="242" w:lineRule="auto" w:before="158"/>
              <w:ind w:left="117" w:right="108"/>
              <w:jc w:val="left"/>
              <w:rPr>
                <w:sz w:val="24"/>
              </w:rPr>
            </w:pPr>
            <w:r>
              <w:rPr>
                <w:sz w:val="24"/>
              </w:rPr>
              <w:t>序号</w:t>
            </w:r>
          </w:p>
        </w:tc>
        <w:tc>
          <w:tcPr>
            <w:tcW w:w="795" w:type="dxa"/>
            <w:vMerge w:val="restart"/>
          </w:tcPr>
          <w:p>
            <w:pPr>
              <w:pStyle w:val="TableParagraph"/>
              <w:spacing w:before="6"/>
              <w:jc w:val="left"/>
              <w:rPr>
                <w:sz w:val="24"/>
              </w:rPr>
            </w:pPr>
          </w:p>
          <w:p>
            <w:pPr>
              <w:pStyle w:val="TableParagraph"/>
              <w:ind w:left="155"/>
              <w:jc w:val="left"/>
              <w:rPr>
                <w:sz w:val="24"/>
              </w:rPr>
            </w:pPr>
            <w:r>
              <w:rPr>
                <w:sz w:val="24"/>
              </w:rPr>
              <w:t>名称</w:t>
            </w:r>
          </w:p>
        </w:tc>
        <w:tc>
          <w:tcPr>
            <w:tcW w:w="709" w:type="dxa"/>
            <w:vMerge w:val="restart"/>
          </w:tcPr>
          <w:p>
            <w:pPr>
              <w:pStyle w:val="TableParagraph"/>
              <w:spacing w:before="6"/>
              <w:jc w:val="left"/>
              <w:rPr>
                <w:sz w:val="24"/>
              </w:rPr>
            </w:pPr>
          </w:p>
          <w:p>
            <w:pPr>
              <w:pStyle w:val="TableParagraph"/>
              <w:ind w:left="111"/>
              <w:jc w:val="left"/>
              <w:rPr>
                <w:sz w:val="24"/>
              </w:rPr>
            </w:pPr>
            <w:r>
              <w:rPr>
                <w:sz w:val="24"/>
              </w:rPr>
              <w:t>类别</w:t>
            </w:r>
          </w:p>
        </w:tc>
        <w:tc>
          <w:tcPr>
            <w:tcW w:w="735" w:type="dxa"/>
            <w:vMerge w:val="restart"/>
          </w:tcPr>
          <w:p>
            <w:pPr>
              <w:pStyle w:val="TableParagraph"/>
              <w:spacing w:before="6"/>
              <w:jc w:val="left"/>
              <w:rPr>
                <w:sz w:val="24"/>
              </w:rPr>
            </w:pPr>
          </w:p>
          <w:p>
            <w:pPr>
              <w:pStyle w:val="TableParagraph"/>
              <w:ind w:left="125"/>
              <w:jc w:val="left"/>
              <w:rPr>
                <w:sz w:val="24"/>
              </w:rPr>
            </w:pPr>
            <w:r>
              <w:rPr>
                <w:sz w:val="24"/>
              </w:rPr>
              <w:t>数量</w:t>
            </w:r>
          </w:p>
        </w:tc>
        <w:tc>
          <w:tcPr>
            <w:tcW w:w="685" w:type="dxa"/>
            <w:vMerge w:val="restart"/>
          </w:tcPr>
          <w:p>
            <w:pPr>
              <w:pStyle w:val="TableParagraph"/>
              <w:spacing w:before="6"/>
              <w:jc w:val="left"/>
              <w:rPr>
                <w:sz w:val="24"/>
              </w:rPr>
            </w:pPr>
          </w:p>
          <w:p>
            <w:pPr>
              <w:pStyle w:val="TableParagraph"/>
              <w:ind w:left="97"/>
              <w:jc w:val="left"/>
              <w:rPr>
                <w:sz w:val="24"/>
              </w:rPr>
            </w:pPr>
            <w:r>
              <w:rPr>
                <w:sz w:val="24"/>
              </w:rPr>
              <w:t>型号</w:t>
            </w:r>
          </w:p>
        </w:tc>
        <w:tc>
          <w:tcPr>
            <w:tcW w:w="1275" w:type="dxa"/>
            <w:vMerge w:val="restart"/>
          </w:tcPr>
          <w:p>
            <w:pPr>
              <w:pStyle w:val="TableParagraph"/>
              <w:spacing w:before="158"/>
              <w:ind w:left="12" w:right="12"/>
              <w:rPr>
                <w:sz w:val="24"/>
              </w:rPr>
            </w:pPr>
            <w:r>
              <w:rPr>
                <w:sz w:val="24"/>
              </w:rPr>
              <w:t>最大管电压</w:t>
            </w:r>
          </w:p>
          <w:p>
            <w:pPr>
              <w:pStyle w:val="TableParagraph"/>
              <w:spacing w:before="4"/>
              <w:ind w:left="12" w:right="12"/>
              <w:rPr>
                <w:sz w:val="24"/>
              </w:rPr>
            </w:pPr>
            <w:r>
              <w:rPr>
                <w:sz w:val="24"/>
              </w:rPr>
              <w:t>（</w:t>
            </w:r>
            <w:r>
              <w:rPr>
                <w:rFonts w:ascii="Times New Roman" w:eastAsia="Times New Roman"/>
                <w:sz w:val="24"/>
              </w:rPr>
              <w:t>kV</w:t>
            </w:r>
            <w:r>
              <w:rPr>
                <w:sz w:val="24"/>
              </w:rPr>
              <w:t>）</w:t>
            </w:r>
          </w:p>
        </w:tc>
        <w:tc>
          <w:tcPr>
            <w:tcW w:w="1561" w:type="dxa"/>
            <w:vMerge w:val="restart"/>
          </w:tcPr>
          <w:p>
            <w:pPr>
              <w:pStyle w:val="TableParagraph"/>
              <w:spacing w:before="158"/>
              <w:ind w:left="154" w:right="156"/>
              <w:rPr>
                <w:sz w:val="24"/>
              </w:rPr>
            </w:pPr>
            <w:r>
              <w:rPr>
                <w:sz w:val="24"/>
              </w:rPr>
              <w:t>最大靶电流</w:t>
            </w:r>
          </w:p>
          <w:p>
            <w:pPr>
              <w:pStyle w:val="TableParagraph"/>
              <w:spacing w:before="4"/>
              <w:ind w:left="154" w:right="156"/>
              <w:rPr>
                <w:sz w:val="24"/>
              </w:rPr>
            </w:pPr>
            <w:r>
              <w:rPr>
                <w:sz w:val="24"/>
              </w:rPr>
              <w:t>（</w:t>
            </w:r>
            <w:r>
              <w:rPr>
                <w:rFonts w:ascii="Times New Roman" w:hAnsi="Times New Roman" w:eastAsia="Times New Roman"/>
                <w:sz w:val="24"/>
              </w:rPr>
              <w:t>μA</w:t>
            </w:r>
            <w:r>
              <w:rPr>
                <w:sz w:val="24"/>
              </w:rPr>
              <w:t>）</w:t>
            </w:r>
          </w:p>
        </w:tc>
        <w:tc>
          <w:tcPr>
            <w:tcW w:w="1067" w:type="dxa"/>
            <w:vMerge w:val="restart"/>
          </w:tcPr>
          <w:p>
            <w:pPr>
              <w:pStyle w:val="TableParagraph"/>
              <w:spacing w:before="158"/>
              <w:ind w:left="47"/>
              <w:jc w:val="left"/>
              <w:rPr>
                <w:sz w:val="24"/>
              </w:rPr>
            </w:pPr>
            <w:r>
              <w:rPr>
                <w:sz w:val="24"/>
              </w:rPr>
              <w:t>中子强度</w:t>
            </w:r>
          </w:p>
          <w:p>
            <w:pPr>
              <w:pStyle w:val="TableParagraph"/>
              <w:spacing w:before="4"/>
              <w:ind w:left="145"/>
              <w:jc w:val="left"/>
              <w:rPr>
                <w:sz w:val="24"/>
              </w:rPr>
            </w:pPr>
            <w:r>
              <w:rPr>
                <w:sz w:val="24"/>
              </w:rPr>
              <w:t>（</w:t>
            </w:r>
            <w:r>
              <w:rPr>
                <w:rFonts w:ascii="Times New Roman" w:eastAsia="Times New Roman"/>
                <w:sz w:val="24"/>
              </w:rPr>
              <w:t>n/s</w:t>
            </w:r>
            <w:r>
              <w:rPr>
                <w:sz w:val="24"/>
              </w:rPr>
              <w:t>）</w:t>
            </w:r>
          </w:p>
        </w:tc>
        <w:tc>
          <w:tcPr>
            <w:tcW w:w="933" w:type="dxa"/>
            <w:vMerge w:val="restart"/>
          </w:tcPr>
          <w:p>
            <w:pPr>
              <w:pStyle w:val="TableParagraph"/>
              <w:spacing w:before="6"/>
              <w:jc w:val="left"/>
              <w:rPr>
                <w:sz w:val="24"/>
              </w:rPr>
            </w:pPr>
          </w:p>
          <w:p>
            <w:pPr>
              <w:pStyle w:val="TableParagraph"/>
              <w:ind w:left="216"/>
              <w:jc w:val="left"/>
              <w:rPr>
                <w:sz w:val="24"/>
              </w:rPr>
            </w:pPr>
            <w:r>
              <w:rPr>
                <w:sz w:val="24"/>
              </w:rPr>
              <w:t>用途</w:t>
            </w:r>
          </w:p>
        </w:tc>
        <w:tc>
          <w:tcPr>
            <w:tcW w:w="1043" w:type="dxa"/>
            <w:vMerge w:val="restart"/>
          </w:tcPr>
          <w:p>
            <w:pPr>
              <w:pStyle w:val="TableParagraph"/>
              <w:spacing w:before="6"/>
              <w:jc w:val="left"/>
              <w:rPr>
                <w:sz w:val="24"/>
              </w:rPr>
            </w:pPr>
          </w:p>
          <w:p>
            <w:pPr>
              <w:pStyle w:val="TableParagraph"/>
              <w:ind w:left="32"/>
              <w:jc w:val="left"/>
              <w:rPr>
                <w:sz w:val="24"/>
              </w:rPr>
            </w:pPr>
            <w:r>
              <w:rPr>
                <w:sz w:val="24"/>
              </w:rPr>
              <w:t>工作场所</w:t>
            </w:r>
          </w:p>
        </w:tc>
        <w:tc>
          <w:tcPr>
            <w:tcW w:w="3841" w:type="dxa"/>
            <w:gridSpan w:val="3"/>
          </w:tcPr>
          <w:p>
            <w:pPr>
              <w:pStyle w:val="TableParagraph"/>
              <w:spacing w:before="79"/>
              <w:ind w:left="1406" w:right="1424"/>
              <w:rPr>
                <w:sz w:val="24"/>
              </w:rPr>
            </w:pPr>
            <w:r>
              <w:rPr>
                <w:sz w:val="24"/>
              </w:rPr>
              <w:t>氚靶情况</w:t>
            </w:r>
          </w:p>
        </w:tc>
        <w:tc>
          <w:tcPr>
            <w:tcW w:w="851" w:type="dxa"/>
            <w:vMerge w:val="restart"/>
          </w:tcPr>
          <w:p>
            <w:pPr>
              <w:pStyle w:val="TableParagraph"/>
              <w:spacing w:before="6"/>
              <w:jc w:val="left"/>
              <w:rPr>
                <w:sz w:val="24"/>
              </w:rPr>
            </w:pPr>
          </w:p>
          <w:p>
            <w:pPr>
              <w:pStyle w:val="TableParagraph"/>
              <w:ind w:left="166"/>
              <w:jc w:val="left"/>
              <w:rPr>
                <w:sz w:val="24"/>
              </w:rPr>
            </w:pPr>
            <w:r>
              <w:rPr>
                <w:sz w:val="24"/>
              </w:rPr>
              <w:t>备注</w:t>
            </w:r>
          </w:p>
        </w:tc>
      </w:tr>
      <w:tr>
        <w:trPr>
          <w:trHeight w:val="462" w:hRule="atLeast"/>
        </w:trPr>
        <w:tc>
          <w:tcPr>
            <w:tcW w:w="478" w:type="dxa"/>
            <w:vMerge/>
            <w:tcBorders>
              <w:top w:val="nil"/>
            </w:tcBorders>
          </w:tcPr>
          <w:p>
            <w:pPr>
              <w:rPr>
                <w:sz w:val="2"/>
                <w:szCs w:val="2"/>
              </w:rPr>
            </w:pPr>
          </w:p>
        </w:tc>
        <w:tc>
          <w:tcPr>
            <w:tcW w:w="795" w:type="dxa"/>
            <w:vMerge/>
            <w:tcBorders>
              <w:top w:val="nil"/>
            </w:tcBorders>
          </w:tcPr>
          <w:p>
            <w:pPr>
              <w:rPr>
                <w:sz w:val="2"/>
                <w:szCs w:val="2"/>
              </w:rPr>
            </w:pPr>
          </w:p>
        </w:tc>
        <w:tc>
          <w:tcPr>
            <w:tcW w:w="709" w:type="dxa"/>
            <w:vMerge/>
            <w:tcBorders>
              <w:top w:val="nil"/>
            </w:tcBorders>
          </w:tcPr>
          <w:p>
            <w:pPr>
              <w:rPr>
                <w:sz w:val="2"/>
                <w:szCs w:val="2"/>
              </w:rPr>
            </w:pPr>
          </w:p>
        </w:tc>
        <w:tc>
          <w:tcPr>
            <w:tcW w:w="735" w:type="dxa"/>
            <w:vMerge/>
            <w:tcBorders>
              <w:top w:val="nil"/>
            </w:tcBorders>
          </w:tcPr>
          <w:p>
            <w:pPr>
              <w:rPr>
                <w:sz w:val="2"/>
                <w:szCs w:val="2"/>
              </w:rPr>
            </w:pPr>
          </w:p>
        </w:tc>
        <w:tc>
          <w:tcPr>
            <w:tcW w:w="685" w:type="dxa"/>
            <w:vMerge/>
            <w:tcBorders>
              <w:top w:val="nil"/>
            </w:tcBorders>
          </w:tcPr>
          <w:p>
            <w:pPr>
              <w:rPr>
                <w:sz w:val="2"/>
                <w:szCs w:val="2"/>
              </w:rPr>
            </w:pPr>
          </w:p>
        </w:tc>
        <w:tc>
          <w:tcPr>
            <w:tcW w:w="1275" w:type="dxa"/>
            <w:vMerge/>
            <w:tcBorders>
              <w:top w:val="nil"/>
            </w:tcBorders>
          </w:tcPr>
          <w:p>
            <w:pPr>
              <w:rPr>
                <w:sz w:val="2"/>
                <w:szCs w:val="2"/>
              </w:rPr>
            </w:pPr>
          </w:p>
        </w:tc>
        <w:tc>
          <w:tcPr>
            <w:tcW w:w="1561" w:type="dxa"/>
            <w:vMerge/>
            <w:tcBorders>
              <w:top w:val="nil"/>
            </w:tcBorders>
          </w:tcPr>
          <w:p>
            <w:pPr>
              <w:rPr>
                <w:sz w:val="2"/>
                <w:szCs w:val="2"/>
              </w:rPr>
            </w:pPr>
          </w:p>
        </w:tc>
        <w:tc>
          <w:tcPr>
            <w:tcW w:w="1067" w:type="dxa"/>
            <w:vMerge/>
            <w:tcBorders>
              <w:top w:val="nil"/>
            </w:tcBorders>
          </w:tcPr>
          <w:p>
            <w:pPr>
              <w:rPr>
                <w:sz w:val="2"/>
                <w:szCs w:val="2"/>
              </w:rPr>
            </w:pPr>
          </w:p>
        </w:tc>
        <w:tc>
          <w:tcPr>
            <w:tcW w:w="933" w:type="dxa"/>
            <w:vMerge/>
            <w:tcBorders>
              <w:top w:val="nil"/>
            </w:tcBorders>
          </w:tcPr>
          <w:p>
            <w:pPr>
              <w:rPr>
                <w:sz w:val="2"/>
                <w:szCs w:val="2"/>
              </w:rPr>
            </w:pPr>
          </w:p>
        </w:tc>
        <w:tc>
          <w:tcPr>
            <w:tcW w:w="1043" w:type="dxa"/>
            <w:vMerge/>
            <w:tcBorders>
              <w:top w:val="nil"/>
            </w:tcBorders>
          </w:tcPr>
          <w:p>
            <w:pPr>
              <w:rPr>
                <w:sz w:val="2"/>
                <w:szCs w:val="2"/>
              </w:rPr>
            </w:pPr>
          </w:p>
        </w:tc>
        <w:tc>
          <w:tcPr>
            <w:tcW w:w="1281" w:type="dxa"/>
          </w:tcPr>
          <w:p>
            <w:pPr>
              <w:pStyle w:val="TableParagraph"/>
              <w:spacing w:before="79"/>
              <w:ind w:right="14"/>
              <w:rPr>
                <w:sz w:val="24"/>
              </w:rPr>
            </w:pPr>
            <w:r>
              <w:rPr>
                <w:sz w:val="24"/>
              </w:rPr>
              <w:t>活度（</w:t>
            </w:r>
            <w:r>
              <w:rPr>
                <w:rFonts w:ascii="Times New Roman" w:eastAsia="Times New Roman"/>
                <w:sz w:val="24"/>
              </w:rPr>
              <w:t>Bq</w:t>
            </w:r>
            <w:r>
              <w:rPr>
                <w:sz w:val="24"/>
              </w:rPr>
              <w:t>）</w:t>
            </w:r>
          </w:p>
        </w:tc>
        <w:tc>
          <w:tcPr>
            <w:tcW w:w="1279" w:type="dxa"/>
          </w:tcPr>
          <w:p>
            <w:pPr>
              <w:pStyle w:val="TableParagraph"/>
              <w:spacing w:before="79"/>
              <w:ind w:left="125" w:right="143"/>
              <w:rPr>
                <w:sz w:val="24"/>
              </w:rPr>
            </w:pPr>
            <w:r>
              <w:rPr>
                <w:sz w:val="24"/>
              </w:rPr>
              <w:t>贮存方式</w:t>
            </w:r>
          </w:p>
        </w:tc>
        <w:tc>
          <w:tcPr>
            <w:tcW w:w="1281" w:type="dxa"/>
          </w:tcPr>
          <w:p>
            <w:pPr>
              <w:pStyle w:val="TableParagraph"/>
              <w:spacing w:before="79"/>
              <w:ind w:right="25"/>
              <w:rPr>
                <w:sz w:val="24"/>
              </w:rPr>
            </w:pPr>
            <w:r>
              <w:rPr>
                <w:sz w:val="24"/>
              </w:rPr>
              <w:t>数量</w:t>
            </w:r>
          </w:p>
        </w:tc>
        <w:tc>
          <w:tcPr>
            <w:tcW w:w="851" w:type="dxa"/>
            <w:vMerge/>
            <w:tcBorders>
              <w:top w:val="nil"/>
            </w:tcBorders>
          </w:tcPr>
          <w:p>
            <w:pPr>
              <w:rPr>
                <w:sz w:val="2"/>
                <w:szCs w:val="2"/>
              </w:rPr>
            </w:pPr>
          </w:p>
        </w:tc>
      </w:tr>
      <w:tr>
        <w:trPr>
          <w:trHeight w:val="525" w:hRule="atLeast"/>
        </w:trPr>
        <w:tc>
          <w:tcPr>
            <w:tcW w:w="478" w:type="dxa"/>
          </w:tcPr>
          <w:p>
            <w:pPr>
              <w:pStyle w:val="TableParagraph"/>
              <w:spacing w:before="126"/>
              <w:ind w:left="6"/>
              <w:rPr>
                <w:rFonts w:ascii="Times New Roman"/>
                <w:sz w:val="24"/>
              </w:rPr>
            </w:pPr>
            <w:r>
              <w:rPr>
                <w:rFonts w:ascii="Times New Roman"/>
                <w:w w:val="99"/>
                <w:sz w:val="24"/>
              </w:rPr>
              <w:t>/</w:t>
            </w:r>
          </w:p>
        </w:tc>
        <w:tc>
          <w:tcPr>
            <w:tcW w:w="795" w:type="dxa"/>
          </w:tcPr>
          <w:p>
            <w:pPr>
              <w:pStyle w:val="TableParagraph"/>
              <w:spacing w:before="126"/>
              <w:ind w:left="3"/>
              <w:rPr>
                <w:rFonts w:ascii="Times New Roman"/>
                <w:sz w:val="24"/>
              </w:rPr>
            </w:pPr>
            <w:r>
              <w:rPr>
                <w:rFonts w:ascii="Times New Roman"/>
                <w:w w:val="99"/>
                <w:sz w:val="24"/>
              </w:rPr>
              <w:t>/</w:t>
            </w:r>
          </w:p>
        </w:tc>
        <w:tc>
          <w:tcPr>
            <w:tcW w:w="709" w:type="dxa"/>
          </w:tcPr>
          <w:p>
            <w:pPr>
              <w:pStyle w:val="TableParagraph"/>
              <w:spacing w:before="126"/>
              <w:ind w:left="1"/>
              <w:rPr>
                <w:rFonts w:ascii="Times New Roman"/>
                <w:sz w:val="24"/>
              </w:rPr>
            </w:pPr>
            <w:r>
              <w:rPr>
                <w:rFonts w:ascii="Times New Roman"/>
                <w:w w:val="99"/>
                <w:sz w:val="24"/>
              </w:rPr>
              <w:t>/</w:t>
            </w:r>
          </w:p>
        </w:tc>
        <w:tc>
          <w:tcPr>
            <w:tcW w:w="735" w:type="dxa"/>
          </w:tcPr>
          <w:p>
            <w:pPr>
              <w:pStyle w:val="TableParagraph"/>
              <w:spacing w:before="126"/>
              <w:ind w:left="5"/>
              <w:rPr>
                <w:rFonts w:ascii="Times New Roman"/>
                <w:sz w:val="24"/>
              </w:rPr>
            </w:pPr>
            <w:r>
              <w:rPr>
                <w:rFonts w:ascii="Times New Roman"/>
                <w:w w:val="99"/>
                <w:sz w:val="24"/>
              </w:rPr>
              <w:t>/</w:t>
            </w:r>
          </w:p>
        </w:tc>
        <w:tc>
          <w:tcPr>
            <w:tcW w:w="685" w:type="dxa"/>
          </w:tcPr>
          <w:p>
            <w:pPr>
              <w:pStyle w:val="TableParagraph"/>
              <w:spacing w:before="126"/>
              <w:rPr>
                <w:rFonts w:ascii="Times New Roman"/>
                <w:sz w:val="24"/>
              </w:rPr>
            </w:pPr>
            <w:r>
              <w:rPr>
                <w:rFonts w:ascii="Times New Roman"/>
                <w:w w:val="99"/>
                <w:sz w:val="24"/>
              </w:rPr>
              <w:t>/</w:t>
            </w:r>
          </w:p>
        </w:tc>
        <w:tc>
          <w:tcPr>
            <w:tcW w:w="1275" w:type="dxa"/>
          </w:tcPr>
          <w:p>
            <w:pPr>
              <w:pStyle w:val="TableParagraph"/>
              <w:spacing w:before="126"/>
              <w:rPr>
                <w:rFonts w:ascii="Times New Roman"/>
                <w:sz w:val="24"/>
              </w:rPr>
            </w:pPr>
            <w:r>
              <w:rPr>
                <w:rFonts w:ascii="Times New Roman"/>
                <w:w w:val="99"/>
                <w:sz w:val="24"/>
              </w:rPr>
              <w:t>/</w:t>
            </w:r>
          </w:p>
        </w:tc>
        <w:tc>
          <w:tcPr>
            <w:tcW w:w="1561" w:type="dxa"/>
          </w:tcPr>
          <w:p>
            <w:pPr>
              <w:pStyle w:val="TableParagraph"/>
              <w:spacing w:before="126"/>
              <w:ind w:right="5"/>
              <w:rPr>
                <w:rFonts w:ascii="Times New Roman"/>
                <w:sz w:val="24"/>
              </w:rPr>
            </w:pPr>
            <w:r>
              <w:rPr>
                <w:rFonts w:ascii="Times New Roman"/>
                <w:w w:val="99"/>
                <w:sz w:val="24"/>
              </w:rPr>
              <w:t>/</w:t>
            </w:r>
          </w:p>
        </w:tc>
        <w:tc>
          <w:tcPr>
            <w:tcW w:w="1067" w:type="dxa"/>
          </w:tcPr>
          <w:p>
            <w:pPr>
              <w:pStyle w:val="TableParagraph"/>
              <w:spacing w:before="126"/>
              <w:ind w:right="1"/>
              <w:rPr>
                <w:rFonts w:ascii="Times New Roman"/>
                <w:sz w:val="24"/>
              </w:rPr>
            </w:pPr>
            <w:r>
              <w:rPr>
                <w:rFonts w:ascii="Times New Roman"/>
                <w:w w:val="99"/>
                <w:sz w:val="24"/>
              </w:rPr>
              <w:t>/</w:t>
            </w:r>
          </w:p>
        </w:tc>
        <w:tc>
          <w:tcPr>
            <w:tcW w:w="933" w:type="dxa"/>
          </w:tcPr>
          <w:p>
            <w:pPr>
              <w:pStyle w:val="TableParagraph"/>
              <w:spacing w:before="126"/>
              <w:ind w:right="8"/>
              <w:rPr>
                <w:rFonts w:ascii="Times New Roman"/>
                <w:sz w:val="24"/>
              </w:rPr>
            </w:pPr>
            <w:r>
              <w:rPr>
                <w:rFonts w:ascii="Times New Roman"/>
                <w:w w:val="99"/>
                <w:sz w:val="24"/>
              </w:rPr>
              <w:t>/</w:t>
            </w:r>
          </w:p>
        </w:tc>
        <w:tc>
          <w:tcPr>
            <w:tcW w:w="1043" w:type="dxa"/>
          </w:tcPr>
          <w:p>
            <w:pPr>
              <w:pStyle w:val="TableParagraph"/>
              <w:spacing w:before="126"/>
              <w:ind w:right="7"/>
              <w:rPr>
                <w:rFonts w:ascii="Times New Roman"/>
                <w:sz w:val="24"/>
              </w:rPr>
            </w:pPr>
            <w:r>
              <w:rPr>
                <w:rFonts w:ascii="Times New Roman"/>
                <w:w w:val="99"/>
                <w:sz w:val="24"/>
              </w:rPr>
              <w:t>/</w:t>
            </w:r>
          </w:p>
        </w:tc>
        <w:tc>
          <w:tcPr>
            <w:tcW w:w="1281" w:type="dxa"/>
          </w:tcPr>
          <w:p>
            <w:pPr>
              <w:pStyle w:val="TableParagraph"/>
              <w:spacing w:before="126"/>
              <w:ind w:right="14"/>
              <w:rPr>
                <w:rFonts w:ascii="Times New Roman"/>
                <w:sz w:val="24"/>
              </w:rPr>
            </w:pPr>
            <w:r>
              <w:rPr>
                <w:rFonts w:ascii="Times New Roman"/>
                <w:w w:val="99"/>
                <w:sz w:val="24"/>
              </w:rPr>
              <w:t>/</w:t>
            </w:r>
          </w:p>
        </w:tc>
        <w:tc>
          <w:tcPr>
            <w:tcW w:w="1279" w:type="dxa"/>
          </w:tcPr>
          <w:p>
            <w:pPr>
              <w:pStyle w:val="TableParagraph"/>
              <w:spacing w:before="126"/>
              <w:ind w:right="17"/>
              <w:rPr>
                <w:rFonts w:ascii="Times New Roman"/>
                <w:sz w:val="24"/>
              </w:rPr>
            </w:pPr>
            <w:r>
              <w:rPr>
                <w:rFonts w:ascii="Times New Roman"/>
                <w:w w:val="99"/>
                <w:sz w:val="24"/>
              </w:rPr>
              <w:t>/</w:t>
            </w:r>
          </w:p>
        </w:tc>
        <w:tc>
          <w:tcPr>
            <w:tcW w:w="1281" w:type="dxa"/>
          </w:tcPr>
          <w:p>
            <w:pPr>
              <w:pStyle w:val="TableParagraph"/>
              <w:spacing w:before="126"/>
              <w:ind w:right="24"/>
              <w:rPr>
                <w:rFonts w:ascii="Times New Roman"/>
                <w:sz w:val="24"/>
              </w:rPr>
            </w:pPr>
            <w:r>
              <w:rPr>
                <w:rFonts w:ascii="Times New Roman"/>
                <w:w w:val="99"/>
                <w:sz w:val="24"/>
              </w:rPr>
              <w:t>/</w:t>
            </w:r>
          </w:p>
        </w:tc>
        <w:tc>
          <w:tcPr>
            <w:tcW w:w="851" w:type="dxa"/>
          </w:tcPr>
          <w:p>
            <w:pPr>
              <w:pStyle w:val="TableParagraph"/>
              <w:spacing w:before="126"/>
              <w:ind w:right="26"/>
              <w:rPr>
                <w:rFonts w:ascii="Times New Roman"/>
                <w:sz w:val="24"/>
              </w:rPr>
            </w:pPr>
            <w:r>
              <w:rPr>
                <w:rFonts w:ascii="Times New Roman"/>
                <w:w w:val="99"/>
                <w:sz w:val="24"/>
              </w:rPr>
              <w:t>/</w:t>
            </w:r>
          </w:p>
        </w:tc>
      </w:tr>
    </w:tbl>
    <w:p>
      <w:pPr>
        <w:spacing w:after="0"/>
        <w:rPr>
          <w:rFonts w:ascii="Times New Roman"/>
          <w:sz w:val="24"/>
        </w:rPr>
        <w:sectPr>
          <w:pgSz w:w="16840" w:h="11910" w:orient="landscape"/>
          <w:pgMar w:header="0" w:footer="964" w:top="1100" w:bottom="1160" w:left="1320" w:right="1320"/>
        </w:sectPr>
      </w:pPr>
    </w:p>
    <w:p>
      <w:pPr>
        <w:pStyle w:val="BodyText"/>
        <w:rPr>
          <w:sz w:val="20"/>
        </w:rPr>
      </w:pPr>
    </w:p>
    <w:p>
      <w:pPr>
        <w:pStyle w:val="BodyText"/>
        <w:rPr>
          <w:sz w:val="20"/>
        </w:rPr>
      </w:pPr>
    </w:p>
    <w:p>
      <w:pPr>
        <w:spacing w:before="215"/>
        <w:ind w:left="211" w:right="0" w:firstLine="0"/>
        <w:jc w:val="left"/>
        <w:rPr>
          <w:sz w:val="28"/>
        </w:rPr>
      </w:pPr>
      <w:r>
        <w:rPr>
          <w:sz w:val="28"/>
        </w:rPr>
        <w:t>表 5 废弃物（重点是放射性废弃物）</w:t>
      </w:r>
      <w:r>
        <w:rPr>
          <w:w w:val="50"/>
          <w:sz w:val="28"/>
        </w:rPr>
        <w:t> </w:t>
      </w:r>
    </w:p>
    <w:p>
      <w:pPr>
        <w:pStyle w:val="BodyText"/>
        <w:spacing w:before="4" w:after="1"/>
        <w:rPr>
          <w:sz w:val="10"/>
        </w:rPr>
      </w:pPr>
    </w:p>
    <w:tbl>
      <w:tblPr>
        <w:tblW w:w="0" w:type="auto"/>
        <w:jc w:val="lef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8"/>
        <w:gridCol w:w="1276"/>
        <w:gridCol w:w="1274"/>
        <w:gridCol w:w="993"/>
        <w:gridCol w:w="1274"/>
        <w:gridCol w:w="1276"/>
        <w:gridCol w:w="1274"/>
        <w:gridCol w:w="1560"/>
        <w:gridCol w:w="3000"/>
      </w:tblGrid>
      <w:tr>
        <w:trPr>
          <w:trHeight w:val="484" w:hRule="atLeast"/>
        </w:trPr>
        <w:tc>
          <w:tcPr>
            <w:tcW w:w="1838" w:type="dxa"/>
          </w:tcPr>
          <w:p>
            <w:pPr>
              <w:pStyle w:val="TableParagraph"/>
              <w:spacing w:before="88"/>
              <w:ind w:right="667"/>
              <w:jc w:val="right"/>
              <w:rPr>
                <w:sz w:val="24"/>
              </w:rPr>
            </w:pPr>
            <w:r>
              <w:rPr>
                <w:sz w:val="24"/>
              </w:rPr>
              <w:t>名称</w:t>
            </w:r>
          </w:p>
        </w:tc>
        <w:tc>
          <w:tcPr>
            <w:tcW w:w="1276" w:type="dxa"/>
          </w:tcPr>
          <w:p>
            <w:pPr>
              <w:pStyle w:val="TableParagraph"/>
              <w:spacing w:before="88"/>
              <w:ind w:left="19" w:right="8"/>
              <w:rPr>
                <w:sz w:val="24"/>
              </w:rPr>
            </w:pPr>
            <w:r>
              <w:rPr>
                <w:sz w:val="24"/>
              </w:rPr>
              <w:t>状态</w:t>
            </w:r>
          </w:p>
        </w:tc>
        <w:tc>
          <w:tcPr>
            <w:tcW w:w="1274" w:type="dxa"/>
          </w:tcPr>
          <w:p>
            <w:pPr>
              <w:pStyle w:val="TableParagraph"/>
              <w:spacing w:before="88"/>
              <w:ind w:left="16" w:right="7"/>
              <w:rPr>
                <w:sz w:val="24"/>
              </w:rPr>
            </w:pPr>
            <w:r>
              <w:rPr>
                <w:sz w:val="24"/>
              </w:rPr>
              <w:t>核素名称</w:t>
            </w:r>
          </w:p>
        </w:tc>
        <w:tc>
          <w:tcPr>
            <w:tcW w:w="993" w:type="dxa"/>
          </w:tcPr>
          <w:p>
            <w:pPr>
              <w:pStyle w:val="TableParagraph"/>
              <w:spacing w:before="88"/>
              <w:ind w:left="237" w:right="224"/>
              <w:rPr>
                <w:sz w:val="24"/>
              </w:rPr>
            </w:pPr>
            <w:r>
              <w:rPr>
                <w:sz w:val="24"/>
              </w:rPr>
              <w:t>活度</w:t>
            </w:r>
          </w:p>
        </w:tc>
        <w:tc>
          <w:tcPr>
            <w:tcW w:w="1274" w:type="dxa"/>
          </w:tcPr>
          <w:p>
            <w:pPr>
              <w:pStyle w:val="TableParagraph"/>
              <w:spacing w:before="88"/>
              <w:ind w:left="16" w:right="5"/>
              <w:rPr>
                <w:sz w:val="24"/>
              </w:rPr>
            </w:pPr>
            <w:r>
              <w:rPr>
                <w:sz w:val="24"/>
              </w:rPr>
              <w:t>月排放量</w:t>
            </w:r>
          </w:p>
        </w:tc>
        <w:tc>
          <w:tcPr>
            <w:tcW w:w="1276" w:type="dxa"/>
          </w:tcPr>
          <w:p>
            <w:pPr>
              <w:pStyle w:val="TableParagraph"/>
              <w:spacing w:before="88"/>
              <w:ind w:left="18" w:right="8"/>
              <w:rPr>
                <w:sz w:val="24"/>
              </w:rPr>
            </w:pPr>
            <w:r>
              <w:rPr>
                <w:sz w:val="24"/>
              </w:rPr>
              <w:t>年排放总量</w:t>
            </w:r>
          </w:p>
        </w:tc>
        <w:tc>
          <w:tcPr>
            <w:tcW w:w="1274" w:type="dxa"/>
          </w:tcPr>
          <w:p>
            <w:pPr>
              <w:pStyle w:val="TableParagraph"/>
              <w:spacing w:before="88"/>
              <w:ind w:left="16" w:right="7"/>
              <w:rPr>
                <w:sz w:val="24"/>
              </w:rPr>
            </w:pPr>
            <w:r>
              <w:rPr>
                <w:sz w:val="24"/>
              </w:rPr>
              <w:t>排放口浓度</w:t>
            </w:r>
          </w:p>
        </w:tc>
        <w:tc>
          <w:tcPr>
            <w:tcW w:w="1560" w:type="dxa"/>
          </w:tcPr>
          <w:p>
            <w:pPr>
              <w:pStyle w:val="TableParagraph"/>
              <w:spacing w:before="88"/>
              <w:ind w:left="283" w:right="266"/>
              <w:rPr>
                <w:sz w:val="24"/>
              </w:rPr>
            </w:pPr>
            <w:r>
              <w:rPr>
                <w:sz w:val="24"/>
              </w:rPr>
              <w:t>暂存情况</w:t>
            </w:r>
          </w:p>
        </w:tc>
        <w:tc>
          <w:tcPr>
            <w:tcW w:w="3000" w:type="dxa"/>
          </w:tcPr>
          <w:p>
            <w:pPr>
              <w:pStyle w:val="TableParagraph"/>
              <w:spacing w:before="88"/>
              <w:ind w:left="1001" w:right="989"/>
              <w:rPr>
                <w:sz w:val="24"/>
              </w:rPr>
            </w:pPr>
            <w:r>
              <w:rPr>
                <w:sz w:val="24"/>
              </w:rPr>
              <w:t>最终去向</w:t>
            </w:r>
          </w:p>
        </w:tc>
      </w:tr>
      <w:tr>
        <w:trPr>
          <w:trHeight w:val="935" w:hRule="atLeast"/>
        </w:trPr>
        <w:tc>
          <w:tcPr>
            <w:tcW w:w="1838" w:type="dxa"/>
          </w:tcPr>
          <w:p>
            <w:pPr>
              <w:pStyle w:val="TableParagraph"/>
              <w:spacing w:before="6"/>
              <w:jc w:val="left"/>
              <w:rPr>
                <w:sz w:val="24"/>
              </w:rPr>
            </w:pPr>
          </w:p>
          <w:p>
            <w:pPr>
              <w:pStyle w:val="TableParagraph"/>
              <w:ind w:right="667"/>
              <w:jc w:val="right"/>
              <w:rPr>
                <w:sz w:val="24"/>
              </w:rPr>
            </w:pPr>
            <w:r>
              <w:rPr>
                <w:sz w:val="24"/>
              </w:rPr>
              <w:t>臭氧</w:t>
            </w:r>
          </w:p>
        </w:tc>
        <w:tc>
          <w:tcPr>
            <w:tcW w:w="1276" w:type="dxa"/>
          </w:tcPr>
          <w:p>
            <w:pPr>
              <w:pStyle w:val="TableParagraph"/>
              <w:spacing w:before="6"/>
              <w:jc w:val="left"/>
              <w:rPr>
                <w:sz w:val="24"/>
              </w:rPr>
            </w:pPr>
          </w:p>
          <w:p>
            <w:pPr>
              <w:pStyle w:val="TableParagraph"/>
              <w:ind w:left="19" w:right="8"/>
              <w:rPr>
                <w:sz w:val="24"/>
              </w:rPr>
            </w:pPr>
            <w:r>
              <w:rPr>
                <w:sz w:val="24"/>
              </w:rPr>
              <w:t>气态</w:t>
            </w:r>
          </w:p>
        </w:tc>
        <w:tc>
          <w:tcPr>
            <w:tcW w:w="1274" w:type="dxa"/>
          </w:tcPr>
          <w:p>
            <w:pPr>
              <w:pStyle w:val="TableParagraph"/>
              <w:spacing w:before="9"/>
              <w:jc w:val="left"/>
              <w:rPr>
                <w:sz w:val="25"/>
              </w:rPr>
            </w:pPr>
          </w:p>
          <w:p>
            <w:pPr>
              <w:pStyle w:val="TableParagraph"/>
              <w:spacing w:before="1"/>
              <w:ind w:left="9"/>
              <w:rPr>
                <w:rFonts w:ascii="Times New Roman"/>
                <w:sz w:val="24"/>
              </w:rPr>
            </w:pPr>
            <w:r>
              <w:rPr>
                <w:rFonts w:ascii="Times New Roman"/>
                <w:w w:val="99"/>
                <w:sz w:val="24"/>
              </w:rPr>
              <w:t>/</w:t>
            </w:r>
          </w:p>
        </w:tc>
        <w:tc>
          <w:tcPr>
            <w:tcW w:w="993" w:type="dxa"/>
          </w:tcPr>
          <w:p>
            <w:pPr>
              <w:pStyle w:val="TableParagraph"/>
              <w:spacing w:before="9"/>
              <w:jc w:val="left"/>
              <w:rPr>
                <w:sz w:val="25"/>
              </w:rPr>
            </w:pPr>
          </w:p>
          <w:p>
            <w:pPr>
              <w:pStyle w:val="TableParagraph"/>
              <w:spacing w:before="1"/>
              <w:ind w:left="11"/>
              <w:rPr>
                <w:rFonts w:ascii="Times New Roman"/>
                <w:sz w:val="24"/>
              </w:rPr>
            </w:pPr>
            <w:r>
              <w:rPr>
                <w:rFonts w:ascii="Times New Roman"/>
                <w:w w:val="99"/>
                <w:sz w:val="24"/>
              </w:rPr>
              <w:t>/</w:t>
            </w:r>
          </w:p>
        </w:tc>
        <w:tc>
          <w:tcPr>
            <w:tcW w:w="1274" w:type="dxa"/>
          </w:tcPr>
          <w:p>
            <w:pPr>
              <w:pStyle w:val="TableParagraph"/>
              <w:spacing w:before="6"/>
              <w:jc w:val="left"/>
              <w:rPr>
                <w:sz w:val="24"/>
              </w:rPr>
            </w:pPr>
          </w:p>
          <w:p>
            <w:pPr>
              <w:pStyle w:val="TableParagraph"/>
              <w:ind w:left="16" w:right="40"/>
              <w:rPr>
                <w:sz w:val="24"/>
              </w:rPr>
            </w:pPr>
            <w:r>
              <w:rPr>
                <w:sz w:val="24"/>
              </w:rPr>
              <w:t>少量</w:t>
            </w:r>
          </w:p>
        </w:tc>
        <w:tc>
          <w:tcPr>
            <w:tcW w:w="1276" w:type="dxa"/>
          </w:tcPr>
          <w:p>
            <w:pPr>
              <w:pStyle w:val="TableParagraph"/>
              <w:spacing w:before="6"/>
              <w:jc w:val="left"/>
              <w:rPr>
                <w:sz w:val="24"/>
              </w:rPr>
            </w:pPr>
          </w:p>
          <w:p>
            <w:pPr>
              <w:pStyle w:val="TableParagraph"/>
              <w:ind w:left="317" w:right="342"/>
              <w:rPr>
                <w:sz w:val="24"/>
              </w:rPr>
            </w:pPr>
            <w:r>
              <w:rPr>
                <w:sz w:val="24"/>
              </w:rPr>
              <w:t>少量</w:t>
            </w:r>
          </w:p>
        </w:tc>
        <w:tc>
          <w:tcPr>
            <w:tcW w:w="1274" w:type="dxa"/>
          </w:tcPr>
          <w:p>
            <w:pPr>
              <w:pStyle w:val="TableParagraph"/>
              <w:spacing w:before="9"/>
              <w:jc w:val="left"/>
              <w:rPr>
                <w:sz w:val="25"/>
              </w:rPr>
            </w:pPr>
          </w:p>
          <w:p>
            <w:pPr>
              <w:pStyle w:val="TableParagraph"/>
              <w:spacing w:before="1"/>
              <w:ind w:left="8"/>
              <w:rPr>
                <w:rFonts w:ascii="Times New Roman"/>
                <w:sz w:val="24"/>
              </w:rPr>
            </w:pPr>
            <w:r>
              <w:rPr>
                <w:rFonts w:ascii="Times New Roman"/>
                <w:w w:val="99"/>
                <w:sz w:val="24"/>
              </w:rPr>
              <w:t>/</w:t>
            </w:r>
          </w:p>
        </w:tc>
        <w:tc>
          <w:tcPr>
            <w:tcW w:w="1560" w:type="dxa"/>
          </w:tcPr>
          <w:p>
            <w:pPr>
              <w:pStyle w:val="TableParagraph"/>
              <w:spacing w:before="6"/>
              <w:jc w:val="left"/>
              <w:rPr>
                <w:sz w:val="24"/>
              </w:rPr>
            </w:pPr>
          </w:p>
          <w:p>
            <w:pPr>
              <w:pStyle w:val="TableParagraph"/>
              <w:ind w:left="245" w:right="266"/>
              <w:rPr>
                <w:sz w:val="24"/>
              </w:rPr>
            </w:pPr>
            <w:r>
              <w:rPr>
                <w:sz w:val="24"/>
              </w:rPr>
              <w:t>不暂存</w:t>
            </w:r>
          </w:p>
        </w:tc>
        <w:tc>
          <w:tcPr>
            <w:tcW w:w="3000" w:type="dxa"/>
          </w:tcPr>
          <w:p>
            <w:pPr>
              <w:pStyle w:val="TableParagraph"/>
              <w:spacing w:before="2"/>
              <w:ind w:left="61"/>
              <w:jc w:val="left"/>
              <w:rPr>
                <w:sz w:val="24"/>
              </w:rPr>
            </w:pPr>
            <w:r>
              <w:rPr>
                <w:sz w:val="24"/>
              </w:rPr>
              <w:t>通过动力排风装置排入外环</w:t>
            </w:r>
          </w:p>
          <w:p>
            <w:pPr>
              <w:pStyle w:val="TableParagraph"/>
              <w:spacing w:line="310" w:lineRule="atLeast" w:before="2"/>
              <w:ind w:left="301" w:right="46" w:hanging="240"/>
              <w:jc w:val="left"/>
              <w:rPr>
                <w:sz w:val="24"/>
              </w:rPr>
            </w:pPr>
            <w:r>
              <w:rPr>
                <w:sz w:val="24"/>
              </w:rPr>
              <w:t>境，臭氧常温下自动分解为氧气，对环境影响较小</w:t>
            </w:r>
          </w:p>
        </w:tc>
      </w:tr>
      <w:tr>
        <w:trPr>
          <w:trHeight w:val="1247" w:hRule="atLeast"/>
        </w:trPr>
        <w:tc>
          <w:tcPr>
            <w:tcW w:w="1838" w:type="dxa"/>
          </w:tcPr>
          <w:p>
            <w:pPr>
              <w:pStyle w:val="TableParagraph"/>
              <w:spacing w:line="242" w:lineRule="auto" w:before="2"/>
              <w:ind w:left="78" w:right="67"/>
              <w:jc w:val="both"/>
              <w:rPr>
                <w:sz w:val="24"/>
              </w:rPr>
            </w:pPr>
            <w:r>
              <w:rPr>
                <w:sz w:val="24"/>
              </w:rPr>
              <w:t>医疗废物（</w:t>
            </w:r>
            <w:r>
              <w:rPr>
                <w:spacing w:val="-9"/>
                <w:sz w:val="24"/>
              </w:rPr>
              <w:t>医用</w:t>
            </w:r>
            <w:r>
              <w:rPr>
                <w:spacing w:val="-3"/>
                <w:sz w:val="24"/>
              </w:rPr>
              <w:t>器具、药棉、纱布、废造影剂及</w:t>
            </w:r>
          </w:p>
          <w:p>
            <w:pPr>
              <w:pStyle w:val="TableParagraph"/>
              <w:spacing w:line="289" w:lineRule="exact" w:before="4"/>
              <w:ind w:left="78"/>
              <w:jc w:val="both"/>
              <w:rPr>
                <w:sz w:val="24"/>
              </w:rPr>
            </w:pPr>
            <w:r>
              <w:rPr>
                <w:sz w:val="24"/>
              </w:rPr>
              <w:t>废造影剂瓶等）</w:t>
            </w:r>
          </w:p>
        </w:tc>
        <w:tc>
          <w:tcPr>
            <w:tcW w:w="1276" w:type="dxa"/>
          </w:tcPr>
          <w:p>
            <w:pPr>
              <w:pStyle w:val="TableParagraph"/>
              <w:spacing w:before="8"/>
              <w:jc w:val="left"/>
              <w:rPr>
                <w:sz w:val="36"/>
              </w:rPr>
            </w:pPr>
          </w:p>
          <w:p>
            <w:pPr>
              <w:pStyle w:val="TableParagraph"/>
              <w:spacing w:before="1"/>
              <w:ind w:left="19" w:right="8"/>
              <w:rPr>
                <w:sz w:val="24"/>
              </w:rPr>
            </w:pPr>
            <w:r>
              <w:rPr>
                <w:sz w:val="24"/>
              </w:rPr>
              <w:t>固体</w:t>
            </w:r>
          </w:p>
        </w:tc>
        <w:tc>
          <w:tcPr>
            <w:tcW w:w="1274" w:type="dxa"/>
          </w:tcPr>
          <w:p>
            <w:pPr>
              <w:pStyle w:val="TableParagraph"/>
              <w:spacing w:before="12"/>
              <w:jc w:val="left"/>
              <w:rPr>
                <w:sz w:val="37"/>
              </w:rPr>
            </w:pPr>
          </w:p>
          <w:p>
            <w:pPr>
              <w:pStyle w:val="TableParagraph"/>
              <w:ind w:left="9"/>
              <w:rPr>
                <w:rFonts w:ascii="Times New Roman"/>
                <w:sz w:val="24"/>
              </w:rPr>
            </w:pPr>
            <w:r>
              <w:rPr>
                <w:rFonts w:ascii="Times New Roman"/>
                <w:w w:val="99"/>
                <w:sz w:val="24"/>
              </w:rPr>
              <w:t>/</w:t>
            </w:r>
          </w:p>
        </w:tc>
        <w:tc>
          <w:tcPr>
            <w:tcW w:w="993" w:type="dxa"/>
          </w:tcPr>
          <w:p>
            <w:pPr>
              <w:pStyle w:val="TableParagraph"/>
              <w:spacing w:before="12"/>
              <w:jc w:val="left"/>
              <w:rPr>
                <w:sz w:val="37"/>
              </w:rPr>
            </w:pPr>
          </w:p>
          <w:p>
            <w:pPr>
              <w:pStyle w:val="TableParagraph"/>
              <w:ind w:left="11"/>
              <w:rPr>
                <w:rFonts w:ascii="Times New Roman"/>
                <w:sz w:val="24"/>
              </w:rPr>
            </w:pPr>
            <w:r>
              <w:rPr>
                <w:rFonts w:ascii="Times New Roman"/>
                <w:w w:val="99"/>
                <w:sz w:val="24"/>
              </w:rPr>
              <w:t>/</w:t>
            </w:r>
          </w:p>
        </w:tc>
        <w:tc>
          <w:tcPr>
            <w:tcW w:w="1274" w:type="dxa"/>
          </w:tcPr>
          <w:p>
            <w:pPr>
              <w:pStyle w:val="TableParagraph"/>
              <w:spacing w:before="12"/>
              <w:jc w:val="left"/>
              <w:rPr>
                <w:sz w:val="37"/>
              </w:rPr>
            </w:pPr>
          </w:p>
          <w:p>
            <w:pPr>
              <w:pStyle w:val="TableParagraph"/>
              <w:ind w:left="16" w:right="7"/>
              <w:rPr>
                <w:rFonts w:ascii="Times New Roman"/>
                <w:sz w:val="24"/>
              </w:rPr>
            </w:pPr>
            <w:r>
              <w:rPr>
                <w:rFonts w:ascii="Times New Roman"/>
                <w:sz w:val="24"/>
              </w:rPr>
              <w:t>10kg</w:t>
            </w:r>
          </w:p>
        </w:tc>
        <w:tc>
          <w:tcPr>
            <w:tcW w:w="1276" w:type="dxa"/>
          </w:tcPr>
          <w:p>
            <w:pPr>
              <w:pStyle w:val="TableParagraph"/>
              <w:spacing w:before="12"/>
              <w:jc w:val="left"/>
              <w:rPr>
                <w:sz w:val="37"/>
              </w:rPr>
            </w:pPr>
          </w:p>
          <w:p>
            <w:pPr>
              <w:pStyle w:val="TableParagraph"/>
              <w:ind w:left="16" w:right="8"/>
              <w:rPr>
                <w:rFonts w:ascii="Times New Roman"/>
                <w:sz w:val="24"/>
              </w:rPr>
            </w:pPr>
            <w:r>
              <w:rPr>
                <w:rFonts w:ascii="Times New Roman"/>
                <w:sz w:val="24"/>
              </w:rPr>
              <w:t>120kg</w:t>
            </w:r>
          </w:p>
        </w:tc>
        <w:tc>
          <w:tcPr>
            <w:tcW w:w="1274" w:type="dxa"/>
          </w:tcPr>
          <w:p>
            <w:pPr>
              <w:pStyle w:val="TableParagraph"/>
              <w:spacing w:before="12"/>
              <w:jc w:val="left"/>
              <w:rPr>
                <w:sz w:val="37"/>
              </w:rPr>
            </w:pPr>
          </w:p>
          <w:p>
            <w:pPr>
              <w:pStyle w:val="TableParagraph"/>
              <w:ind w:left="11"/>
              <w:rPr>
                <w:rFonts w:ascii="Times New Roman"/>
                <w:sz w:val="24"/>
              </w:rPr>
            </w:pPr>
            <w:r>
              <w:rPr>
                <w:rFonts w:ascii="Times New Roman"/>
                <w:w w:val="99"/>
                <w:sz w:val="24"/>
              </w:rPr>
              <w:t>/</w:t>
            </w:r>
          </w:p>
        </w:tc>
        <w:tc>
          <w:tcPr>
            <w:tcW w:w="1560" w:type="dxa"/>
          </w:tcPr>
          <w:p>
            <w:pPr>
              <w:pStyle w:val="TableParagraph"/>
              <w:spacing w:before="12"/>
              <w:jc w:val="left"/>
              <w:rPr>
                <w:sz w:val="37"/>
              </w:rPr>
            </w:pPr>
          </w:p>
          <w:p>
            <w:pPr>
              <w:pStyle w:val="TableParagraph"/>
              <w:ind w:left="17"/>
              <w:rPr>
                <w:rFonts w:ascii="Times New Roman"/>
                <w:sz w:val="24"/>
              </w:rPr>
            </w:pPr>
            <w:r>
              <w:rPr>
                <w:rFonts w:ascii="Times New Roman"/>
                <w:w w:val="99"/>
                <w:sz w:val="24"/>
              </w:rPr>
              <w:t>/</w:t>
            </w:r>
          </w:p>
        </w:tc>
        <w:tc>
          <w:tcPr>
            <w:tcW w:w="3000" w:type="dxa"/>
          </w:tcPr>
          <w:p>
            <w:pPr>
              <w:pStyle w:val="TableParagraph"/>
              <w:spacing w:line="242" w:lineRule="auto" w:before="2"/>
              <w:ind w:left="61" w:right="46"/>
              <w:jc w:val="both"/>
              <w:rPr>
                <w:sz w:val="24"/>
              </w:rPr>
            </w:pPr>
            <w:r>
              <w:rPr>
                <w:sz w:val="24"/>
              </w:rPr>
              <w:t>采用专门的收集容器统一收集暂存于污物暂存间，定期由有资质的医疗废物处置单</w:t>
            </w:r>
          </w:p>
          <w:p>
            <w:pPr>
              <w:pStyle w:val="TableParagraph"/>
              <w:spacing w:line="289" w:lineRule="exact" w:before="4"/>
              <w:ind w:left="661"/>
              <w:jc w:val="left"/>
              <w:rPr>
                <w:sz w:val="24"/>
              </w:rPr>
            </w:pPr>
            <w:r>
              <w:rPr>
                <w:sz w:val="24"/>
              </w:rPr>
              <w:t>位统一收集处置</w:t>
            </w:r>
          </w:p>
        </w:tc>
      </w:tr>
    </w:tbl>
    <w:p>
      <w:pPr>
        <w:spacing w:before="15"/>
        <w:ind w:left="211" w:right="0" w:firstLine="0"/>
        <w:jc w:val="left"/>
        <w:rPr>
          <w:sz w:val="22"/>
        </w:rPr>
      </w:pPr>
      <w:r>
        <w:rPr>
          <w:sz w:val="22"/>
        </w:rPr>
        <w:t>注：</w:t>
      </w:r>
      <w:r>
        <w:rPr>
          <w:rFonts w:ascii="Times New Roman" w:eastAsia="Times New Roman"/>
          <w:sz w:val="22"/>
        </w:rPr>
        <w:t>1.</w:t>
      </w:r>
      <w:r>
        <w:rPr>
          <w:sz w:val="22"/>
        </w:rPr>
        <w:t>常规废弃物排放浓度，对于液态单位为</w:t>
      </w:r>
      <w:r>
        <w:rPr>
          <w:rFonts w:ascii="Times New Roman" w:eastAsia="Times New Roman"/>
          <w:sz w:val="22"/>
        </w:rPr>
        <w:t>mg/L</w:t>
      </w:r>
      <w:r>
        <w:rPr>
          <w:sz w:val="22"/>
        </w:rPr>
        <w:t>，固体为</w:t>
      </w:r>
      <w:r>
        <w:rPr>
          <w:rFonts w:ascii="Times New Roman" w:eastAsia="Times New Roman"/>
          <w:sz w:val="22"/>
        </w:rPr>
        <w:t>mg/kg</w:t>
      </w:r>
      <w:r>
        <w:rPr>
          <w:sz w:val="22"/>
        </w:rPr>
        <w:t>，气态为</w:t>
      </w:r>
      <w:r>
        <w:rPr>
          <w:rFonts w:ascii="Times New Roman" w:eastAsia="Times New Roman"/>
          <w:sz w:val="22"/>
        </w:rPr>
        <w:t>mg/m</w:t>
      </w:r>
      <w:r>
        <w:rPr>
          <w:rFonts w:ascii="Times New Roman" w:eastAsia="Times New Roman"/>
          <w:position w:val="8"/>
          <w:sz w:val="14"/>
        </w:rPr>
        <w:t>3</w:t>
      </w:r>
      <w:r>
        <w:rPr>
          <w:sz w:val="22"/>
        </w:rPr>
        <w:t>；年排放总量用</w:t>
      </w:r>
      <w:r>
        <w:rPr>
          <w:rFonts w:ascii="Times New Roman" w:eastAsia="Times New Roman"/>
          <w:sz w:val="22"/>
        </w:rPr>
        <w:t>kg</w:t>
      </w:r>
      <w:r>
        <w:rPr>
          <w:sz w:val="22"/>
        </w:rPr>
        <w:t>。</w:t>
      </w:r>
    </w:p>
    <w:p>
      <w:pPr>
        <w:pStyle w:val="ListParagraph"/>
        <w:numPr>
          <w:ilvl w:val="0"/>
          <w:numId w:val="4"/>
        </w:numPr>
        <w:tabs>
          <w:tab w:pos="378" w:val="left" w:leader="none"/>
        </w:tabs>
        <w:spacing w:line="240" w:lineRule="auto" w:before="30" w:after="0"/>
        <w:ind w:left="377" w:right="0" w:hanging="166"/>
        <w:jc w:val="left"/>
        <w:rPr>
          <w:sz w:val="22"/>
        </w:rPr>
      </w:pPr>
      <w:r>
        <w:rPr>
          <w:spacing w:val="-4"/>
          <w:w w:val="100"/>
          <w:sz w:val="22"/>
        </w:rPr>
        <w:t>含有放射性的废物要注明，其排放浓度、年排放总量分别用比活度</w:t>
      </w:r>
      <w:r>
        <w:rPr>
          <w:w w:val="100"/>
          <w:sz w:val="22"/>
        </w:rPr>
        <w:t>（</w:t>
      </w:r>
      <w:r>
        <w:rPr>
          <w:rFonts w:ascii="Times New Roman" w:eastAsia="Times New Roman"/>
          <w:spacing w:val="-2"/>
          <w:w w:val="100"/>
          <w:sz w:val="22"/>
        </w:rPr>
        <w:t>B</w:t>
      </w:r>
      <w:r>
        <w:rPr>
          <w:rFonts w:ascii="Times New Roman" w:eastAsia="Times New Roman"/>
          <w:w w:val="100"/>
          <w:sz w:val="22"/>
        </w:rPr>
        <w:t>q</w:t>
      </w:r>
      <w:r>
        <w:rPr>
          <w:rFonts w:ascii="Times New Roman" w:eastAsia="Times New Roman"/>
          <w:spacing w:val="-2"/>
          <w:w w:val="100"/>
          <w:sz w:val="22"/>
        </w:rPr>
        <w:t>/</w:t>
      </w:r>
      <w:r>
        <w:rPr>
          <w:rFonts w:ascii="Times New Roman" w:eastAsia="Times New Roman"/>
          <w:w w:val="100"/>
          <w:sz w:val="22"/>
        </w:rPr>
        <w:t>L</w:t>
      </w:r>
      <w:r>
        <w:rPr>
          <w:rFonts w:ascii="Times New Roman" w:eastAsia="Times New Roman"/>
          <w:sz w:val="22"/>
        </w:rPr>
        <w:t> </w:t>
      </w:r>
      <w:r>
        <w:rPr>
          <w:w w:val="100"/>
          <w:sz w:val="22"/>
        </w:rPr>
        <w:t>或</w:t>
      </w:r>
      <w:r>
        <w:rPr>
          <w:spacing w:val="-55"/>
          <w:sz w:val="22"/>
        </w:rPr>
        <w:t> </w:t>
      </w:r>
      <w:r>
        <w:rPr>
          <w:rFonts w:ascii="Times New Roman" w:eastAsia="Times New Roman"/>
          <w:spacing w:val="-2"/>
          <w:w w:val="100"/>
          <w:sz w:val="22"/>
        </w:rPr>
        <w:t>B</w:t>
      </w:r>
      <w:r>
        <w:rPr>
          <w:rFonts w:ascii="Times New Roman" w:eastAsia="Times New Roman"/>
          <w:w w:val="100"/>
          <w:sz w:val="22"/>
        </w:rPr>
        <w:t>q</w:t>
      </w:r>
      <w:r>
        <w:rPr>
          <w:rFonts w:ascii="Times New Roman" w:eastAsia="Times New Roman"/>
          <w:spacing w:val="2"/>
          <w:w w:val="100"/>
          <w:sz w:val="22"/>
        </w:rPr>
        <w:t>/</w:t>
      </w:r>
      <w:r>
        <w:rPr>
          <w:rFonts w:ascii="Times New Roman" w:eastAsia="Times New Roman"/>
          <w:w w:val="100"/>
          <w:sz w:val="22"/>
        </w:rPr>
        <w:t>kg</w:t>
      </w:r>
      <w:r>
        <w:rPr>
          <w:rFonts w:ascii="Times New Roman" w:eastAsia="Times New Roman"/>
          <w:spacing w:val="-4"/>
          <w:sz w:val="22"/>
        </w:rPr>
        <w:t> </w:t>
      </w:r>
      <w:r>
        <w:rPr>
          <w:w w:val="100"/>
          <w:sz w:val="22"/>
        </w:rPr>
        <w:t>或</w:t>
      </w:r>
      <w:r>
        <w:rPr>
          <w:spacing w:val="-55"/>
          <w:sz w:val="22"/>
        </w:rPr>
        <w:t> </w:t>
      </w:r>
      <w:r>
        <w:rPr>
          <w:rFonts w:ascii="Times New Roman" w:eastAsia="Times New Roman"/>
          <w:spacing w:val="-2"/>
          <w:w w:val="100"/>
          <w:sz w:val="22"/>
        </w:rPr>
        <w:t>B</w:t>
      </w:r>
      <w:r>
        <w:rPr>
          <w:rFonts w:ascii="Times New Roman" w:eastAsia="Times New Roman"/>
          <w:w w:val="100"/>
          <w:sz w:val="22"/>
        </w:rPr>
        <w:t>q</w:t>
      </w:r>
      <w:r>
        <w:rPr>
          <w:rFonts w:ascii="Times New Roman" w:eastAsia="Times New Roman"/>
          <w:spacing w:val="-2"/>
          <w:w w:val="100"/>
          <w:sz w:val="22"/>
        </w:rPr>
        <w:t>/</w:t>
      </w:r>
      <w:r>
        <w:rPr>
          <w:rFonts w:ascii="Times New Roman" w:eastAsia="Times New Roman"/>
          <w:spacing w:val="2"/>
          <w:w w:val="100"/>
          <w:sz w:val="22"/>
        </w:rPr>
        <w:t>m</w:t>
      </w:r>
      <w:r>
        <w:rPr>
          <w:rFonts w:ascii="Times New Roman" w:eastAsia="Times New Roman"/>
          <w:w w:val="99"/>
          <w:position w:val="8"/>
          <w:sz w:val="14"/>
        </w:rPr>
        <w:t>3</w:t>
      </w:r>
      <w:r>
        <w:rPr>
          <w:spacing w:val="-3"/>
          <w:w w:val="100"/>
          <w:sz w:val="22"/>
        </w:rPr>
        <w:t>）</w:t>
      </w:r>
      <w:r>
        <w:rPr>
          <w:spacing w:val="-2"/>
          <w:w w:val="100"/>
          <w:sz w:val="22"/>
        </w:rPr>
        <w:t>和活度</w:t>
      </w:r>
      <w:r>
        <w:rPr>
          <w:spacing w:val="-1"/>
          <w:w w:val="100"/>
          <w:sz w:val="22"/>
        </w:rPr>
        <w:t>（</w:t>
      </w:r>
      <w:r>
        <w:rPr>
          <w:rFonts w:ascii="Times New Roman" w:eastAsia="Times New Roman"/>
          <w:spacing w:val="-2"/>
          <w:w w:val="100"/>
          <w:sz w:val="22"/>
        </w:rPr>
        <w:t>B</w:t>
      </w:r>
      <w:r>
        <w:rPr>
          <w:rFonts w:ascii="Times New Roman" w:eastAsia="Times New Roman"/>
          <w:w w:val="100"/>
          <w:sz w:val="22"/>
        </w:rPr>
        <w:t>q</w:t>
      </w:r>
      <w:r>
        <w:rPr>
          <w:spacing w:val="-111"/>
          <w:w w:val="100"/>
          <w:sz w:val="22"/>
        </w:rPr>
        <w:t>）</w:t>
      </w:r>
      <w:r>
        <w:rPr>
          <w:w w:val="100"/>
          <w:sz w:val="22"/>
        </w:rPr>
        <w:t>。</w:t>
      </w:r>
    </w:p>
    <w:p>
      <w:pPr>
        <w:spacing w:after="0" w:line="240" w:lineRule="auto"/>
        <w:jc w:val="left"/>
        <w:rPr>
          <w:sz w:val="22"/>
        </w:rPr>
        <w:sectPr>
          <w:footerReference w:type="default" r:id="rId7"/>
          <w:pgSz w:w="16840" w:h="11910" w:orient="landscape"/>
          <w:pgMar w:footer="964" w:header="0" w:top="1100" w:bottom="1160" w:left="1320" w:right="1320"/>
        </w:sectPr>
      </w:pPr>
    </w:p>
    <w:p>
      <w:pPr>
        <w:pStyle w:val="Heading1"/>
      </w:pPr>
      <w:r>
        <w:rPr/>
        <w:pict>
          <v:group style="position:absolute;margin-left:81.959999pt;margin-top:93.599945pt;width:454.1pt;height:679.6pt;mso-position-horizontal-relative:page;mso-position-vertical-relative:page;z-index:-212128" coordorigin="1639,1872" coordsize="9082,13592">
            <v:line style="position:absolute" from="1639,1877" to="10711,1877" stroked="true" strokeweight=".479999pt" strokecolor="#000000">
              <v:stroke dashstyle="solid"/>
            </v:line>
            <v:line style="position:absolute" from="1644,1882" to="1644,15463" stroked="true" strokeweight=".479999pt" strokecolor="#000000">
              <v:stroke dashstyle="solid"/>
            </v:line>
            <v:line style="position:absolute" from="1639,15458" to="2650,15458" stroked="true" strokeweight=".480011pt" strokecolor="#000000">
              <v:stroke dashstyle="solid"/>
            </v:line>
            <v:line style="position:absolute" from="2654,1882" to="2654,15463" stroked="true" strokeweight=".48pt" strokecolor="#000000">
              <v:stroke dashstyle="solid"/>
            </v:line>
            <v:line style="position:absolute" from="2659,15458" to="10711,15458" stroked="true" strokeweight=".480011pt" strokecolor="#000000">
              <v:stroke dashstyle="solid"/>
            </v:line>
            <v:line style="position:absolute" from="10716,1872" to="10716,15463" stroked="true" strokeweight=".479966pt" strokecolor="#000000">
              <v:stroke dashstyle="solid"/>
            </v:line>
            <w10:wrap type="none"/>
          </v:group>
        </w:pict>
      </w:r>
      <w:r>
        <w:rPr/>
        <w:t>表 6 评价依据</w:t>
      </w:r>
      <w:r>
        <w:rPr>
          <w:w w:val="50"/>
        </w:rPr>
        <w:t> </w:t>
      </w:r>
    </w:p>
    <w:p>
      <w:pPr>
        <w:pStyle w:val="ListParagraph"/>
        <w:numPr>
          <w:ilvl w:val="1"/>
          <w:numId w:val="4"/>
        </w:numPr>
        <w:tabs>
          <w:tab w:pos="1884" w:val="left" w:leader="none"/>
        </w:tabs>
        <w:spacing w:line="364" w:lineRule="auto" w:before="224" w:after="0"/>
        <w:ind w:left="1282" w:right="275" w:firstLine="0"/>
        <w:jc w:val="left"/>
        <w:rPr>
          <w:sz w:val="24"/>
        </w:rPr>
      </w:pPr>
      <w:r>
        <w:rPr>
          <w:spacing w:val="-3"/>
          <w:sz w:val="24"/>
        </w:rPr>
        <w:t>《中华人民共和国环境保护法》，</w:t>
      </w:r>
      <w:r>
        <w:rPr>
          <w:rFonts w:ascii="Times New Roman" w:eastAsia="Times New Roman"/>
          <w:spacing w:val="-4"/>
          <w:sz w:val="24"/>
        </w:rPr>
        <w:t>1989</w:t>
      </w:r>
      <w:r>
        <w:rPr>
          <w:sz w:val="24"/>
        </w:rPr>
        <w:t>年</w:t>
      </w:r>
      <w:r>
        <w:rPr>
          <w:rFonts w:ascii="Times New Roman" w:eastAsia="Times New Roman"/>
          <w:sz w:val="24"/>
        </w:rPr>
        <w:t>12</w:t>
      </w:r>
      <w:r>
        <w:rPr>
          <w:sz w:val="24"/>
        </w:rPr>
        <w:t>月</w:t>
      </w:r>
      <w:r>
        <w:rPr>
          <w:rFonts w:ascii="Times New Roman" w:eastAsia="Times New Roman"/>
          <w:sz w:val="24"/>
        </w:rPr>
        <w:t>26</w:t>
      </w:r>
      <w:r>
        <w:rPr>
          <w:spacing w:val="-1"/>
          <w:sz w:val="24"/>
        </w:rPr>
        <w:t>日发布施行；</w:t>
      </w:r>
      <w:r>
        <w:rPr>
          <w:rFonts w:ascii="Times New Roman" w:eastAsia="Times New Roman"/>
          <w:spacing w:val="-4"/>
          <w:sz w:val="24"/>
        </w:rPr>
        <w:t>2014</w:t>
      </w:r>
      <w:r>
        <w:rPr>
          <w:sz w:val="24"/>
        </w:rPr>
        <w:t>年 </w:t>
      </w:r>
      <w:r>
        <w:rPr>
          <w:rFonts w:ascii="Times New Roman" w:eastAsia="Times New Roman"/>
          <w:spacing w:val="-15"/>
          <w:sz w:val="24"/>
        </w:rPr>
        <w:t>4</w:t>
      </w:r>
      <w:r>
        <w:rPr>
          <w:sz w:val="24"/>
        </w:rPr>
        <w:t>月</w:t>
      </w:r>
      <w:r>
        <w:rPr>
          <w:rFonts w:ascii="Times New Roman" w:eastAsia="Times New Roman"/>
          <w:sz w:val="24"/>
        </w:rPr>
        <w:t>24</w:t>
      </w:r>
      <w:r>
        <w:rPr>
          <w:sz w:val="24"/>
        </w:rPr>
        <w:t>日修订，</w:t>
      </w:r>
      <w:r>
        <w:rPr>
          <w:rFonts w:ascii="Times New Roman" w:eastAsia="Times New Roman"/>
          <w:sz w:val="24"/>
        </w:rPr>
        <w:t>2015</w:t>
      </w:r>
      <w:r>
        <w:rPr>
          <w:sz w:val="24"/>
        </w:rPr>
        <w:t>年</w:t>
      </w:r>
      <w:r>
        <w:rPr>
          <w:rFonts w:ascii="Times New Roman" w:eastAsia="Times New Roman"/>
          <w:sz w:val="24"/>
        </w:rPr>
        <w:t>1</w:t>
      </w:r>
      <w:r>
        <w:rPr>
          <w:sz w:val="24"/>
        </w:rPr>
        <w:t>月</w:t>
      </w:r>
      <w:r>
        <w:rPr>
          <w:rFonts w:ascii="Times New Roman" w:eastAsia="Times New Roman"/>
          <w:sz w:val="24"/>
        </w:rPr>
        <w:t>1</w:t>
      </w:r>
      <w:r>
        <w:rPr>
          <w:sz w:val="24"/>
        </w:rPr>
        <w:t>日起施行；</w:t>
      </w:r>
    </w:p>
    <w:p>
      <w:pPr>
        <w:pStyle w:val="ListParagraph"/>
        <w:numPr>
          <w:ilvl w:val="1"/>
          <w:numId w:val="4"/>
        </w:numPr>
        <w:tabs>
          <w:tab w:pos="1884" w:val="left" w:leader="none"/>
        </w:tabs>
        <w:spacing w:line="240" w:lineRule="auto" w:before="1" w:after="0"/>
        <w:ind w:left="1883" w:right="0" w:hanging="601"/>
        <w:jc w:val="left"/>
        <w:rPr>
          <w:sz w:val="24"/>
        </w:rPr>
      </w:pPr>
      <w:r>
        <w:rPr>
          <w:sz w:val="24"/>
        </w:rPr>
        <w:t>《中华人民共和国环境影响评价法》（</w:t>
      </w:r>
      <w:r>
        <w:rPr>
          <w:rFonts w:ascii="Times New Roman" w:eastAsia="Times New Roman"/>
          <w:sz w:val="24"/>
        </w:rPr>
        <w:t>2018</w:t>
      </w:r>
      <w:r>
        <w:rPr>
          <w:sz w:val="24"/>
        </w:rPr>
        <w:t>年</w:t>
      </w:r>
      <w:r>
        <w:rPr>
          <w:rFonts w:ascii="Times New Roman" w:eastAsia="Times New Roman"/>
          <w:sz w:val="24"/>
        </w:rPr>
        <w:t>12</w:t>
      </w:r>
      <w:r>
        <w:rPr>
          <w:sz w:val="24"/>
        </w:rPr>
        <w:t>月</w:t>
      </w:r>
      <w:r>
        <w:rPr>
          <w:rFonts w:ascii="Times New Roman" w:eastAsia="Times New Roman"/>
          <w:sz w:val="24"/>
        </w:rPr>
        <w:t>29</w:t>
      </w:r>
      <w:r>
        <w:rPr>
          <w:sz w:val="24"/>
        </w:rPr>
        <w:t>日实施）；</w:t>
      </w:r>
    </w:p>
    <w:p>
      <w:pPr>
        <w:pStyle w:val="ListParagraph"/>
        <w:numPr>
          <w:ilvl w:val="1"/>
          <w:numId w:val="4"/>
        </w:numPr>
        <w:tabs>
          <w:tab w:pos="1884" w:val="left" w:leader="none"/>
        </w:tabs>
        <w:spacing w:line="240" w:lineRule="auto" w:before="160" w:after="0"/>
        <w:ind w:left="1883" w:right="0" w:hanging="601"/>
        <w:jc w:val="left"/>
        <w:rPr>
          <w:sz w:val="24"/>
        </w:rPr>
      </w:pPr>
      <w:r>
        <w:rPr>
          <w:sz w:val="24"/>
        </w:rPr>
        <w:t>《中华人民共和国放射性污染防治法》，</w:t>
      </w:r>
      <w:r>
        <w:rPr>
          <w:rFonts w:ascii="Times New Roman" w:eastAsia="Times New Roman"/>
          <w:sz w:val="24"/>
        </w:rPr>
        <w:t>2003</w:t>
      </w:r>
      <w:r>
        <w:rPr>
          <w:sz w:val="24"/>
        </w:rPr>
        <w:t>年</w:t>
      </w:r>
      <w:r>
        <w:rPr>
          <w:rFonts w:ascii="Times New Roman" w:eastAsia="Times New Roman"/>
          <w:sz w:val="24"/>
        </w:rPr>
        <w:t>10</w:t>
      </w:r>
      <w:r>
        <w:rPr>
          <w:sz w:val="24"/>
        </w:rPr>
        <w:t>月</w:t>
      </w:r>
      <w:r>
        <w:rPr>
          <w:rFonts w:ascii="Times New Roman" w:eastAsia="Times New Roman"/>
          <w:sz w:val="24"/>
        </w:rPr>
        <w:t>1</w:t>
      </w:r>
      <w:r>
        <w:rPr>
          <w:sz w:val="24"/>
        </w:rPr>
        <w:t>日起实施；</w:t>
      </w:r>
    </w:p>
    <w:p>
      <w:pPr>
        <w:pStyle w:val="ListParagraph"/>
        <w:numPr>
          <w:ilvl w:val="1"/>
          <w:numId w:val="4"/>
        </w:numPr>
        <w:tabs>
          <w:tab w:pos="1884" w:val="left" w:leader="none"/>
        </w:tabs>
        <w:spacing w:line="364" w:lineRule="auto" w:before="161" w:after="0"/>
        <w:ind w:left="1282" w:right="273" w:firstLine="0"/>
        <w:jc w:val="left"/>
        <w:rPr>
          <w:sz w:val="24"/>
        </w:rPr>
      </w:pPr>
      <w:r>
        <w:rPr>
          <w:spacing w:val="-7"/>
          <w:sz w:val="24"/>
        </w:rPr>
        <w:t>《放射性同位素与射线装置安全和防护条例》，国务院令第</w:t>
      </w:r>
      <w:r>
        <w:rPr>
          <w:rFonts w:ascii="Times New Roman" w:eastAsia="Times New Roman"/>
          <w:sz w:val="24"/>
        </w:rPr>
        <w:t>449</w:t>
      </w:r>
      <w:r>
        <w:rPr>
          <w:sz w:val="24"/>
        </w:rPr>
        <w:t>号</w:t>
      </w:r>
      <w:r>
        <w:rPr>
          <w:spacing w:val="-16"/>
          <w:sz w:val="24"/>
        </w:rPr>
        <w:t>，</w:t>
      </w:r>
      <w:r>
        <w:rPr>
          <w:rFonts w:ascii="Times New Roman" w:eastAsia="Times New Roman"/>
          <w:spacing w:val="-16"/>
          <w:sz w:val="24"/>
        </w:rPr>
        <w:t>2005</w:t>
      </w:r>
      <w:r>
        <w:rPr>
          <w:sz w:val="24"/>
        </w:rPr>
        <w:t>年</w:t>
      </w:r>
      <w:r>
        <w:rPr>
          <w:rFonts w:ascii="Times New Roman" w:eastAsia="Times New Roman"/>
          <w:sz w:val="24"/>
        </w:rPr>
        <w:t>12</w:t>
      </w:r>
      <w:r>
        <w:rPr>
          <w:sz w:val="24"/>
        </w:rPr>
        <w:t>月</w:t>
      </w:r>
      <w:r>
        <w:rPr>
          <w:rFonts w:ascii="Times New Roman" w:eastAsia="Times New Roman"/>
          <w:sz w:val="24"/>
        </w:rPr>
        <w:t>1</w:t>
      </w:r>
      <w:r>
        <w:rPr>
          <w:sz w:val="24"/>
        </w:rPr>
        <w:t>日起施行；</w:t>
      </w:r>
      <w:r>
        <w:rPr>
          <w:rFonts w:ascii="Times New Roman" w:eastAsia="Times New Roman"/>
          <w:sz w:val="24"/>
        </w:rPr>
        <w:t>2019</w:t>
      </w:r>
      <w:r>
        <w:rPr>
          <w:sz w:val="24"/>
        </w:rPr>
        <w:t>年修正，国务院令第</w:t>
      </w:r>
      <w:r>
        <w:rPr>
          <w:rFonts w:ascii="Times New Roman" w:eastAsia="Times New Roman"/>
          <w:sz w:val="24"/>
        </w:rPr>
        <w:t>709</w:t>
      </w:r>
      <w:r>
        <w:rPr>
          <w:sz w:val="24"/>
        </w:rPr>
        <w:t>号，</w:t>
      </w:r>
      <w:r>
        <w:rPr>
          <w:rFonts w:ascii="Times New Roman" w:eastAsia="Times New Roman"/>
          <w:sz w:val="24"/>
        </w:rPr>
        <w:t>2019</w:t>
      </w:r>
      <w:r>
        <w:rPr>
          <w:sz w:val="24"/>
        </w:rPr>
        <w:t>年</w:t>
      </w:r>
      <w:r>
        <w:rPr>
          <w:rFonts w:ascii="Times New Roman" w:eastAsia="Times New Roman"/>
          <w:sz w:val="24"/>
        </w:rPr>
        <w:t>3</w:t>
      </w:r>
      <w:r>
        <w:rPr>
          <w:sz w:val="24"/>
        </w:rPr>
        <w:t>月</w:t>
      </w:r>
      <w:r>
        <w:rPr>
          <w:rFonts w:ascii="Times New Roman" w:eastAsia="Times New Roman"/>
          <w:sz w:val="24"/>
        </w:rPr>
        <w:t>2</w:t>
      </w:r>
      <w:r>
        <w:rPr>
          <w:sz w:val="24"/>
        </w:rPr>
        <w:t>日施行；</w:t>
      </w:r>
    </w:p>
    <w:p>
      <w:pPr>
        <w:pStyle w:val="ListParagraph"/>
        <w:numPr>
          <w:ilvl w:val="1"/>
          <w:numId w:val="4"/>
        </w:numPr>
        <w:tabs>
          <w:tab w:pos="1884" w:val="left" w:leader="none"/>
        </w:tabs>
        <w:spacing w:line="364" w:lineRule="auto" w:before="1" w:after="0"/>
        <w:ind w:left="1282" w:right="276" w:firstLine="0"/>
        <w:jc w:val="left"/>
        <w:rPr>
          <w:sz w:val="24"/>
        </w:rPr>
      </w:pPr>
      <w:r>
        <w:rPr>
          <w:spacing w:val="-3"/>
          <w:sz w:val="24"/>
        </w:rPr>
        <w:t>《建设项目环境保护管理条例》，</w:t>
      </w:r>
      <w:r>
        <w:rPr>
          <w:spacing w:val="-5"/>
          <w:sz w:val="24"/>
        </w:rPr>
        <w:t>（</w:t>
      </w:r>
      <w:r>
        <w:rPr>
          <w:rFonts w:ascii="Times New Roman" w:eastAsia="Times New Roman"/>
          <w:spacing w:val="-5"/>
          <w:sz w:val="24"/>
        </w:rPr>
        <w:t>2017</w:t>
      </w:r>
      <w:r>
        <w:rPr>
          <w:sz w:val="24"/>
        </w:rPr>
        <w:t>年修订版</w:t>
      </w:r>
      <w:r>
        <w:rPr>
          <w:spacing w:val="-10"/>
          <w:sz w:val="24"/>
        </w:rPr>
        <w:t>）</w:t>
      </w:r>
      <w:r>
        <w:rPr>
          <w:spacing w:val="-4"/>
          <w:sz w:val="24"/>
        </w:rPr>
        <w:t>，国务院令第</w:t>
      </w:r>
      <w:r>
        <w:rPr>
          <w:rFonts w:ascii="Times New Roman" w:eastAsia="Times New Roman"/>
          <w:spacing w:val="-4"/>
          <w:sz w:val="24"/>
        </w:rPr>
        <w:t>682</w:t>
      </w:r>
      <w:r>
        <w:rPr>
          <w:spacing w:val="-4"/>
          <w:sz w:val="24"/>
        </w:rPr>
        <w:t>号，</w:t>
      </w:r>
      <w:r>
        <w:rPr>
          <w:rFonts w:ascii="Times New Roman" w:eastAsia="Times New Roman"/>
          <w:spacing w:val="-4"/>
          <w:sz w:val="24"/>
        </w:rPr>
        <w:t>2017</w:t>
      </w:r>
      <w:r>
        <w:rPr>
          <w:spacing w:val="-4"/>
          <w:sz w:val="24"/>
        </w:rPr>
        <w:t>年</w:t>
      </w:r>
      <w:r>
        <w:rPr>
          <w:rFonts w:ascii="Times New Roman" w:eastAsia="Times New Roman"/>
          <w:spacing w:val="-4"/>
          <w:sz w:val="24"/>
        </w:rPr>
        <w:t>10</w:t>
      </w:r>
      <w:r>
        <w:rPr>
          <w:spacing w:val="-4"/>
          <w:sz w:val="24"/>
        </w:rPr>
        <w:t>月</w:t>
      </w:r>
      <w:r>
        <w:rPr>
          <w:rFonts w:ascii="Times New Roman" w:eastAsia="Times New Roman"/>
          <w:spacing w:val="-4"/>
          <w:sz w:val="24"/>
        </w:rPr>
        <w:t>1</w:t>
      </w:r>
      <w:r>
        <w:rPr>
          <w:spacing w:val="-4"/>
          <w:sz w:val="24"/>
        </w:rPr>
        <w:t>日发布施行；</w:t>
      </w:r>
    </w:p>
    <w:p>
      <w:pPr>
        <w:pStyle w:val="ListParagraph"/>
        <w:numPr>
          <w:ilvl w:val="1"/>
          <w:numId w:val="4"/>
        </w:numPr>
        <w:tabs>
          <w:tab w:pos="1884" w:val="left" w:leader="none"/>
        </w:tabs>
        <w:spacing w:line="364" w:lineRule="auto" w:before="1" w:after="0"/>
        <w:ind w:left="1282" w:right="276" w:firstLine="0"/>
        <w:jc w:val="left"/>
        <w:rPr>
          <w:sz w:val="24"/>
        </w:rPr>
      </w:pPr>
      <w:r>
        <w:rPr>
          <w:spacing w:val="-3"/>
          <w:sz w:val="24"/>
        </w:rPr>
        <w:t>《放射性同位素与射线装置安全许可管理办法》，</w:t>
      </w:r>
      <w:r>
        <w:rPr>
          <w:rFonts w:ascii="Times New Roman" w:eastAsia="Times New Roman"/>
          <w:spacing w:val="-8"/>
          <w:sz w:val="24"/>
        </w:rPr>
        <w:t>2021</w:t>
      </w:r>
      <w:r>
        <w:rPr>
          <w:spacing w:val="-8"/>
          <w:sz w:val="24"/>
        </w:rPr>
        <w:t>年修改，生态</w:t>
      </w:r>
      <w:r>
        <w:rPr>
          <w:spacing w:val="-4"/>
          <w:sz w:val="24"/>
        </w:rPr>
        <w:t>环境部令第</w:t>
      </w:r>
      <w:r>
        <w:rPr>
          <w:rFonts w:ascii="Times New Roman" w:eastAsia="Times New Roman"/>
          <w:sz w:val="24"/>
        </w:rPr>
        <w:t>20</w:t>
      </w:r>
      <w:r>
        <w:rPr>
          <w:sz w:val="24"/>
        </w:rPr>
        <w:t>号，</w:t>
      </w:r>
      <w:r>
        <w:rPr>
          <w:rFonts w:ascii="Times New Roman" w:eastAsia="Times New Roman"/>
          <w:sz w:val="24"/>
        </w:rPr>
        <w:t>2021</w:t>
      </w:r>
      <w:r>
        <w:rPr>
          <w:sz w:val="24"/>
        </w:rPr>
        <w:t>年</w:t>
      </w:r>
      <w:r>
        <w:rPr>
          <w:rFonts w:ascii="Times New Roman" w:eastAsia="Times New Roman"/>
          <w:sz w:val="24"/>
        </w:rPr>
        <w:t>1</w:t>
      </w:r>
      <w:r>
        <w:rPr>
          <w:sz w:val="24"/>
        </w:rPr>
        <w:t>月</w:t>
      </w:r>
      <w:r>
        <w:rPr>
          <w:rFonts w:ascii="Times New Roman" w:eastAsia="Times New Roman"/>
          <w:sz w:val="24"/>
        </w:rPr>
        <w:t>4</w:t>
      </w:r>
      <w:r>
        <w:rPr>
          <w:sz w:val="24"/>
        </w:rPr>
        <w:t>日起施行；</w:t>
      </w:r>
    </w:p>
    <w:p>
      <w:pPr>
        <w:pStyle w:val="ListParagraph"/>
        <w:numPr>
          <w:ilvl w:val="1"/>
          <w:numId w:val="4"/>
        </w:numPr>
        <w:tabs>
          <w:tab w:pos="1884" w:val="left" w:leader="none"/>
        </w:tabs>
        <w:spacing w:line="364" w:lineRule="auto" w:before="2" w:after="0"/>
        <w:ind w:left="1282" w:right="276" w:firstLine="0"/>
        <w:jc w:val="left"/>
        <w:rPr>
          <w:sz w:val="24"/>
        </w:rPr>
      </w:pPr>
      <w:r>
        <w:rPr>
          <w:spacing w:val="-2"/>
          <w:sz w:val="24"/>
        </w:rPr>
        <w:t>《建设项目环境影响评价分类管理名录</w:t>
      </w:r>
      <w:r>
        <w:rPr>
          <w:sz w:val="24"/>
        </w:rPr>
        <w:t>（</w:t>
      </w:r>
      <w:r>
        <w:rPr>
          <w:rFonts w:ascii="Times New Roman" w:eastAsia="Times New Roman"/>
          <w:sz w:val="24"/>
        </w:rPr>
        <w:t>2021</w:t>
      </w:r>
      <w:r>
        <w:rPr>
          <w:sz w:val="24"/>
        </w:rPr>
        <w:t>版</w:t>
      </w:r>
      <w:r>
        <w:rPr>
          <w:spacing w:val="-34"/>
          <w:sz w:val="24"/>
        </w:rPr>
        <w:t>）</w:t>
      </w:r>
      <w:r>
        <w:rPr>
          <w:spacing w:val="-11"/>
          <w:sz w:val="24"/>
        </w:rPr>
        <w:t>》，生态环境部第</w:t>
      </w:r>
      <w:r>
        <w:rPr>
          <w:rFonts w:ascii="Times New Roman" w:eastAsia="Times New Roman"/>
          <w:spacing w:val="-6"/>
          <w:sz w:val="24"/>
        </w:rPr>
        <w:t>16</w:t>
      </w:r>
      <w:r>
        <w:rPr>
          <w:sz w:val="24"/>
        </w:rPr>
        <w:t>号令，自</w:t>
      </w:r>
      <w:r>
        <w:rPr>
          <w:rFonts w:ascii="Times New Roman" w:eastAsia="Times New Roman"/>
          <w:sz w:val="24"/>
        </w:rPr>
        <w:t>2021</w:t>
      </w:r>
      <w:r>
        <w:rPr>
          <w:sz w:val="24"/>
        </w:rPr>
        <w:t>年</w:t>
      </w:r>
      <w:r>
        <w:rPr>
          <w:rFonts w:ascii="Times New Roman" w:eastAsia="Times New Roman"/>
          <w:sz w:val="24"/>
        </w:rPr>
        <w:t>1</w:t>
      </w:r>
      <w:r>
        <w:rPr>
          <w:sz w:val="24"/>
        </w:rPr>
        <w:t>月</w:t>
      </w:r>
      <w:r>
        <w:rPr>
          <w:rFonts w:ascii="Times New Roman" w:eastAsia="Times New Roman"/>
          <w:sz w:val="24"/>
        </w:rPr>
        <w:t>1</w:t>
      </w:r>
      <w:r>
        <w:rPr>
          <w:sz w:val="24"/>
        </w:rPr>
        <w:t>日起施行；</w:t>
      </w:r>
    </w:p>
    <w:p>
      <w:pPr>
        <w:pStyle w:val="ListParagraph"/>
        <w:numPr>
          <w:ilvl w:val="1"/>
          <w:numId w:val="4"/>
        </w:numPr>
        <w:tabs>
          <w:tab w:pos="1884" w:val="left" w:leader="none"/>
        </w:tabs>
        <w:spacing w:line="240" w:lineRule="auto" w:before="1" w:after="0"/>
        <w:ind w:left="1883" w:right="0" w:hanging="601"/>
        <w:jc w:val="left"/>
        <w:rPr>
          <w:sz w:val="24"/>
        </w:rPr>
      </w:pPr>
      <w:r>
        <w:rPr>
          <w:spacing w:val="-2"/>
          <w:sz w:val="24"/>
        </w:rPr>
        <w:t>《放射性同位素与射线装置安全和防护管理办法》，环保部令第</w:t>
      </w:r>
      <w:r>
        <w:rPr>
          <w:rFonts w:ascii="Times New Roman" w:eastAsia="Times New Roman"/>
          <w:sz w:val="24"/>
        </w:rPr>
        <w:t>18</w:t>
      </w:r>
      <w:r>
        <w:rPr>
          <w:sz w:val="24"/>
        </w:rPr>
        <w:t>号，</w:t>
      </w:r>
    </w:p>
    <w:p>
      <w:pPr>
        <w:pStyle w:val="BodyText"/>
        <w:spacing w:line="183" w:lineRule="exact" w:before="160"/>
        <w:ind w:left="1282"/>
      </w:pPr>
      <w:r>
        <w:rPr>
          <w:rFonts w:ascii="Times New Roman" w:eastAsia="Times New Roman"/>
        </w:rPr>
        <w:t>2011</w:t>
      </w:r>
      <w:r>
        <w:rPr/>
        <w:t>年</w:t>
      </w:r>
      <w:r>
        <w:rPr>
          <w:rFonts w:ascii="Times New Roman" w:eastAsia="Times New Roman"/>
        </w:rPr>
        <w:t>5</w:t>
      </w:r>
      <w:r>
        <w:rPr/>
        <w:t>月</w:t>
      </w:r>
      <w:r>
        <w:rPr>
          <w:rFonts w:ascii="Times New Roman" w:eastAsia="Times New Roman"/>
        </w:rPr>
        <w:t>1</w:t>
      </w:r>
      <w:r>
        <w:rPr/>
        <w:t>日起施行；</w:t>
      </w:r>
    </w:p>
    <w:p>
      <w:pPr>
        <w:pStyle w:val="Heading1"/>
        <w:spacing w:line="295" w:lineRule="exact" w:before="0"/>
        <w:ind w:left="389"/>
      </w:pPr>
      <w:r>
        <w:rPr/>
        <w:t>法规</w:t>
      </w:r>
    </w:p>
    <w:p>
      <w:pPr>
        <w:pStyle w:val="ListParagraph"/>
        <w:numPr>
          <w:ilvl w:val="1"/>
          <w:numId w:val="4"/>
        </w:numPr>
        <w:tabs>
          <w:tab w:pos="1884" w:val="left" w:leader="none"/>
        </w:tabs>
        <w:spacing w:line="288" w:lineRule="exact" w:before="0" w:after="0"/>
        <w:ind w:left="1883" w:right="0" w:hanging="601"/>
        <w:jc w:val="left"/>
        <w:rPr>
          <w:sz w:val="24"/>
        </w:rPr>
      </w:pPr>
      <w:r>
        <w:rPr>
          <w:spacing w:val="-13"/>
          <w:sz w:val="24"/>
        </w:rPr>
        <w:t>关于发布《射线装置分类》办法的公告，环境保护部、国家卫生和计划</w:t>
      </w:r>
    </w:p>
    <w:p>
      <w:pPr>
        <w:pStyle w:val="BodyText"/>
        <w:tabs>
          <w:tab w:pos="1282" w:val="left" w:leader="none"/>
        </w:tabs>
        <w:spacing w:line="478" w:lineRule="exact"/>
        <w:ind w:left="389"/>
      </w:pPr>
      <w:r>
        <w:rPr>
          <w:position w:val="14"/>
          <w:sz w:val="28"/>
        </w:rPr>
        <w:t>文件</w:t>
        <w:tab/>
      </w:r>
      <w:r>
        <w:rPr/>
        <w:t>生育委员会公告，公告</w:t>
      </w:r>
      <w:r>
        <w:rPr>
          <w:rFonts w:ascii="Times New Roman" w:eastAsia="Times New Roman"/>
        </w:rPr>
        <w:t>2017</w:t>
      </w:r>
      <w:r>
        <w:rPr/>
        <w:t>年第</w:t>
      </w:r>
      <w:r>
        <w:rPr>
          <w:rFonts w:ascii="Times New Roman" w:eastAsia="Times New Roman"/>
        </w:rPr>
        <w:t>66</w:t>
      </w:r>
      <w:r>
        <w:rPr/>
        <w:t>号，</w:t>
      </w:r>
      <w:r>
        <w:rPr>
          <w:rFonts w:ascii="Times New Roman" w:eastAsia="Times New Roman"/>
        </w:rPr>
        <w:t>2017</w:t>
      </w:r>
      <w:r>
        <w:rPr/>
        <w:t>年</w:t>
      </w:r>
      <w:r>
        <w:rPr>
          <w:rFonts w:ascii="Times New Roman" w:eastAsia="Times New Roman"/>
        </w:rPr>
        <w:t>12</w:t>
      </w:r>
      <w:r>
        <w:rPr/>
        <w:t>月</w:t>
      </w:r>
      <w:r>
        <w:rPr>
          <w:rFonts w:ascii="Times New Roman" w:eastAsia="Times New Roman"/>
        </w:rPr>
        <w:t>5</w:t>
      </w:r>
      <w:r>
        <w:rPr/>
        <w:t>日起施行；</w:t>
      </w:r>
    </w:p>
    <w:p>
      <w:pPr>
        <w:pStyle w:val="ListParagraph"/>
        <w:numPr>
          <w:ilvl w:val="1"/>
          <w:numId w:val="4"/>
        </w:numPr>
        <w:tabs>
          <w:tab w:pos="2004" w:val="left" w:leader="none"/>
        </w:tabs>
        <w:spacing w:line="240" w:lineRule="auto" w:before="160" w:after="0"/>
        <w:ind w:left="2003" w:right="0" w:hanging="721"/>
        <w:jc w:val="left"/>
        <w:rPr>
          <w:sz w:val="24"/>
        </w:rPr>
      </w:pPr>
      <w:r>
        <w:rPr>
          <w:sz w:val="24"/>
        </w:rPr>
        <w:t>《四川省辐射污染防治条例》，</w:t>
      </w:r>
      <w:r>
        <w:rPr>
          <w:rFonts w:ascii="Times New Roman" w:eastAsia="Times New Roman"/>
          <w:sz w:val="24"/>
        </w:rPr>
        <w:t>2016</w:t>
      </w:r>
      <w:r>
        <w:rPr>
          <w:sz w:val="24"/>
        </w:rPr>
        <w:t>年</w:t>
      </w:r>
      <w:r>
        <w:rPr>
          <w:rFonts w:ascii="Times New Roman" w:eastAsia="Times New Roman"/>
          <w:sz w:val="24"/>
        </w:rPr>
        <w:t>6</w:t>
      </w:r>
      <w:r>
        <w:rPr>
          <w:sz w:val="24"/>
        </w:rPr>
        <w:t>月</w:t>
      </w:r>
      <w:r>
        <w:rPr>
          <w:rFonts w:ascii="Times New Roman" w:eastAsia="Times New Roman"/>
          <w:sz w:val="24"/>
        </w:rPr>
        <w:t>1</w:t>
      </w:r>
      <w:r>
        <w:rPr>
          <w:sz w:val="24"/>
        </w:rPr>
        <w:t>日起实施；</w:t>
      </w:r>
    </w:p>
    <w:p>
      <w:pPr>
        <w:pStyle w:val="ListParagraph"/>
        <w:numPr>
          <w:ilvl w:val="1"/>
          <w:numId w:val="4"/>
        </w:numPr>
        <w:tabs>
          <w:tab w:pos="2004" w:val="left" w:leader="none"/>
        </w:tabs>
        <w:spacing w:line="364" w:lineRule="auto" w:before="161" w:after="0"/>
        <w:ind w:left="1282" w:right="276" w:firstLine="0"/>
        <w:jc w:val="left"/>
        <w:rPr>
          <w:sz w:val="24"/>
        </w:rPr>
      </w:pPr>
      <w:r>
        <w:rPr>
          <w:sz w:val="24"/>
        </w:rPr>
        <w:t>《关于建立放射性同位素与射线装置辐射事故分级处理和报告制度</w:t>
      </w:r>
      <w:r>
        <w:rPr>
          <w:spacing w:val="-4"/>
          <w:sz w:val="24"/>
        </w:rPr>
        <w:t>的通知》原国家环保总局，环发[</w:t>
      </w:r>
      <w:r>
        <w:rPr>
          <w:rFonts w:ascii="Times New Roman" w:eastAsia="Times New Roman"/>
          <w:sz w:val="24"/>
        </w:rPr>
        <w:t>2006</w:t>
      </w:r>
      <w:r>
        <w:rPr>
          <w:sz w:val="24"/>
        </w:rPr>
        <w:t>]</w:t>
      </w:r>
      <w:r>
        <w:rPr>
          <w:rFonts w:ascii="Times New Roman" w:eastAsia="Times New Roman"/>
          <w:sz w:val="24"/>
        </w:rPr>
        <w:t>145</w:t>
      </w:r>
      <w:r>
        <w:rPr>
          <w:sz w:val="24"/>
        </w:rPr>
        <w:t>号；</w:t>
      </w:r>
    </w:p>
    <w:p>
      <w:pPr>
        <w:pStyle w:val="ListParagraph"/>
        <w:numPr>
          <w:ilvl w:val="1"/>
          <w:numId w:val="4"/>
        </w:numPr>
        <w:tabs>
          <w:tab w:pos="2004" w:val="left" w:leader="none"/>
        </w:tabs>
        <w:spacing w:line="364" w:lineRule="auto" w:before="1" w:after="0"/>
        <w:ind w:left="1282" w:right="278" w:firstLine="0"/>
        <w:jc w:val="left"/>
        <w:rPr>
          <w:sz w:val="24"/>
        </w:rPr>
      </w:pPr>
      <w:r>
        <w:rPr>
          <w:spacing w:val="-2"/>
          <w:sz w:val="24"/>
        </w:rPr>
        <w:t>《关于调整建设项目环境影响评价文件分级审批权限的公告》，四</w:t>
      </w:r>
      <w:r>
        <w:rPr>
          <w:spacing w:val="-4"/>
          <w:sz w:val="24"/>
        </w:rPr>
        <w:t>川省生态环境厅，</w:t>
      </w:r>
      <w:r>
        <w:rPr>
          <w:rFonts w:ascii="Times New Roman" w:eastAsia="Times New Roman"/>
          <w:sz w:val="24"/>
        </w:rPr>
        <w:t>2019</w:t>
      </w:r>
      <w:r>
        <w:rPr>
          <w:sz w:val="24"/>
        </w:rPr>
        <w:t>年第</w:t>
      </w:r>
      <w:r>
        <w:rPr>
          <w:rFonts w:ascii="Times New Roman" w:eastAsia="Times New Roman"/>
          <w:sz w:val="24"/>
        </w:rPr>
        <w:t>2</w:t>
      </w:r>
      <w:r>
        <w:rPr>
          <w:sz w:val="24"/>
        </w:rPr>
        <w:t>号文；</w:t>
      </w:r>
    </w:p>
    <w:p>
      <w:pPr>
        <w:pStyle w:val="ListParagraph"/>
        <w:numPr>
          <w:ilvl w:val="1"/>
          <w:numId w:val="4"/>
        </w:numPr>
        <w:tabs>
          <w:tab w:pos="2004" w:val="left" w:leader="none"/>
        </w:tabs>
        <w:spacing w:line="240" w:lineRule="auto" w:before="1" w:after="0"/>
        <w:ind w:left="2003" w:right="0" w:hanging="721"/>
        <w:jc w:val="left"/>
        <w:rPr>
          <w:sz w:val="24"/>
        </w:rPr>
      </w:pPr>
      <w:r>
        <w:rPr>
          <w:spacing w:val="-1"/>
          <w:sz w:val="24"/>
        </w:rPr>
        <w:t>《产业结构调整指导目录</w:t>
      </w:r>
      <w:r>
        <w:rPr>
          <w:sz w:val="24"/>
        </w:rPr>
        <w:t>（</w:t>
      </w:r>
      <w:r>
        <w:rPr>
          <w:rFonts w:ascii="Times New Roman" w:eastAsia="Times New Roman"/>
          <w:sz w:val="24"/>
        </w:rPr>
        <w:t>2019</w:t>
      </w:r>
      <w:r>
        <w:rPr>
          <w:sz w:val="24"/>
        </w:rPr>
        <w:t>年本）》，国家发展和改革委员会，</w:t>
      </w:r>
    </w:p>
    <w:p>
      <w:pPr>
        <w:pStyle w:val="BodyText"/>
        <w:spacing w:before="161"/>
        <w:ind w:left="1282"/>
      </w:pPr>
      <w:r>
        <w:rPr>
          <w:rFonts w:ascii="Times New Roman" w:eastAsia="Times New Roman"/>
          <w:spacing w:val="-1"/>
        </w:rPr>
        <w:t>2019</w:t>
      </w:r>
      <w:r>
        <w:rPr/>
        <w:t>年令第</w:t>
      </w:r>
      <w:r>
        <w:rPr>
          <w:rFonts w:ascii="Times New Roman" w:eastAsia="Times New Roman"/>
        </w:rPr>
        <w:t>29</w:t>
      </w:r>
      <w:r>
        <w:rPr/>
        <w:t>号；</w:t>
      </w:r>
    </w:p>
    <w:p>
      <w:pPr>
        <w:pStyle w:val="ListParagraph"/>
        <w:numPr>
          <w:ilvl w:val="1"/>
          <w:numId w:val="4"/>
        </w:numPr>
        <w:tabs>
          <w:tab w:pos="2004" w:val="left" w:leader="none"/>
        </w:tabs>
        <w:spacing w:line="240" w:lineRule="auto" w:before="160" w:after="0"/>
        <w:ind w:left="2003" w:right="0" w:hanging="721"/>
        <w:jc w:val="left"/>
        <w:rPr>
          <w:sz w:val="24"/>
        </w:rPr>
      </w:pPr>
      <w:r>
        <w:rPr>
          <w:spacing w:val="-3"/>
          <w:sz w:val="24"/>
        </w:rPr>
        <w:t>《建设项目环境影响报告书</w:t>
      </w:r>
      <w:r>
        <w:rPr>
          <w:sz w:val="24"/>
        </w:rPr>
        <w:t>（表</w:t>
      </w:r>
      <w:r>
        <w:rPr>
          <w:spacing w:val="-34"/>
          <w:sz w:val="24"/>
        </w:rPr>
        <w:t>）</w:t>
      </w:r>
      <w:r>
        <w:rPr>
          <w:spacing w:val="-7"/>
          <w:sz w:val="24"/>
        </w:rPr>
        <w:t>编制监督管理办法》，生态环境部，</w:t>
      </w:r>
    </w:p>
    <w:p>
      <w:pPr>
        <w:pStyle w:val="BodyText"/>
        <w:spacing w:before="161"/>
        <w:ind w:left="1282"/>
      </w:pPr>
      <w:r>
        <w:rPr>
          <w:rFonts w:ascii="Times New Roman" w:eastAsia="Times New Roman"/>
        </w:rPr>
        <w:t>2019</w:t>
      </w:r>
      <w:r>
        <w:rPr/>
        <w:t>年部令第</w:t>
      </w:r>
      <w:r>
        <w:rPr>
          <w:rFonts w:ascii="Times New Roman" w:eastAsia="Times New Roman"/>
        </w:rPr>
        <w:t>9</w:t>
      </w:r>
      <w:r>
        <w:rPr/>
        <w:t>号，</w:t>
      </w:r>
      <w:r>
        <w:rPr>
          <w:rFonts w:ascii="Times New Roman" w:eastAsia="Times New Roman"/>
        </w:rPr>
        <w:t>2019</w:t>
      </w:r>
      <w:r>
        <w:rPr/>
        <w:t>年</w:t>
      </w:r>
      <w:r>
        <w:rPr>
          <w:rFonts w:ascii="Times New Roman" w:eastAsia="Times New Roman"/>
        </w:rPr>
        <w:t>11</w:t>
      </w:r>
      <w:r>
        <w:rPr/>
        <w:t>月</w:t>
      </w:r>
      <w:r>
        <w:rPr>
          <w:rFonts w:ascii="Times New Roman" w:eastAsia="Times New Roman"/>
        </w:rPr>
        <w:t>1</w:t>
      </w:r>
      <w:r>
        <w:rPr/>
        <w:t>日起施行；</w:t>
      </w:r>
    </w:p>
    <w:p>
      <w:pPr>
        <w:pStyle w:val="ListParagraph"/>
        <w:numPr>
          <w:ilvl w:val="1"/>
          <w:numId w:val="4"/>
        </w:numPr>
        <w:tabs>
          <w:tab w:pos="2004" w:val="left" w:leader="none"/>
        </w:tabs>
        <w:spacing w:line="364" w:lineRule="auto" w:before="160" w:after="0"/>
        <w:ind w:left="1282" w:right="278" w:firstLine="0"/>
        <w:jc w:val="left"/>
        <w:rPr>
          <w:sz w:val="24"/>
        </w:rPr>
      </w:pPr>
      <w:r>
        <w:rPr>
          <w:spacing w:val="-2"/>
          <w:sz w:val="24"/>
        </w:rPr>
        <w:t>《关于核技术利用辐射安全与防护培训和考核有关事项的公告》， </w:t>
      </w:r>
      <w:r>
        <w:rPr>
          <w:spacing w:val="-4"/>
          <w:sz w:val="24"/>
        </w:rPr>
        <w:t>生态环境部，公告 </w:t>
      </w:r>
      <w:r>
        <w:rPr>
          <w:rFonts w:ascii="Times New Roman" w:eastAsia="Times New Roman"/>
          <w:sz w:val="24"/>
        </w:rPr>
        <w:t>2019</w:t>
      </w:r>
      <w:r>
        <w:rPr>
          <w:sz w:val="24"/>
        </w:rPr>
        <w:t>年 第</w:t>
      </w:r>
      <w:r>
        <w:rPr>
          <w:rFonts w:ascii="Times New Roman" w:eastAsia="Times New Roman"/>
          <w:sz w:val="24"/>
        </w:rPr>
        <w:t>57</w:t>
      </w:r>
      <w:r>
        <w:rPr>
          <w:sz w:val="24"/>
        </w:rPr>
        <w:t>号。</w:t>
      </w:r>
    </w:p>
    <w:p>
      <w:pPr>
        <w:pStyle w:val="ListParagraph"/>
        <w:numPr>
          <w:ilvl w:val="1"/>
          <w:numId w:val="4"/>
        </w:numPr>
        <w:tabs>
          <w:tab w:pos="2004" w:val="left" w:leader="none"/>
        </w:tabs>
        <w:spacing w:line="364" w:lineRule="auto" w:before="1" w:after="0"/>
        <w:ind w:left="1282" w:right="278" w:firstLine="0"/>
        <w:jc w:val="left"/>
        <w:rPr>
          <w:sz w:val="24"/>
        </w:rPr>
      </w:pPr>
      <w:r>
        <w:rPr>
          <w:sz w:val="24"/>
        </w:rPr>
        <w:t>《关于发布</w:t>
      </w:r>
      <w:r>
        <w:rPr>
          <w:rFonts w:ascii="Times New Roman" w:eastAsia="Times New Roman"/>
          <w:sz w:val="24"/>
        </w:rPr>
        <w:t>&lt;</w:t>
      </w:r>
      <w:r>
        <w:rPr>
          <w:spacing w:val="-3"/>
          <w:sz w:val="24"/>
        </w:rPr>
        <w:t>建设项目环境影响报告书</w:t>
      </w:r>
      <w:r>
        <w:rPr>
          <w:sz w:val="24"/>
        </w:rPr>
        <w:t>（表</w:t>
      </w:r>
      <w:r>
        <w:rPr>
          <w:spacing w:val="-27"/>
          <w:sz w:val="24"/>
        </w:rPr>
        <w:t>）</w:t>
      </w:r>
      <w:r>
        <w:rPr>
          <w:sz w:val="24"/>
        </w:rPr>
        <w:t>编制监督管理办法</w:t>
      </w:r>
      <w:r>
        <w:rPr>
          <w:rFonts w:ascii="Times New Roman" w:eastAsia="Times New Roman"/>
          <w:sz w:val="24"/>
        </w:rPr>
        <w:t>&gt;</w:t>
      </w:r>
      <w:r>
        <w:rPr>
          <w:sz w:val="24"/>
        </w:rPr>
        <w:t>配</w:t>
      </w:r>
      <w:r>
        <w:rPr>
          <w:spacing w:val="-4"/>
          <w:sz w:val="24"/>
        </w:rPr>
        <w:t>套文件的公告》，生态环境部，公告</w:t>
      </w:r>
      <w:r>
        <w:rPr>
          <w:rFonts w:ascii="Times New Roman" w:eastAsia="Times New Roman"/>
          <w:sz w:val="24"/>
        </w:rPr>
        <w:t>2019</w:t>
      </w:r>
      <w:r>
        <w:rPr>
          <w:sz w:val="24"/>
        </w:rPr>
        <w:t>年第</w:t>
      </w:r>
      <w:r>
        <w:rPr>
          <w:rFonts w:ascii="Times New Roman" w:eastAsia="Times New Roman"/>
          <w:sz w:val="24"/>
        </w:rPr>
        <w:t>38</w:t>
      </w:r>
      <w:r>
        <w:rPr>
          <w:sz w:val="24"/>
        </w:rPr>
        <w:t>号，</w:t>
      </w:r>
      <w:r>
        <w:rPr>
          <w:rFonts w:ascii="Times New Roman" w:eastAsia="Times New Roman"/>
          <w:sz w:val="24"/>
        </w:rPr>
        <w:t>2019</w:t>
      </w:r>
      <w:r>
        <w:rPr>
          <w:sz w:val="24"/>
        </w:rPr>
        <w:t>年</w:t>
      </w:r>
      <w:r>
        <w:rPr>
          <w:rFonts w:ascii="Times New Roman" w:eastAsia="Times New Roman"/>
          <w:sz w:val="24"/>
        </w:rPr>
        <w:t>11</w:t>
      </w:r>
      <w:r>
        <w:rPr>
          <w:sz w:val="24"/>
        </w:rPr>
        <w:t>月</w:t>
      </w:r>
      <w:r>
        <w:rPr>
          <w:rFonts w:ascii="Times New Roman" w:eastAsia="Times New Roman"/>
          <w:sz w:val="24"/>
        </w:rPr>
        <w:t>1</w:t>
      </w:r>
      <w:r>
        <w:rPr>
          <w:sz w:val="24"/>
        </w:rPr>
        <w:t>日起施行；</w:t>
      </w:r>
    </w:p>
    <w:p>
      <w:pPr>
        <w:spacing w:after="0" w:line="364" w:lineRule="auto"/>
        <w:jc w:val="left"/>
        <w:rPr>
          <w:sz w:val="24"/>
        </w:rPr>
        <w:sectPr>
          <w:footerReference w:type="default" r:id="rId8"/>
          <w:pgSz w:w="11910" w:h="16840"/>
          <w:pgMar w:footer="881" w:header="0" w:top="1320" w:bottom="1080" w:left="1480" w:right="1020"/>
          <w:pgNumType w:start="11"/>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0"/>
        <w:gridCol w:w="8061"/>
      </w:tblGrid>
      <w:tr>
        <w:trPr>
          <w:trHeight w:val="935" w:hRule="atLeast"/>
        </w:trPr>
        <w:tc>
          <w:tcPr>
            <w:tcW w:w="1010" w:type="dxa"/>
          </w:tcPr>
          <w:p>
            <w:pPr>
              <w:pStyle w:val="TableParagraph"/>
              <w:jc w:val="left"/>
              <w:rPr>
                <w:rFonts w:ascii="Times New Roman"/>
                <w:sz w:val="24"/>
              </w:rPr>
            </w:pPr>
          </w:p>
        </w:tc>
        <w:tc>
          <w:tcPr>
            <w:tcW w:w="8061" w:type="dxa"/>
          </w:tcPr>
          <w:p>
            <w:pPr>
              <w:pStyle w:val="TableParagraph"/>
              <w:spacing w:before="81"/>
              <w:ind w:left="108"/>
              <w:jc w:val="left"/>
              <w:rPr>
                <w:sz w:val="24"/>
              </w:rPr>
            </w:pPr>
            <w:r>
              <w:rPr>
                <w:sz w:val="24"/>
              </w:rPr>
              <w:t>（</w:t>
            </w:r>
            <w:r>
              <w:rPr>
                <w:rFonts w:ascii="Times New Roman" w:eastAsia="Times New Roman"/>
                <w:sz w:val="24"/>
              </w:rPr>
              <w:t>17</w:t>
            </w:r>
            <w:r>
              <w:rPr>
                <w:spacing w:val="-149"/>
                <w:sz w:val="24"/>
              </w:rPr>
              <w:t>）</w:t>
            </w:r>
            <w:r>
              <w:rPr>
                <w:spacing w:val="-11"/>
                <w:sz w:val="24"/>
              </w:rPr>
              <w:t>《关于启用环境影响评价信用平台的公告》，生态环境部，公告</w:t>
            </w:r>
            <w:r>
              <w:rPr>
                <w:rFonts w:ascii="Times New Roman" w:eastAsia="Times New Roman"/>
                <w:sz w:val="24"/>
              </w:rPr>
              <w:t>2019</w:t>
            </w:r>
            <w:r>
              <w:rPr>
                <w:rFonts w:ascii="Times New Roman" w:eastAsia="Times New Roman"/>
                <w:spacing w:val="-1"/>
                <w:sz w:val="24"/>
              </w:rPr>
              <w:t> </w:t>
            </w:r>
            <w:r>
              <w:rPr>
                <w:sz w:val="24"/>
              </w:rPr>
              <w:t>年</w:t>
            </w:r>
          </w:p>
          <w:p>
            <w:pPr>
              <w:pStyle w:val="TableParagraph"/>
              <w:spacing w:before="161"/>
              <w:ind w:left="108"/>
              <w:jc w:val="left"/>
              <w:rPr>
                <w:sz w:val="24"/>
              </w:rPr>
            </w:pPr>
            <w:r>
              <w:rPr>
                <w:sz w:val="24"/>
              </w:rPr>
              <w:t>第</w:t>
            </w:r>
            <w:r>
              <w:rPr>
                <w:rFonts w:ascii="Times New Roman" w:eastAsia="Times New Roman"/>
                <w:sz w:val="24"/>
              </w:rPr>
              <w:t>39</w:t>
            </w:r>
            <w:r>
              <w:rPr>
                <w:sz w:val="24"/>
              </w:rPr>
              <w:t>号，</w:t>
            </w:r>
            <w:r>
              <w:rPr>
                <w:rFonts w:ascii="Times New Roman" w:eastAsia="Times New Roman"/>
                <w:sz w:val="24"/>
              </w:rPr>
              <w:t>2019</w:t>
            </w:r>
            <w:r>
              <w:rPr>
                <w:sz w:val="24"/>
              </w:rPr>
              <w:t>年</w:t>
            </w:r>
            <w:r>
              <w:rPr>
                <w:rFonts w:ascii="Times New Roman" w:eastAsia="Times New Roman"/>
                <w:sz w:val="24"/>
              </w:rPr>
              <w:t>11</w:t>
            </w:r>
            <w:r>
              <w:rPr>
                <w:sz w:val="24"/>
              </w:rPr>
              <w:t>月</w:t>
            </w:r>
            <w:r>
              <w:rPr>
                <w:rFonts w:ascii="Times New Roman" w:eastAsia="Times New Roman"/>
                <w:sz w:val="24"/>
              </w:rPr>
              <w:t>1</w:t>
            </w:r>
            <w:r>
              <w:rPr>
                <w:sz w:val="24"/>
              </w:rPr>
              <w:t>日起启用。</w:t>
            </w:r>
          </w:p>
        </w:tc>
      </w:tr>
      <w:tr>
        <w:trPr>
          <w:trHeight w:val="7955" w:hRule="atLeast"/>
        </w:trPr>
        <w:tc>
          <w:tcPr>
            <w:tcW w:w="1010" w:type="dxa"/>
          </w:tcPr>
          <w:p>
            <w:pPr>
              <w:pStyle w:val="TableParagraph"/>
              <w:jc w:val="left"/>
              <w:rPr>
                <w:sz w:val="34"/>
              </w:rPr>
            </w:pPr>
          </w:p>
          <w:p>
            <w:pPr>
              <w:pStyle w:val="TableParagraph"/>
              <w:jc w:val="left"/>
              <w:rPr>
                <w:sz w:val="34"/>
              </w:rPr>
            </w:pPr>
          </w:p>
          <w:p>
            <w:pPr>
              <w:pStyle w:val="TableParagraph"/>
              <w:jc w:val="left"/>
              <w:rPr>
                <w:sz w:val="34"/>
              </w:rPr>
            </w:pPr>
          </w:p>
          <w:p>
            <w:pPr>
              <w:pStyle w:val="TableParagraph"/>
              <w:jc w:val="left"/>
              <w:rPr>
                <w:sz w:val="34"/>
              </w:rPr>
            </w:pPr>
          </w:p>
          <w:p>
            <w:pPr>
              <w:pStyle w:val="TableParagraph"/>
              <w:jc w:val="left"/>
              <w:rPr>
                <w:sz w:val="34"/>
              </w:rPr>
            </w:pPr>
          </w:p>
          <w:p>
            <w:pPr>
              <w:pStyle w:val="TableParagraph"/>
              <w:jc w:val="left"/>
              <w:rPr>
                <w:sz w:val="34"/>
              </w:rPr>
            </w:pPr>
          </w:p>
          <w:p>
            <w:pPr>
              <w:pStyle w:val="TableParagraph"/>
              <w:jc w:val="left"/>
              <w:rPr>
                <w:sz w:val="34"/>
              </w:rPr>
            </w:pPr>
          </w:p>
          <w:p>
            <w:pPr>
              <w:pStyle w:val="TableParagraph"/>
              <w:jc w:val="left"/>
              <w:rPr>
                <w:sz w:val="34"/>
              </w:rPr>
            </w:pPr>
          </w:p>
          <w:p>
            <w:pPr>
              <w:pStyle w:val="TableParagraph"/>
              <w:spacing w:line="417" w:lineRule="auto"/>
              <w:ind w:left="225" w:right="210"/>
              <w:jc w:val="left"/>
              <w:rPr>
                <w:sz w:val="28"/>
              </w:rPr>
            </w:pPr>
            <w:r>
              <w:rPr>
                <w:sz w:val="28"/>
              </w:rPr>
              <w:t>技术标准</w:t>
            </w:r>
          </w:p>
        </w:tc>
        <w:tc>
          <w:tcPr>
            <w:tcW w:w="8061" w:type="dxa"/>
          </w:tcPr>
          <w:p>
            <w:pPr>
              <w:pStyle w:val="TableParagraph"/>
              <w:numPr>
                <w:ilvl w:val="0"/>
                <w:numId w:val="5"/>
              </w:numPr>
              <w:tabs>
                <w:tab w:pos="710" w:val="left" w:leader="none"/>
              </w:tabs>
              <w:spacing w:line="240" w:lineRule="auto" w:before="81" w:after="0"/>
              <w:ind w:left="709" w:right="0" w:hanging="601"/>
              <w:jc w:val="left"/>
              <w:rPr>
                <w:sz w:val="24"/>
              </w:rPr>
            </w:pPr>
            <w:r>
              <w:rPr>
                <w:spacing w:val="-7"/>
                <w:sz w:val="24"/>
              </w:rPr>
              <w:t>《电离辐射防护与辐射源安全基本标准》</w:t>
            </w:r>
            <w:r>
              <w:rPr>
                <w:spacing w:val="-1"/>
                <w:sz w:val="24"/>
              </w:rPr>
              <w:t>（</w:t>
            </w:r>
            <w:r>
              <w:rPr>
                <w:rFonts w:ascii="Times New Roman" w:eastAsia="Times New Roman"/>
                <w:w w:val="99"/>
                <w:sz w:val="24"/>
              </w:rPr>
              <w:t>G</w:t>
            </w:r>
            <w:r>
              <w:rPr>
                <w:rFonts w:ascii="Times New Roman" w:eastAsia="Times New Roman"/>
                <w:w w:val="99"/>
                <w:sz w:val="24"/>
              </w:rPr>
              <w:t>B</w:t>
            </w:r>
            <w:r>
              <w:rPr>
                <w:rFonts w:ascii="Times New Roman" w:eastAsia="Times New Roman"/>
                <w:sz w:val="24"/>
              </w:rPr>
              <w:t>18871-200</w:t>
            </w:r>
            <w:r>
              <w:rPr>
                <w:rFonts w:ascii="Times New Roman" w:eastAsia="Times New Roman"/>
                <w:spacing w:val="-1"/>
                <w:sz w:val="24"/>
              </w:rPr>
              <w:t>2</w:t>
            </w:r>
            <w:r>
              <w:rPr>
                <w:spacing w:val="-120"/>
                <w:sz w:val="24"/>
              </w:rPr>
              <w:t>）</w:t>
            </w:r>
            <w:r>
              <w:rPr>
                <w:sz w:val="24"/>
              </w:rPr>
              <w:t>；</w:t>
            </w:r>
          </w:p>
          <w:p>
            <w:pPr>
              <w:pStyle w:val="TableParagraph"/>
              <w:numPr>
                <w:ilvl w:val="0"/>
                <w:numId w:val="5"/>
              </w:numPr>
              <w:tabs>
                <w:tab w:pos="710" w:val="left" w:leader="none"/>
              </w:tabs>
              <w:spacing w:line="240" w:lineRule="auto" w:before="161" w:after="0"/>
              <w:ind w:left="709" w:right="0" w:hanging="601"/>
              <w:jc w:val="left"/>
              <w:rPr>
                <w:sz w:val="24"/>
              </w:rPr>
            </w:pPr>
            <w:r>
              <w:rPr>
                <w:spacing w:val="-21"/>
                <w:sz w:val="24"/>
              </w:rPr>
              <w:t>《地表水环境质量标准》</w:t>
            </w:r>
            <w:r>
              <w:rPr>
                <w:spacing w:val="-8"/>
                <w:sz w:val="24"/>
              </w:rPr>
              <w:t>（</w:t>
            </w:r>
            <w:r>
              <w:rPr>
                <w:rFonts w:ascii="Times New Roman" w:eastAsia="Times New Roman"/>
                <w:spacing w:val="-6"/>
                <w:w w:val="99"/>
                <w:sz w:val="24"/>
              </w:rPr>
              <w:t>G</w:t>
            </w:r>
            <w:r>
              <w:rPr>
                <w:rFonts w:ascii="Times New Roman" w:eastAsia="Times New Roman"/>
                <w:spacing w:val="-4"/>
                <w:w w:val="99"/>
                <w:sz w:val="24"/>
              </w:rPr>
              <w:t>B</w:t>
            </w:r>
            <w:r>
              <w:rPr>
                <w:rFonts w:ascii="Times New Roman" w:eastAsia="Times New Roman"/>
                <w:spacing w:val="-3"/>
                <w:sz w:val="24"/>
              </w:rPr>
              <w:t>3</w:t>
            </w:r>
            <w:r>
              <w:rPr>
                <w:rFonts w:ascii="Times New Roman" w:eastAsia="Times New Roman"/>
                <w:spacing w:val="-5"/>
                <w:sz w:val="24"/>
              </w:rPr>
              <w:t>83</w:t>
            </w:r>
            <w:r>
              <w:rPr>
                <w:rFonts w:ascii="Times New Roman" w:eastAsia="Times New Roman"/>
                <w:spacing w:val="-3"/>
                <w:sz w:val="24"/>
              </w:rPr>
              <w:t>8</w:t>
            </w:r>
            <w:r>
              <w:rPr>
                <w:rFonts w:ascii="Times New Roman" w:eastAsia="Times New Roman"/>
                <w:spacing w:val="-6"/>
                <w:sz w:val="24"/>
              </w:rPr>
              <w:t>-</w:t>
            </w:r>
            <w:r>
              <w:rPr>
                <w:rFonts w:ascii="Times New Roman" w:eastAsia="Times New Roman"/>
                <w:spacing w:val="-3"/>
                <w:sz w:val="24"/>
              </w:rPr>
              <w:t>2</w:t>
            </w:r>
            <w:r>
              <w:rPr>
                <w:rFonts w:ascii="Times New Roman" w:eastAsia="Times New Roman"/>
                <w:spacing w:val="-5"/>
                <w:sz w:val="24"/>
              </w:rPr>
              <w:t>00</w:t>
            </w:r>
            <w:r>
              <w:rPr>
                <w:rFonts w:ascii="Times New Roman" w:eastAsia="Times New Roman"/>
                <w:spacing w:val="-3"/>
                <w:sz w:val="24"/>
              </w:rPr>
              <w:t>2</w:t>
            </w:r>
            <w:r>
              <w:rPr>
                <w:spacing w:val="-123"/>
                <w:sz w:val="24"/>
              </w:rPr>
              <w:t>）</w:t>
            </w:r>
            <w:r>
              <w:rPr>
                <w:sz w:val="24"/>
              </w:rPr>
              <w:t>；</w:t>
            </w:r>
          </w:p>
          <w:p>
            <w:pPr>
              <w:pStyle w:val="TableParagraph"/>
              <w:numPr>
                <w:ilvl w:val="0"/>
                <w:numId w:val="5"/>
              </w:numPr>
              <w:tabs>
                <w:tab w:pos="695" w:val="left" w:leader="none"/>
              </w:tabs>
              <w:spacing w:line="240" w:lineRule="auto" w:before="160" w:after="0"/>
              <w:ind w:left="694" w:right="0" w:hanging="586"/>
              <w:jc w:val="left"/>
              <w:rPr>
                <w:sz w:val="24"/>
              </w:rPr>
            </w:pPr>
            <w:r>
              <w:rPr>
                <w:spacing w:val="-22"/>
                <w:sz w:val="24"/>
              </w:rPr>
              <w:t>《环境空气质量标准》</w:t>
            </w:r>
            <w:r>
              <w:rPr>
                <w:spacing w:val="-10"/>
                <w:sz w:val="24"/>
              </w:rPr>
              <w:t>（</w:t>
            </w:r>
            <w:r>
              <w:rPr>
                <w:rFonts w:ascii="Times New Roman" w:eastAsia="Times New Roman"/>
                <w:spacing w:val="-6"/>
                <w:w w:val="99"/>
                <w:sz w:val="24"/>
              </w:rPr>
              <w:t>G</w:t>
            </w:r>
            <w:r>
              <w:rPr>
                <w:rFonts w:ascii="Times New Roman" w:eastAsia="Times New Roman"/>
                <w:spacing w:val="-2"/>
                <w:w w:val="99"/>
                <w:sz w:val="24"/>
              </w:rPr>
              <w:t>B</w:t>
            </w:r>
            <w:r>
              <w:rPr>
                <w:rFonts w:ascii="Times New Roman" w:eastAsia="Times New Roman"/>
                <w:spacing w:val="-5"/>
                <w:sz w:val="24"/>
              </w:rPr>
              <w:t>30</w:t>
            </w:r>
            <w:r>
              <w:rPr>
                <w:rFonts w:ascii="Times New Roman" w:eastAsia="Times New Roman"/>
                <w:spacing w:val="-3"/>
                <w:sz w:val="24"/>
              </w:rPr>
              <w:t>9</w:t>
            </w:r>
            <w:r>
              <w:rPr>
                <w:rFonts w:ascii="Times New Roman" w:eastAsia="Times New Roman"/>
                <w:spacing w:val="-5"/>
                <w:sz w:val="24"/>
              </w:rPr>
              <w:t>5</w:t>
            </w:r>
            <w:r>
              <w:rPr>
                <w:rFonts w:ascii="Times New Roman" w:eastAsia="Times New Roman"/>
                <w:spacing w:val="-4"/>
                <w:sz w:val="24"/>
              </w:rPr>
              <w:t>-</w:t>
            </w:r>
            <w:r>
              <w:rPr>
                <w:rFonts w:ascii="Times New Roman" w:eastAsia="Times New Roman"/>
                <w:spacing w:val="-5"/>
                <w:sz w:val="24"/>
              </w:rPr>
              <w:t>20</w:t>
            </w:r>
            <w:r>
              <w:rPr>
                <w:rFonts w:ascii="Times New Roman" w:eastAsia="Times New Roman"/>
                <w:spacing w:val="-3"/>
                <w:sz w:val="24"/>
              </w:rPr>
              <w:t>1</w:t>
            </w:r>
            <w:r>
              <w:rPr>
                <w:rFonts w:ascii="Times New Roman" w:eastAsia="Times New Roman"/>
                <w:spacing w:val="-5"/>
                <w:sz w:val="24"/>
              </w:rPr>
              <w:t>2</w:t>
            </w:r>
            <w:r>
              <w:rPr>
                <w:spacing w:val="-123"/>
                <w:sz w:val="24"/>
              </w:rPr>
              <w:t>）</w:t>
            </w:r>
            <w:r>
              <w:rPr>
                <w:sz w:val="24"/>
              </w:rPr>
              <w:t>；</w:t>
            </w:r>
          </w:p>
          <w:p>
            <w:pPr>
              <w:pStyle w:val="TableParagraph"/>
              <w:spacing w:before="161"/>
              <w:ind w:left="108"/>
              <w:jc w:val="left"/>
              <w:rPr>
                <w:sz w:val="24"/>
              </w:rPr>
            </w:pPr>
            <w:r>
              <w:rPr>
                <w:spacing w:val="-10"/>
                <w:sz w:val="24"/>
              </w:rPr>
              <w:t>（</w:t>
            </w:r>
            <w:r>
              <w:rPr>
                <w:rFonts w:ascii="Times New Roman" w:eastAsia="Times New Roman"/>
                <w:spacing w:val="-5"/>
                <w:sz w:val="24"/>
              </w:rPr>
              <w:t>4</w:t>
            </w:r>
            <w:r>
              <w:rPr>
                <w:spacing w:val="-123"/>
                <w:sz w:val="24"/>
              </w:rPr>
              <w:t>）</w:t>
            </w:r>
            <w:r>
              <w:rPr>
                <w:spacing w:val="-23"/>
                <w:sz w:val="24"/>
              </w:rPr>
              <w:t>《声环境质量标准》</w:t>
            </w:r>
            <w:r>
              <w:rPr>
                <w:spacing w:val="-10"/>
                <w:sz w:val="24"/>
              </w:rPr>
              <w:t>（</w:t>
            </w:r>
            <w:r>
              <w:rPr>
                <w:rFonts w:ascii="Times New Roman" w:eastAsia="Times New Roman"/>
                <w:spacing w:val="-6"/>
                <w:w w:val="99"/>
                <w:sz w:val="24"/>
              </w:rPr>
              <w:t>G</w:t>
            </w:r>
            <w:r>
              <w:rPr>
                <w:rFonts w:ascii="Times New Roman" w:eastAsia="Times New Roman"/>
                <w:spacing w:val="-2"/>
                <w:w w:val="99"/>
                <w:sz w:val="24"/>
              </w:rPr>
              <w:t>B</w:t>
            </w:r>
            <w:r>
              <w:rPr>
                <w:rFonts w:ascii="Times New Roman" w:eastAsia="Times New Roman"/>
                <w:spacing w:val="-5"/>
                <w:sz w:val="24"/>
              </w:rPr>
              <w:t>30</w:t>
            </w:r>
            <w:r>
              <w:rPr>
                <w:rFonts w:ascii="Times New Roman" w:eastAsia="Times New Roman"/>
                <w:spacing w:val="-3"/>
                <w:sz w:val="24"/>
              </w:rPr>
              <w:t>9</w:t>
            </w:r>
            <w:r>
              <w:rPr>
                <w:rFonts w:ascii="Times New Roman" w:eastAsia="Times New Roman"/>
                <w:spacing w:val="-5"/>
                <w:sz w:val="24"/>
              </w:rPr>
              <w:t>6</w:t>
            </w:r>
            <w:r>
              <w:rPr>
                <w:rFonts w:ascii="Times New Roman" w:eastAsia="Times New Roman"/>
                <w:spacing w:val="-4"/>
                <w:sz w:val="24"/>
              </w:rPr>
              <w:t>-</w:t>
            </w:r>
            <w:r>
              <w:rPr>
                <w:rFonts w:ascii="Times New Roman" w:eastAsia="Times New Roman"/>
                <w:spacing w:val="-5"/>
                <w:sz w:val="24"/>
              </w:rPr>
              <w:t>20</w:t>
            </w:r>
            <w:r>
              <w:rPr>
                <w:rFonts w:ascii="Times New Roman" w:eastAsia="Times New Roman"/>
                <w:spacing w:val="-3"/>
                <w:sz w:val="24"/>
              </w:rPr>
              <w:t>0</w:t>
            </w:r>
            <w:r>
              <w:rPr>
                <w:rFonts w:ascii="Times New Roman" w:eastAsia="Times New Roman"/>
                <w:spacing w:val="-5"/>
                <w:sz w:val="24"/>
              </w:rPr>
              <w:t>8</w:t>
            </w:r>
            <w:r>
              <w:rPr>
                <w:spacing w:val="-123"/>
                <w:sz w:val="24"/>
              </w:rPr>
              <w:t>）</w:t>
            </w:r>
            <w:r>
              <w:rPr>
                <w:sz w:val="24"/>
              </w:rPr>
              <w:t>；</w:t>
            </w:r>
          </w:p>
          <w:p>
            <w:pPr>
              <w:pStyle w:val="TableParagraph"/>
              <w:numPr>
                <w:ilvl w:val="0"/>
                <w:numId w:val="6"/>
              </w:numPr>
              <w:tabs>
                <w:tab w:pos="710" w:val="left" w:leader="none"/>
              </w:tabs>
              <w:spacing w:line="240" w:lineRule="auto" w:before="160" w:after="0"/>
              <w:ind w:left="709" w:right="0" w:hanging="601"/>
              <w:jc w:val="left"/>
              <w:rPr>
                <w:sz w:val="24"/>
              </w:rPr>
            </w:pPr>
            <w:r>
              <w:rPr>
                <w:spacing w:val="-9"/>
                <w:sz w:val="24"/>
              </w:rPr>
              <w:t>《医用机构水污染物排放标准》</w:t>
            </w:r>
            <w:r>
              <w:rPr>
                <w:spacing w:val="-1"/>
                <w:sz w:val="24"/>
              </w:rPr>
              <w:t>（</w:t>
            </w:r>
            <w:r>
              <w:rPr>
                <w:rFonts w:ascii="Times New Roman" w:eastAsia="Times New Roman"/>
                <w:w w:val="99"/>
                <w:sz w:val="24"/>
              </w:rPr>
              <w:t>G</w:t>
            </w:r>
            <w:r>
              <w:rPr>
                <w:rFonts w:ascii="Times New Roman" w:eastAsia="Times New Roman"/>
                <w:w w:val="99"/>
                <w:sz w:val="24"/>
              </w:rPr>
              <w:t>B</w:t>
            </w:r>
            <w:r>
              <w:rPr>
                <w:rFonts w:ascii="Times New Roman" w:eastAsia="Times New Roman"/>
                <w:sz w:val="24"/>
              </w:rPr>
              <w:t>18466-200</w:t>
            </w:r>
            <w:r>
              <w:rPr>
                <w:rFonts w:ascii="Times New Roman" w:eastAsia="Times New Roman"/>
                <w:spacing w:val="-1"/>
                <w:sz w:val="24"/>
              </w:rPr>
              <w:t>5</w:t>
            </w:r>
            <w:r>
              <w:rPr>
                <w:spacing w:val="-120"/>
                <w:sz w:val="24"/>
              </w:rPr>
              <w:t>）</w:t>
            </w:r>
            <w:r>
              <w:rPr>
                <w:sz w:val="24"/>
              </w:rPr>
              <w:t>；</w:t>
            </w:r>
          </w:p>
          <w:p>
            <w:pPr>
              <w:pStyle w:val="TableParagraph"/>
              <w:numPr>
                <w:ilvl w:val="0"/>
                <w:numId w:val="6"/>
              </w:numPr>
              <w:tabs>
                <w:tab w:pos="695" w:val="left" w:leader="none"/>
              </w:tabs>
              <w:spacing w:line="240" w:lineRule="auto" w:before="161" w:after="0"/>
              <w:ind w:left="694" w:right="0" w:hanging="586"/>
              <w:jc w:val="left"/>
              <w:rPr>
                <w:sz w:val="24"/>
              </w:rPr>
            </w:pPr>
            <w:r>
              <w:rPr>
                <w:spacing w:val="-19"/>
                <w:sz w:val="24"/>
              </w:rPr>
              <w:t>《大气污染物综合排放标准》</w:t>
            </w:r>
            <w:r>
              <w:rPr>
                <w:spacing w:val="-10"/>
                <w:sz w:val="24"/>
              </w:rPr>
              <w:t>（</w:t>
            </w:r>
            <w:r>
              <w:rPr>
                <w:rFonts w:ascii="Times New Roman" w:eastAsia="Times New Roman"/>
                <w:spacing w:val="-6"/>
                <w:w w:val="99"/>
                <w:sz w:val="24"/>
              </w:rPr>
              <w:t>G</w:t>
            </w:r>
            <w:r>
              <w:rPr>
                <w:rFonts w:ascii="Times New Roman" w:eastAsia="Times New Roman"/>
                <w:spacing w:val="-2"/>
                <w:w w:val="99"/>
                <w:sz w:val="24"/>
              </w:rPr>
              <w:t>B</w:t>
            </w:r>
            <w:r>
              <w:rPr>
                <w:rFonts w:ascii="Times New Roman" w:eastAsia="Times New Roman"/>
                <w:spacing w:val="-5"/>
                <w:sz w:val="24"/>
              </w:rPr>
              <w:t>16</w:t>
            </w:r>
            <w:r>
              <w:rPr>
                <w:rFonts w:ascii="Times New Roman" w:eastAsia="Times New Roman"/>
                <w:spacing w:val="-3"/>
                <w:sz w:val="24"/>
              </w:rPr>
              <w:t>2</w:t>
            </w:r>
            <w:r>
              <w:rPr>
                <w:rFonts w:ascii="Times New Roman" w:eastAsia="Times New Roman"/>
                <w:spacing w:val="-5"/>
                <w:sz w:val="24"/>
              </w:rPr>
              <w:t>9</w:t>
            </w:r>
            <w:r>
              <w:rPr>
                <w:rFonts w:ascii="Times New Roman" w:eastAsia="Times New Roman"/>
                <w:spacing w:val="-3"/>
                <w:sz w:val="24"/>
              </w:rPr>
              <w:t>7</w:t>
            </w:r>
            <w:r>
              <w:rPr>
                <w:rFonts w:ascii="Times New Roman" w:eastAsia="Times New Roman"/>
                <w:spacing w:val="-6"/>
                <w:sz w:val="24"/>
              </w:rPr>
              <w:t>-</w:t>
            </w:r>
            <w:r>
              <w:rPr>
                <w:rFonts w:ascii="Times New Roman" w:eastAsia="Times New Roman"/>
                <w:spacing w:val="-3"/>
                <w:sz w:val="24"/>
              </w:rPr>
              <w:t>1</w:t>
            </w:r>
            <w:r>
              <w:rPr>
                <w:rFonts w:ascii="Times New Roman" w:eastAsia="Times New Roman"/>
                <w:spacing w:val="-5"/>
                <w:sz w:val="24"/>
              </w:rPr>
              <w:t>996</w:t>
            </w:r>
            <w:r>
              <w:rPr>
                <w:spacing w:val="-123"/>
                <w:sz w:val="24"/>
              </w:rPr>
              <w:t>）</w:t>
            </w:r>
            <w:r>
              <w:rPr>
                <w:sz w:val="24"/>
              </w:rPr>
              <w:t>；</w:t>
            </w:r>
          </w:p>
          <w:p>
            <w:pPr>
              <w:pStyle w:val="TableParagraph"/>
              <w:numPr>
                <w:ilvl w:val="0"/>
                <w:numId w:val="6"/>
              </w:numPr>
              <w:tabs>
                <w:tab w:pos="695" w:val="left" w:leader="none"/>
              </w:tabs>
              <w:spacing w:line="240" w:lineRule="auto" w:before="160" w:after="0"/>
              <w:ind w:left="694" w:right="0" w:hanging="586"/>
              <w:jc w:val="left"/>
              <w:rPr>
                <w:sz w:val="24"/>
              </w:rPr>
            </w:pPr>
            <w:r>
              <w:rPr>
                <w:spacing w:val="-18"/>
                <w:sz w:val="24"/>
              </w:rPr>
              <w:t>《工业企业厂界环境噪声排放标准》</w:t>
            </w:r>
            <w:r>
              <w:rPr>
                <w:spacing w:val="-10"/>
                <w:sz w:val="24"/>
              </w:rPr>
              <w:t>（</w:t>
            </w:r>
            <w:r>
              <w:rPr>
                <w:rFonts w:ascii="Times New Roman" w:eastAsia="Times New Roman"/>
                <w:spacing w:val="-6"/>
                <w:w w:val="99"/>
                <w:sz w:val="24"/>
              </w:rPr>
              <w:t>G</w:t>
            </w:r>
            <w:r>
              <w:rPr>
                <w:rFonts w:ascii="Times New Roman" w:eastAsia="Times New Roman"/>
                <w:spacing w:val="-2"/>
                <w:w w:val="99"/>
                <w:sz w:val="24"/>
              </w:rPr>
              <w:t>B</w:t>
            </w:r>
            <w:r>
              <w:rPr>
                <w:rFonts w:ascii="Times New Roman" w:eastAsia="Times New Roman"/>
                <w:spacing w:val="-3"/>
                <w:sz w:val="24"/>
              </w:rPr>
              <w:t>1</w:t>
            </w:r>
            <w:r>
              <w:rPr>
                <w:rFonts w:ascii="Times New Roman" w:eastAsia="Times New Roman"/>
                <w:spacing w:val="-5"/>
                <w:sz w:val="24"/>
              </w:rPr>
              <w:t>234</w:t>
            </w:r>
            <w:r>
              <w:rPr>
                <w:rFonts w:ascii="Times New Roman" w:eastAsia="Times New Roman"/>
                <w:spacing w:val="-3"/>
                <w:sz w:val="24"/>
              </w:rPr>
              <w:t>8</w:t>
            </w:r>
            <w:r>
              <w:rPr>
                <w:rFonts w:ascii="Times New Roman" w:eastAsia="Times New Roman"/>
                <w:spacing w:val="-6"/>
                <w:sz w:val="24"/>
              </w:rPr>
              <w:t>-</w:t>
            </w:r>
            <w:r>
              <w:rPr>
                <w:rFonts w:ascii="Times New Roman" w:eastAsia="Times New Roman"/>
                <w:spacing w:val="-3"/>
                <w:sz w:val="24"/>
              </w:rPr>
              <w:t>2</w:t>
            </w:r>
            <w:r>
              <w:rPr>
                <w:rFonts w:ascii="Times New Roman" w:eastAsia="Times New Roman"/>
                <w:spacing w:val="-5"/>
                <w:sz w:val="24"/>
              </w:rPr>
              <w:t>00</w:t>
            </w:r>
            <w:r>
              <w:rPr>
                <w:rFonts w:ascii="Times New Roman" w:eastAsia="Times New Roman"/>
                <w:spacing w:val="-3"/>
                <w:sz w:val="24"/>
              </w:rPr>
              <w:t>8</w:t>
            </w:r>
            <w:r>
              <w:rPr>
                <w:spacing w:val="-125"/>
                <w:sz w:val="24"/>
              </w:rPr>
              <w:t>）</w:t>
            </w:r>
            <w:r>
              <w:rPr>
                <w:sz w:val="24"/>
              </w:rPr>
              <w:t>；</w:t>
            </w:r>
          </w:p>
          <w:p>
            <w:pPr>
              <w:pStyle w:val="TableParagraph"/>
              <w:numPr>
                <w:ilvl w:val="0"/>
                <w:numId w:val="6"/>
              </w:numPr>
              <w:tabs>
                <w:tab w:pos="710" w:val="left" w:leader="none"/>
              </w:tabs>
              <w:spacing w:line="240" w:lineRule="auto" w:before="161" w:after="0"/>
              <w:ind w:left="709" w:right="0" w:hanging="601"/>
              <w:jc w:val="left"/>
              <w:rPr>
                <w:sz w:val="24"/>
              </w:rPr>
            </w:pPr>
            <w:r>
              <w:rPr>
                <w:spacing w:val="-8"/>
                <w:sz w:val="24"/>
              </w:rPr>
              <w:t>《建筑施工场界环境噪声排放标准》</w:t>
            </w:r>
            <w:r>
              <w:rPr>
                <w:spacing w:val="-1"/>
                <w:sz w:val="24"/>
              </w:rPr>
              <w:t>（</w:t>
            </w:r>
            <w:r>
              <w:rPr>
                <w:rFonts w:ascii="Times New Roman" w:eastAsia="Times New Roman"/>
                <w:w w:val="99"/>
                <w:sz w:val="24"/>
              </w:rPr>
              <w:t>G</w:t>
            </w:r>
            <w:r>
              <w:rPr>
                <w:rFonts w:ascii="Times New Roman" w:eastAsia="Times New Roman"/>
                <w:w w:val="99"/>
                <w:sz w:val="24"/>
              </w:rPr>
              <w:t>B</w:t>
            </w:r>
            <w:r>
              <w:rPr>
                <w:rFonts w:ascii="Times New Roman" w:eastAsia="Times New Roman"/>
                <w:sz w:val="24"/>
              </w:rPr>
              <w:t>12523-20</w:t>
            </w:r>
            <w:r>
              <w:rPr>
                <w:rFonts w:ascii="Times New Roman" w:eastAsia="Times New Roman"/>
                <w:spacing w:val="-10"/>
                <w:sz w:val="24"/>
              </w:rPr>
              <w:t>1</w:t>
            </w:r>
            <w:r>
              <w:rPr>
                <w:rFonts w:ascii="Times New Roman" w:eastAsia="Times New Roman"/>
                <w:spacing w:val="-1"/>
                <w:sz w:val="24"/>
              </w:rPr>
              <w:t>1</w:t>
            </w:r>
            <w:r>
              <w:rPr>
                <w:spacing w:val="-120"/>
                <w:sz w:val="24"/>
              </w:rPr>
              <w:t>）</w:t>
            </w:r>
            <w:r>
              <w:rPr>
                <w:sz w:val="24"/>
              </w:rPr>
              <w:t>；</w:t>
            </w:r>
          </w:p>
          <w:p>
            <w:pPr>
              <w:pStyle w:val="TableParagraph"/>
              <w:numPr>
                <w:ilvl w:val="0"/>
                <w:numId w:val="6"/>
              </w:numPr>
              <w:tabs>
                <w:tab w:pos="710" w:val="left" w:leader="none"/>
              </w:tabs>
              <w:spacing w:line="240" w:lineRule="auto" w:before="160" w:after="0"/>
              <w:ind w:left="709" w:right="0" w:hanging="601"/>
              <w:jc w:val="left"/>
              <w:rPr>
                <w:sz w:val="24"/>
              </w:rPr>
            </w:pPr>
            <w:r>
              <w:rPr>
                <w:spacing w:val="-8"/>
                <w:sz w:val="24"/>
              </w:rPr>
              <w:t>《建设项目环境影响评价技术导则 总纲》</w:t>
            </w:r>
            <w:r>
              <w:rPr>
                <w:spacing w:val="-1"/>
                <w:sz w:val="24"/>
              </w:rPr>
              <w:t>（</w:t>
            </w:r>
            <w:r>
              <w:rPr>
                <w:rFonts w:ascii="Times New Roman" w:eastAsia="Times New Roman"/>
                <w:w w:val="99"/>
                <w:sz w:val="24"/>
              </w:rPr>
              <w:t>H</w:t>
            </w:r>
            <w:r>
              <w:rPr>
                <w:rFonts w:ascii="Times New Roman" w:eastAsia="Times New Roman"/>
                <w:w w:val="99"/>
                <w:sz w:val="24"/>
              </w:rPr>
              <w:t>J</w:t>
            </w:r>
            <w:r>
              <w:rPr>
                <w:rFonts w:ascii="Times New Roman" w:eastAsia="Times New Roman"/>
                <w:sz w:val="24"/>
              </w:rPr>
              <w:t>2.1-201</w:t>
            </w:r>
            <w:r>
              <w:rPr>
                <w:rFonts w:ascii="Times New Roman" w:eastAsia="Times New Roman"/>
                <w:spacing w:val="-2"/>
                <w:sz w:val="24"/>
              </w:rPr>
              <w:t>6</w:t>
            </w:r>
            <w:r>
              <w:rPr>
                <w:spacing w:val="-120"/>
                <w:sz w:val="24"/>
              </w:rPr>
              <w:t>）</w:t>
            </w:r>
            <w:r>
              <w:rPr>
                <w:sz w:val="24"/>
              </w:rPr>
              <w:t>；</w:t>
            </w:r>
          </w:p>
          <w:p>
            <w:pPr>
              <w:pStyle w:val="TableParagraph"/>
              <w:numPr>
                <w:ilvl w:val="0"/>
                <w:numId w:val="6"/>
              </w:numPr>
              <w:tabs>
                <w:tab w:pos="830" w:val="left" w:leader="none"/>
              </w:tabs>
              <w:spacing w:line="364" w:lineRule="auto" w:before="161" w:after="0"/>
              <w:ind w:left="108" w:right="95" w:firstLine="0"/>
              <w:jc w:val="left"/>
              <w:rPr>
                <w:sz w:val="24"/>
              </w:rPr>
            </w:pPr>
            <w:r>
              <w:rPr>
                <w:spacing w:val="-1"/>
                <w:sz w:val="24"/>
              </w:rPr>
              <w:t>《辐射环境保护管理导则 核技术利用建设项目环境影响评价文件的</w:t>
            </w:r>
            <w:r>
              <w:rPr>
                <w:spacing w:val="-24"/>
                <w:sz w:val="24"/>
              </w:rPr>
              <w:t>内容和格式》</w:t>
            </w:r>
            <w:r>
              <w:rPr>
                <w:spacing w:val="-1"/>
                <w:sz w:val="24"/>
              </w:rPr>
              <w:t>（</w:t>
            </w:r>
            <w:r>
              <w:rPr>
                <w:rFonts w:ascii="Times New Roman" w:eastAsia="Times New Roman"/>
                <w:w w:val="99"/>
                <w:sz w:val="24"/>
              </w:rPr>
              <w:t>H</w:t>
            </w:r>
            <w:r>
              <w:rPr>
                <w:rFonts w:ascii="Times New Roman" w:eastAsia="Times New Roman"/>
                <w:w w:val="99"/>
                <w:sz w:val="24"/>
              </w:rPr>
              <w:t>J</w:t>
            </w:r>
            <w:r>
              <w:rPr>
                <w:rFonts w:ascii="Times New Roman" w:eastAsia="Times New Roman"/>
                <w:sz w:val="24"/>
              </w:rPr>
              <w:t>10.1-20</w:t>
            </w:r>
            <w:r>
              <w:rPr>
                <w:rFonts w:ascii="Times New Roman" w:eastAsia="Times New Roman"/>
                <w:spacing w:val="2"/>
                <w:sz w:val="24"/>
              </w:rPr>
              <w:t>1</w:t>
            </w:r>
            <w:r>
              <w:rPr>
                <w:rFonts w:ascii="Times New Roman" w:eastAsia="Times New Roman"/>
                <w:spacing w:val="-2"/>
                <w:sz w:val="24"/>
              </w:rPr>
              <w:t>6</w:t>
            </w:r>
            <w:r>
              <w:rPr>
                <w:spacing w:val="-120"/>
                <w:sz w:val="24"/>
              </w:rPr>
              <w:t>）</w:t>
            </w:r>
            <w:r>
              <w:rPr>
                <w:sz w:val="24"/>
              </w:rPr>
              <w:t>；</w:t>
            </w:r>
          </w:p>
          <w:p>
            <w:pPr>
              <w:pStyle w:val="TableParagraph"/>
              <w:numPr>
                <w:ilvl w:val="0"/>
                <w:numId w:val="6"/>
              </w:numPr>
              <w:tabs>
                <w:tab w:pos="820" w:val="left" w:leader="none"/>
              </w:tabs>
              <w:spacing w:line="240" w:lineRule="auto" w:before="1" w:after="0"/>
              <w:ind w:left="819" w:right="0" w:hanging="711"/>
              <w:jc w:val="left"/>
              <w:rPr>
                <w:sz w:val="24"/>
              </w:rPr>
            </w:pPr>
            <w:r>
              <w:rPr>
                <w:spacing w:val="-10"/>
                <w:sz w:val="24"/>
              </w:rPr>
              <w:t>《辐射环境监测技术规范》</w:t>
            </w:r>
            <w:r>
              <w:rPr>
                <w:spacing w:val="-1"/>
                <w:sz w:val="24"/>
              </w:rPr>
              <w:t>（</w:t>
            </w:r>
            <w:r>
              <w:rPr>
                <w:rFonts w:ascii="Times New Roman" w:eastAsia="Times New Roman"/>
                <w:w w:val="99"/>
                <w:sz w:val="24"/>
              </w:rPr>
              <w:t>H</w:t>
            </w:r>
            <w:r>
              <w:rPr>
                <w:rFonts w:ascii="Times New Roman" w:eastAsia="Times New Roman"/>
                <w:w w:val="99"/>
                <w:sz w:val="24"/>
              </w:rPr>
              <w:t>J</w:t>
            </w:r>
            <w:r>
              <w:rPr>
                <w:rFonts w:ascii="Times New Roman" w:eastAsia="Times New Roman"/>
                <w:sz w:val="24"/>
              </w:rPr>
              <w:t> 61-202</w:t>
            </w:r>
            <w:r>
              <w:rPr>
                <w:rFonts w:ascii="Times New Roman" w:eastAsia="Times New Roman"/>
                <w:spacing w:val="1"/>
                <w:sz w:val="24"/>
              </w:rPr>
              <w:t>1</w:t>
            </w:r>
            <w:r>
              <w:rPr>
                <w:spacing w:val="-120"/>
                <w:sz w:val="24"/>
              </w:rPr>
              <w:t>）</w:t>
            </w:r>
            <w:r>
              <w:rPr>
                <w:sz w:val="24"/>
              </w:rPr>
              <w:t>；</w:t>
            </w:r>
          </w:p>
          <w:p>
            <w:pPr>
              <w:pStyle w:val="TableParagraph"/>
              <w:numPr>
                <w:ilvl w:val="0"/>
                <w:numId w:val="6"/>
              </w:numPr>
              <w:tabs>
                <w:tab w:pos="830" w:val="left" w:leader="none"/>
              </w:tabs>
              <w:spacing w:line="240" w:lineRule="auto" w:before="160" w:after="0"/>
              <w:ind w:left="829" w:right="0" w:hanging="721"/>
              <w:jc w:val="left"/>
              <w:rPr>
                <w:sz w:val="24"/>
              </w:rPr>
            </w:pPr>
            <w:r>
              <w:rPr>
                <w:spacing w:val="-8"/>
                <w:sz w:val="24"/>
              </w:rPr>
              <w:t>《核辐射环境质量评价的一般规定》</w:t>
            </w:r>
            <w:r>
              <w:rPr>
                <w:spacing w:val="-1"/>
                <w:sz w:val="24"/>
              </w:rPr>
              <w:t>（</w:t>
            </w:r>
            <w:r>
              <w:rPr>
                <w:rFonts w:ascii="Times New Roman" w:eastAsia="Times New Roman"/>
                <w:w w:val="99"/>
                <w:sz w:val="24"/>
              </w:rPr>
              <w:t>G</w:t>
            </w:r>
            <w:r>
              <w:rPr>
                <w:rFonts w:ascii="Times New Roman" w:eastAsia="Times New Roman"/>
                <w:w w:val="99"/>
                <w:sz w:val="24"/>
              </w:rPr>
              <w:t>B</w:t>
            </w:r>
            <w:r>
              <w:rPr>
                <w:rFonts w:ascii="Times New Roman" w:eastAsia="Times New Roman"/>
                <w:spacing w:val="-10"/>
                <w:sz w:val="24"/>
              </w:rPr>
              <w:t>1</w:t>
            </w:r>
            <w:r>
              <w:rPr>
                <w:rFonts w:ascii="Times New Roman" w:eastAsia="Times New Roman"/>
                <w:sz w:val="24"/>
              </w:rPr>
              <w:t>1215-198</w:t>
            </w:r>
            <w:r>
              <w:rPr>
                <w:rFonts w:ascii="Times New Roman" w:eastAsia="Times New Roman"/>
                <w:spacing w:val="-1"/>
                <w:sz w:val="24"/>
              </w:rPr>
              <w:t>9</w:t>
            </w:r>
            <w:r>
              <w:rPr>
                <w:spacing w:val="-120"/>
                <w:sz w:val="24"/>
              </w:rPr>
              <w:t>）</w:t>
            </w:r>
            <w:r>
              <w:rPr>
                <w:sz w:val="24"/>
              </w:rPr>
              <w:t>；</w:t>
            </w:r>
          </w:p>
          <w:p>
            <w:pPr>
              <w:pStyle w:val="TableParagraph"/>
              <w:numPr>
                <w:ilvl w:val="0"/>
                <w:numId w:val="6"/>
              </w:numPr>
              <w:tabs>
                <w:tab w:pos="830" w:val="left" w:leader="none"/>
              </w:tabs>
              <w:spacing w:line="240" w:lineRule="auto" w:before="161" w:after="0"/>
              <w:ind w:left="829" w:right="0" w:hanging="721"/>
              <w:jc w:val="left"/>
              <w:rPr>
                <w:sz w:val="24"/>
              </w:rPr>
            </w:pPr>
            <w:r>
              <w:rPr>
                <w:spacing w:val="-16"/>
                <w:sz w:val="24"/>
              </w:rPr>
              <w:t>《环境 </w:t>
            </w:r>
            <w:r>
              <w:rPr>
                <w:rFonts w:ascii="Times New Roman" w:hAnsi="Times New Roman" w:eastAsia="Times New Roman"/>
                <w:w w:val="99"/>
                <w:sz w:val="24"/>
              </w:rPr>
              <w:t>γ</w:t>
            </w:r>
            <w:r>
              <w:rPr>
                <w:rFonts w:ascii="Times New Roman" w:hAnsi="Times New Roman" w:eastAsia="Times New Roman"/>
                <w:spacing w:val="-1"/>
                <w:sz w:val="24"/>
              </w:rPr>
              <w:t> </w:t>
            </w:r>
            <w:r>
              <w:rPr>
                <w:spacing w:val="-10"/>
                <w:sz w:val="24"/>
              </w:rPr>
              <w:t>辐射剂量率测量技术规范》</w:t>
            </w:r>
            <w:r>
              <w:rPr>
                <w:spacing w:val="-1"/>
                <w:sz w:val="24"/>
              </w:rPr>
              <w:t>（</w:t>
            </w:r>
            <w:r>
              <w:rPr>
                <w:rFonts w:ascii="Times New Roman" w:hAnsi="Times New Roman" w:eastAsia="Times New Roman"/>
                <w:w w:val="99"/>
                <w:sz w:val="24"/>
              </w:rPr>
              <w:t>H</w:t>
            </w:r>
            <w:r>
              <w:rPr>
                <w:rFonts w:ascii="Times New Roman" w:hAnsi="Times New Roman" w:eastAsia="Times New Roman"/>
                <w:w w:val="99"/>
                <w:sz w:val="24"/>
              </w:rPr>
              <w:t>J</w:t>
            </w:r>
            <w:r>
              <w:rPr>
                <w:rFonts w:ascii="Times New Roman" w:hAnsi="Times New Roman" w:eastAsia="Times New Roman"/>
                <w:sz w:val="24"/>
              </w:rPr>
              <w:t> </w:t>
            </w:r>
            <w:r>
              <w:rPr>
                <w:rFonts w:ascii="Times New Roman" w:hAnsi="Times New Roman" w:eastAsia="Times New Roman"/>
                <w:spacing w:val="-10"/>
                <w:sz w:val="24"/>
              </w:rPr>
              <w:t>1</w:t>
            </w:r>
            <w:r>
              <w:rPr>
                <w:rFonts w:ascii="Times New Roman" w:hAnsi="Times New Roman" w:eastAsia="Times New Roman"/>
                <w:sz w:val="24"/>
              </w:rPr>
              <w:t>157-202</w:t>
            </w:r>
            <w:r>
              <w:rPr>
                <w:rFonts w:ascii="Times New Roman" w:hAnsi="Times New Roman" w:eastAsia="Times New Roman"/>
                <w:spacing w:val="-2"/>
                <w:sz w:val="24"/>
              </w:rPr>
              <w:t>1</w:t>
            </w:r>
            <w:r>
              <w:rPr>
                <w:spacing w:val="-120"/>
                <w:sz w:val="24"/>
              </w:rPr>
              <w:t>）</w:t>
            </w:r>
            <w:r>
              <w:rPr>
                <w:sz w:val="24"/>
              </w:rPr>
              <w:t>；</w:t>
            </w:r>
          </w:p>
          <w:p>
            <w:pPr>
              <w:pStyle w:val="TableParagraph"/>
              <w:numPr>
                <w:ilvl w:val="0"/>
                <w:numId w:val="6"/>
              </w:numPr>
              <w:tabs>
                <w:tab w:pos="830" w:val="left" w:leader="none"/>
              </w:tabs>
              <w:spacing w:line="240" w:lineRule="auto" w:before="160" w:after="0"/>
              <w:ind w:left="829" w:right="0" w:hanging="721"/>
              <w:jc w:val="left"/>
              <w:rPr>
                <w:sz w:val="24"/>
              </w:rPr>
            </w:pPr>
            <w:r>
              <w:rPr>
                <w:spacing w:val="-1"/>
                <w:sz w:val="24"/>
              </w:rPr>
              <w:t>《职业性外照射个人监测规范》 </w:t>
            </w:r>
            <w:r>
              <w:rPr>
                <w:sz w:val="24"/>
              </w:rPr>
              <w:t>（</w:t>
            </w:r>
            <w:r>
              <w:rPr>
                <w:rFonts w:ascii="Times New Roman" w:eastAsia="Times New Roman"/>
                <w:w w:val="99"/>
                <w:sz w:val="24"/>
              </w:rPr>
              <w:t>G</w:t>
            </w:r>
            <w:r>
              <w:rPr>
                <w:rFonts w:ascii="Times New Roman" w:eastAsia="Times New Roman"/>
                <w:w w:val="99"/>
                <w:sz w:val="24"/>
              </w:rPr>
              <w:t>B</w:t>
            </w:r>
            <w:r>
              <w:rPr>
                <w:rFonts w:ascii="Times New Roman" w:eastAsia="Times New Roman"/>
                <w:w w:val="99"/>
                <w:sz w:val="24"/>
              </w:rPr>
              <w:t>Z</w:t>
            </w:r>
            <w:r>
              <w:rPr>
                <w:rFonts w:ascii="Times New Roman" w:eastAsia="Times New Roman"/>
                <w:sz w:val="24"/>
              </w:rPr>
              <w:t>128-201</w:t>
            </w:r>
            <w:r>
              <w:rPr>
                <w:rFonts w:ascii="Times New Roman" w:eastAsia="Times New Roman"/>
                <w:spacing w:val="-1"/>
                <w:sz w:val="24"/>
              </w:rPr>
              <w:t>9</w:t>
            </w:r>
            <w:r>
              <w:rPr>
                <w:spacing w:val="-120"/>
                <w:sz w:val="24"/>
              </w:rPr>
              <w:t>）</w:t>
            </w:r>
            <w:r>
              <w:rPr>
                <w:sz w:val="24"/>
              </w:rPr>
              <w:t>；</w:t>
            </w:r>
          </w:p>
          <w:p>
            <w:pPr>
              <w:pStyle w:val="TableParagraph"/>
              <w:numPr>
                <w:ilvl w:val="0"/>
                <w:numId w:val="6"/>
              </w:numPr>
              <w:tabs>
                <w:tab w:pos="830" w:val="left" w:leader="none"/>
              </w:tabs>
              <w:spacing w:line="240" w:lineRule="auto" w:before="161" w:after="0"/>
              <w:ind w:left="829" w:right="0" w:hanging="721"/>
              <w:jc w:val="left"/>
              <w:rPr>
                <w:sz w:val="24"/>
              </w:rPr>
            </w:pPr>
            <w:r>
              <w:rPr>
                <w:spacing w:val="-7"/>
                <w:sz w:val="24"/>
              </w:rPr>
              <w:t>《用于光子外照射防护的剂量转换系数》</w:t>
            </w:r>
            <w:r>
              <w:rPr>
                <w:spacing w:val="-1"/>
                <w:sz w:val="24"/>
              </w:rPr>
              <w:t>（</w:t>
            </w:r>
            <w:r>
              <w:rPr>
                <w:rFonts w:ascii="Times New Roman" w:eastAsia="Times New Roman"/>
                <w:w w:val="99"/>
                <w:sz w:val="24"/>
              </w:rPr>
              <w:t>G</w:t>
            </w:r>
            <w:r>
              <w:rPr>
                <w:rFonts w:ascii="Times New Roman" w:eastAsia="Times New Roman"/>
                <w:w w:val="99"/>
                <w:sz w:val="24"/>
              </w:rPr>
              <w:t>B</w:t>
            </w:r>
            <w:r>
              <w:rPr>
                <w:rFonts w:ascii="Times New Roman" w:eastAsia="Times New Roman"/>
                <w:w w:val="99"/>
                <w:sz w:val="24"/>
              </w:rPr>
              <w:t>Z</w:t>
            </w:r>
            <w:r>
              <w:rPr>
                <w:rFonts w:ascii="Times New Roman" w:eastAsia="Times New Roman"/>
                <w:w w:val="99"/>
                <w:sz w:val="24"/>
              </w:rPr>
              <w:t>/</w:t>
            </w:r>
            <w:r>
              <w:rPr>
                <w:rFonts w:ascii="Times New Roman" w:eastAsia="Times New Roman"/>
                <w:w w:val="99"/>
                <w:sz w:val="24"/>
              </w:rPr>
              <w:t>T</w:t>
            </w:r>
            <w:r>
              <w:rPr>
                <w:rFonts w:ascii="Times New Roman" w:eastAsia="Times New Roman"/>
                <w:spacing w:val="-5"/>
                <w:sz w:val="24"/>
              </w:rPr>
              <w:t> </w:t>
            </w:r>
            <w:r>
              <w:rPr>
                <w:rFonts w:ascii="Times New Roman" w:eastAsia="Times New Roman"/>
                <w:sz w:val="24"/>
              </w:rPr>
              <w:t>144-200</w:t>
            </w:r>
            <w:r>
              <w:rPr>
                <w:rFonts w:ascii="Times New Roman" w:eastAsia="Times New Roman"/>
                <w:spacing w:val="-1"/>
                <w:sz w:val="24"/>
              </w:rPr>
              <w:t>2</w:t>
            </w:r>
            <w:r>
              <w:rPr>
                <w:spacing w:val="-120"/>
                <w:sz w:val="24"/>
              </w:rPr>
              <w:t>）</w:t>
            </w:r>
            <w:r>
              <w:rPr>
                <w:sz w:val="24"/>
              </w:rPr>
              <w:t>；</w:t>
            </w:r>
          </w:p>
          <w:p>
            <w:pPr>
              <w:pStyle w:val="TableParagraph"/>
              <w:numPr>
                <w:ilvl w:val="0"/>
                <w:numId w:val="6"/>
              </w:numPr>
              <w:tabs>
                <w:tab w:pos="820" w:val="left" w:leader="none"/>
              </w:tabs>
              <w:spacing w:line="240" w:lineRule="auto" w:before="160" w:after="0"/>
              <w:ind w:left="819" w:right="0" w:hanging="711"/>
              <w:jc w:val="left"/>
              <w:rPr>
                <w:sz w:val="24"/>
              </w:rPr>
            </w:pPr>
            <w:r>
              <w:rPr>
                <w:spacing w:val="-8"/>
                <w:sz w:val="24"/>
              </w:rPr>
              <w:t>《电离辐射所致皮肤剂量估算方法》</w:t>
            </w:r>
            <w:r>
              <w:rPr>
                <w:spacing w:val="-3"/>
                <w:sz w:val="24"/>
              </w:rPr>
              <w:t>（</w:t>
            </w:r>
            <w:r>
              <w:rPr>
                <w:rFonts w:ascii="Times New Roman" w:eastAsia="Times New Roman"/>
                <w:spacing w:val="-3"/>
                <w:sz w:val="24"/>
              </w:rPr>
              <w:t>GBZ/T</w:t>
            </w:r>
            <w:r>
              <w:rPr>
                <w:rFonts w:ascii="Times New Roman" w:eastAsia="Times New Roman"/>
                <w:spacing w:val="-8"/>
                <w:sz w:val="24"/>
              </w:rPr>
              <w:t> </w:t>
            </w:r>
            <w:r>
              <w:rPr>
                <w:rFonts w:ascii="Times New Roman" w:eastAsia="Times New Roman"/>
                <w:spacing w:val="-4"/>
                <w:sz w:val="24"/>
              </w:rPr>
              <w:t>244-2017</w:t>
            </w:r>
            <w:r>
              <w:rPr>
                <w:spacing w:val="-4"/>
                <w:sz w:val="24"/>
              </w:rPr>
              <w:t>）</w:t>
            </w:r>
            <w:r>
              <w:rPr>
                <w:sz w:val="24"/>
              </w:rPr>
              <w:t>。</w:t>
            </w:r>
          </w:p>
        </w:tc>
      </w:tr>
      <w:tr>
        <w:trPr>
          <w:trHeight w:val="5147" w:hRule="atLeast"/>
        </w:trPr>
        <w:tc>
          <w:tcPr>
            <w:tcW w:w="1010" w:type="dxa"/>
          </w:tcPr>
          <w:p>
            <w:pPr>
              <w:pStyle w:val="TableParagraph"/>
              <w:jc w:val="left"/>
              <w:rPr>
                <w:sz w:val="34"/>
              </w:rPr>
            </w:pPr>
          </w:p>
          <w:p>
            <w:pPr>
              <w:pStyle w:val="TableParagraph"/>
              <w:jc w:val="left"/>
              <w:rPr>
                <w:sz w:val="34"/>
              </w:rPr>
            </w:pPr>
          </w:p>
          <w:p>
            <w:pPr>
              <w:pStyle w:val="TableParagraph"/>
              <w:jc w:val="left"/>
              <w:rPr>
                <w:sz w:val="34"/>
              </w:rPr>
            </w:pPr>
          </w:p>
          <w:p>
            <w:pPr>
              <w:pStyle w:val="TableParagraph"/>
              <w:jc w:val="left"/>
              <w:rPr>
                <w:sz w:val="34"/>
              </w:rPr>
            </w:pPr>
          </w:p>
          <w:p>
            <w:pPr>
              <w:pStyle w:val="TableParagraph"/>
              <w:spacing w:before="12"/>
              <w:jc w:val="left"/>
              <w:rPr>
                <w:sz w:val="50"/>
              </w:rPr>
            </w:pPr>
          </w:p>
          <w:p>
            <w:pPr>
              <w:pStyle w:val="TableParagraph"/>
              <w:ind w:left="225"/>
              <w:jc w:val="left"/>
              <w:rPr>
                <w:sz w:val="28"/>
              </w:rPr>
            </w:pPr>
            <w:r>
              <w:rPr>
                <w:sz w:val="28"/>
              </w:rPr>
              <w:t>其他</w:t>
            </w:r>
          </w:p>
        </w:tc>
        <w:tc>
          <w:tcPr>
            <w:tcW w:w="8061" w:type="dxa"/>
          </w:tcPr>
          <w:p>
            <w:pPr>
              <w:pStyle w:val="TableParagraph"/>
              <w:numPr>
                <w:ilvl w:val="0"/>
                <w:numId w:val="7"/>
              </w:numPr>
              <w:tabs>
                <w:tab w:pos="710" w:val="left" w:leader="none"/>
              </w:tabs>
              <w:spacing w:line="240" w:lineRule="auto" w:before="81" w:after="0"/>
              <w:ind w:left="709" w:right="0" w:hanging="601"/>
              <w:jc w:val="left"/>
              <w:rPr>
                <w:sz w:val="24"/>
              </w:rPr>
            </w:pPr>
            <w:r>
              <w:rPr>
                <w:sz w:val="24"/>
              </w:rPr>
              <w:t>生态环境部辐射安全与防护监督检查技术程序；</w:t>
            </w:r>
          </w:p>
          <w:p>
            <w:pPr>
              <w:pStyle w:val="TableParagraph"/>
              <w:numPr>
                <w:ilvl w:val="0"/>
                <w:numId w:val="7"/>
              </w:numPr>
              <w:tabs>
                <w:tab w:pos="710" w:val="left" w:leader="none"/>
              </w:tabs>
              <w:spacing w:line="240" w:lineRule="auto" w:before="161" w:after="0"/>
              <w:ind w:left="709" w:right="0" w:hanging="601"/>
              <w:jc w:val="left"/>
              <w:rPr>
                <w:sz w:val="24"/>
              </w:rPr>
            </w:pPr>
            <w:r>
              <w:rPr>
                <w:sz w:val="24"/>
              </w:rPr>
              <w:t>工程设计图纸及相关技术资料；</w:t>
            </w:r>
          </w:p>
          <w:p>
            <w:pPr>
              <w:pStyle w:val="TableParagraph"/>
              <w:numPr>
                <w:ilvl w:val="0"/>
                <w:numId w:val="7"/>
              </w:numPr>
              <w:tabs>
                <w:tab w:pos="710" w:val="left" w:leader="none"/>
              </w:tabs>
              <w:spacing w:line="240" w:lineRule="auto" w:before="160" w:after="0"/>
              <w:ind w:left="709" w:right="0" w:hanging="601"/>
              <w:jc w:val="left"/>
              <w:rPr>
                <w:sz w:val="24"/>
              </w:rPr>
            </w:pPr>
            <w:r>
              <w:rPr>
                <w:spacing w:val="-15"/>
                <w:sz w:val="24"/>
              </w:rPr>
              <w:t>《辐射防护手册》</w:t>
            </w:r>
            <w:r>
              <w:rPr>
                <w:sz w:val="24"/>
              </w:rPr>
              <w:t>（第一分册</w:t>
            </w:r>
            <w:r>
              <w:rPr>
                <w:rFonts w:ascii="Times New Roman" w:hAnsi="Times New Roman" w:eastAsia="Times New Roman"/>
                <w:sz w:val="24"/>
              </w:rPr>
              <w:t>—</w:t>
            </w:r>
            <w:r>
              <w:rPr>
                <w:sz w:val="24"/>
              </w:rPr>
              <w:t>辐射源与屏蔽，原子能出版社</w:t>
            </w:r>
            <w:r>
              <w:rPr>
                <w:spacing w:val="-1"/>
                <w:sz w:val="24"/>
              </w:rPr>
              <w:t>，</w:t>
            </w:r>
            <w:r>
              <w:rPr>
                <w:rFonts w:ascii="Times New Roman" w:hAnsi="Times New Roman" w:eastAsia="Times New Roman"/>
                <w:sz w:val="24"/>
              </w:rPr>
              <w:t>198</w:t>
            </w:r>
            <w:r>
              <w:rPr>
                <w:rFonts w:ascii="Times New Roman" w:hAnsi="Times New Roman" w:eastAsia="Times New Roman"/>
                <w:spacing w:val="-1"/>
                <w:sz w:val="24"/>
              </w:rPr>
              <w:t>7</w:t>
            </w:r>
            <w:r>
              <w:rPr>
                <w:spacing w:val="-120"/>
                <w:sz w:val="24"/>
              </w:rPr>
              <w:t>）</w:t>
            </w:r>
            <w:r>
              <w:rPr>
                <w:sz w:val="24"/>
              </w:rPr>
              <w:t>；</w:t>
            </w:r>
          </w:p>
          <w:p>
            <w:pPr>
              <w:pStyle w:val="TableParagraph"/>
              <w:numPr>
                <w:ilvl w:val="0"/>
                <w:numId w:val="7"/>
              </w:numPr>
              <w:tabs>
                <w:tab w:pos="710" w:val="left" w:leader="none"/>
              </w:tabs>
              <w:spacing w:line="240" w:lineRule="auto" w:before="161" w:after="0"/>
              <w:ind w:left="709" w:right="0" w:hanging="601"/>
              <w:jc w:val="left"/>
              <w:rPr>
                <w:sz w:val="24"/>
              </w:rPr>
            </w:pPr>
            <w:r>
              <w:rPr>
                <w:spacing w:val="-15"/>
                <w:sz w:val="24"/>
              </w:rPr>
              <w:t>《辐射防护导论》</w:t>
            </w:r>
            <w:r>
              <w:rPr>
                <w:sz w:val="24"/>
              </w:rPr>
              <w:t>（</w:t>
            </w:r>
            <w:r>
              <w:rPr>
                <w:spacing w:val="-1"/>
                <w:sz w:val="24"/>
              </w:rPr>
              <w:t>原子能出版社，</w:t>
            </w:r>
            <w:r>
              <w:rPr>
                <w:rFonts w:ascii="Times New Roman" w:eastAsia="Times New Roman"/>
                <w:sz w:val="24"/>
              </w:rPr>
              <w:t>198</w:t>
            </w:r>
            <w:r>
              <w:rPr>
                <w:rFonts w:ascii="Times New Roman" w:eastAsia="Times New Roman"/>
                <w:spacing w:val="-1"/>
                <w:sz w:val="24"/>
              </w:rPr>
              <w:t>8</w:t>
            </w:r>
            <w:r>
              <w:rPr>
                <w:spacing w:val="-120"/>
                <w:sz w:val="24"/>
              </w:rPr>
              <w:t>）</w:t>
            </w:r>
            <w:r>
              <w:rPr>
                <w:sz w:val="24"/>
              </w:rPr>
              <w:t>；</w:t>
            </w:r>
          </w:p>
          <w:p>
            <w:pPr>
              <w:pStyle w:val="TableParagraph"/>
              <w:numPr>
                <w:ilvl w:val="0"/>
                <w:numId w:val="7"/>
              </w:numPr>
              <w:tabs>
                <w:tab w:pos="710" w:val="left" w:leader="none"/>
              </w:tabs>
              <w:spacing w:line="364" w:lineRule="auto" w:before="160" w:after="0"/>
              <w:ind w:left="108" w:right="140" w:firstLine="0"/>
              <w:jc w:val="left"/>
              <w:rPr>
                <w:sz w:val="24"/>
              </w:rPr>
            </w:pPr>
            <w:r>
              <w:rPr>
                <w:spacing w:val="-1"/>
                <w:sz w:val="24"/>
              </w:rPr>
              <w:t>四川省生态环境厅关于印发《四川省核技术利用辐射安全监督检查大</w:t>
            </w:r>
            <w:r>
              <w:rPr>
                <w:sz w:val="24"/>
              </w:rPr>
              <w:t>纲</w:t>
            </w:r>
            <w:r>
              <w:rPr>
                <w:spacing w:val="-1"/>
                <w:sz w:val="24"/>
              </w:rPr>
              <w:t>（</w:t>
            </w:r>
            <w:r>
              <w:rPr>
                <w:rFonts w:ascii="Times New Roman" w:eastAsia="Times New Roman"/>
                <w:sz w:val="24"/>
              </w:rPr>
              <w:t>201</w:t>
            </w:r>
            <w:r>
              <w:rPr>
                <w:rFonts w:ascii="Times New Roman" w:eastAsia="Times New Roman"/>
                <w:spacing w:val="-1"/>
                <w:sz w:val="24"/>
              </w:rPr>
              <w:t>6</w:t>
            </w:r>
            <w:r>
              <w:rPr>
                <w:spacing w:val="-120"/>
                <w:sz w:val="24"/>
              </w:rPr>
              <w:t>）</w:t>
            </w:r>
            <w:r>
              <w:rPr>
                <w:spacing w:val="-1"/>
                <w:sz w:val="24"/>
              </w:rPr>
              <w:t>》的通知，川环函[</w:t>
            </w:r>
            <w:r>
              <w:rPr>
                <w:rFonts w:ascii="Times New Roman" w:eastAsia="Times New Roman"/>
                <w:sz w:val="24"/>
              </w:rPr>
              <w:t>201</w:t>
            </w:r>
            <w:r>
              <w:rPr>
                <w:rFonts w:ascii="Times New Roman" w:eastAsia="Times New Roman"/>
                <w:spacing w:val="-1"/>
                <w:sz w:val="24"/>
              </w:rPr>
              <w:t>6</w:t>
            </w:r>
            <w:r>
              <w:rPr>
                <w:sz w:val="24"/>
              </w:rPr>
              <w:t>]</w:t>
            </w:r>
            <w:r>
              <w:rPr>
                <w:rFonts w:ascii="Times New Roman" w:eastAsia="Times New Roman"/>
                <w:sz w:val="24"/>
              </w:rPr>
              <w:t>1400</w:t>
            </w:r>
            <w:r>
              <w:rPr>
                <w:rFonts w:ascii="Times New Roman" w:eastAsia="Times New Roman"/>
                <w:spacing w:val="-1"/>
                <w:sz w:val="24"/>
              </w:rPr>
              <w:t> </w:t>
            </w:r>
            <w:r>
              <w:rPr>
                <w:sz w:val="24"/>
              </w:rPr>
              <w:t>号。</w:t>
            </w:r>
          </w:p>
        </w:tc>
      </w:tr>
    </w:tbl>
    <w:p>
      <w:pPr>
        <w:spacing w:after="0" w:line="364" w:lineRule="auto"/>
        <w:jc w:val="left"/>
        <w:rPr>
          <w:sz w:val="24"/>
        </w:rPr>
        <w:sectPr>
          <w:pgSz w:w="11910" w:h="16840"/>
          <w:pgMar w:header="0" w:footer="881" w:top="1220" w:bottom="1080" w:left="1480" w:right="1020"/>
        </w:sectPr>
      </w:pPr>
    </w:p>
    <w:p>
      <w:pPr>
        <w:pStyle w:val="Heading1"/>
      </w:pPr>
      <w:r>
        <w:rPr/>
        <w:t>表 7 保护目标与评价标准</w:t>
      </w:r>
      <w:r>
        <w:rPr>
          <w:w w:val="50"/>
        </w:rPr>
        <w:t> </w:t>
      </w:r>
    </w:p>
    <w:p>
      <w:pPr>
        <w:pStyle w:val="BodyText"/>
        <w:spacing w:before="4"/>
        <w:rPr>
          <w:sz w:val="10"/>
        </w:r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74"/>
        <w:gridCol w:w="972"/>
        <w:gridCol w:w="3166"/>
        <w:gridCol w:w="910"/>
        <w:gridCol w:w="1148"/>
        <w:gridCol w:w="704"/>
        <w:gridCol w:w="1302"/>
      </w:tblGrid>
      <w:tr>
        <w:trPr>
          <w:trHeight w:val="4139" w:hRule="atLeast"/>
        </w:trPr>
        <w:tc>
          <w:tcPr>
            <w:tcW w:w="9076" w:type="dxa"/>
            <w:gridSpan w:val="7"/>
          </w:tcPr>
          <w:p>
            <w:pPr>
              <w:pStyle w:val="TableParagraph"/>
              <w:spacing w:before="132"/>
              <w:ind w:left="98"/>
              <w:jc w:val="left"/>
              <w:rPr>
                <w:sz w:val="28"/>
              </w:rPr>
            </w:pPr>
            <w:r>
              <w:rPr>
                <w:sz w:val="28"/>
              </w:rPr>
              <w:t>评价范围</w:t>
            </w:r>
            <w:r>
              <w:rPr>
                <w:w w:val="50"/>
                <w:sz w:val="28"/>
              </w:rPr>
              <w:t> </w:t>
            </w:r>
          </w:p>
          <w:p>
            <w:pPr>
              <w:pStyle w:val="TableParagraph"/>
              <w:spacing w:line="364" w:lineRule="auto" w:before="214"/>
              <w:ind w:left="107" w:right="90" w:firstLine="463"/>
              <w:jc w:val="both"/>
              <w:rPr>
                <w:sz w:val="24"/>
              </w:rPr>
            </w:pPr>
            <w:r>
              <w:rPr>
                <w:spacing w:val="-17"/>
                <w:sz w:val="24"/>
              </w:rPr>
              <w:t>根据本项目的特点并参照《辐射环境保护管理导则 核技术利用建设项目环境影响评</w:t>
            </w:r>
            <w:r>
              <w:rPr>
                <w:spacing w:val="-10"/>
                <w:sz w:val="24"/>
              </w:rPr>
              <w:t>价文件的内容和格式</w:t>
            </w:r>
            <w:r>
              <w:rPr>
                <w:spacing w:val="-161"/>
                <w:sz w:val="24"/>
              </w:rPr>
              <w:t>》</w:t>
            </w:r>
            <w:r>
              <w:rPr>
                <w:spacing w:val="-9"/>
                <w:sz w:val="24"/>
              </w:rPr>
              <w:t>（</w:t>
            </w:r>
            <w:r>
              <w:rPr>
                <w:rFonts w:ascii="Times New Roman" w:hAnsi="Times New Roman" w:eastAsia="Times New Roman"/>
                <w:spacing w:val="-9"/>
                <w:sz w:val="24"/>
              </w:rPr>
              <w:t>HJ10.1-2016</w:t>
            </w:r>
            <w:r>
              <w:rPr>
                <w:spacing w:val="-9"/>
                <w:sz w:val="24"/>
              </w:rPr>
              <w:t>）</w:t>
            </w:r>
            <w:r>
              <w:rPr>
                <w:spacing w:val="-16"/>
                <w:sz w:val="24"/>
              </w:rPr>
              <w:t>中“核技术利用建设项目环境影响评价报告书的评</w:t>
            </w:r>
            <w:r>
              <w:rPr>
                <w:spacing w:val="-8"/>
                <w:sz w:val="24"/>
              </w:rPr>
              <w:t>价范围和保护目标的选取原则：放射性药物生产及其他非密封放射性物质工作场所项目</w:t>
            </w:r>
            <w:r>
              <w:rPr>
                <w:spacing w:val="-15"/>
                <w:sz w:val="24"/>
              </w:rPr>
              <w:t>评价范围，甲级取半径 </w:t>
            </w:r>
            <w:r>
              <w:rPr>
                <w:rFonts w:ascii="Times New Roman" w:hAnsi="Times New Roman" w:eastAsia="Times New Roman"/>
                <w:spacing w:val="-4"/>
                <w:sz w:val="24"/>
              </w:rPr>
              <w:t>500m </w:t>
            </w:r>
            <w:r>
              <w:rPr>
                <w:spacing w:val="-15"/>
                <w:sz w:val="24"/>
              </w:rPr>
              <w:t>的范围，乙、丙级取半径 </w:t>
            </w:r>
            <w:r>
              <w:rPr>
                <w:rFonts w:ascii="Times New Roman" w:hAnsi="Times New Roman" w:eastAsia="Times New Roman"/>
                <w:spacing w:val="-4"/>
                <w:sz w:val="24"/>
              </w:rPr>
              <w:t>50m </w:t>
            </w:r>
            <w:r>
              <w:rPr>
                <w:spacing w:val="-10"/>
                <w:sz w:val="24"/>
              </w:rPr>
              <w:t>的范围。</w:t>
            </w:r>
            <w:r>
              <w:rPr>
                <w:spacing w:val="-7"/>
                <w:sz w:val="24"/>
                <w:u w:val="single"/>
              </w:rPr>
              <w:t>放射源和射线装置</w:t>
            </w:r>
            <w:r>
              <w:rPr>
                <w:spacing w:val="-10"/>
                <w:sz w:val="24"/>
                <w:u w:val="single"/>
              </w:rPr>
              <w:t>应用项目的评价范围，通常取装置所在场所实体屏蔽物边界外 </w:t>
            </w:r>
            <w:r>
              <w:rPr>
                <w:spacing w:val="-5"/>
                <w:sz w:val="24"/>
                <w:u w:val="single"/>
              </w:rPr>
              <w:t>5</w:t>
            </w:r>
            <w:r>
              <w:rPr>
                <w:spacing w:val="-3"/>
                <w:sz w:val="24"/>
                <w:u w:val="single"/>
              </w:rPr>
              <w:t>0</w:t>
            </w:r>
            <w:r>
              <w:rPr>
                <w:w w:val="166"/>
                <w:sz w:val="24"/>
                <w:u w:val="single"/>
              </w:rPr>
              <w:t>m</w:t>
            </w:r>
            <w:r>
              <w:rPr>
                <w:spacing w:val="-17"/>
                <w:sz w:val="24"/>
                <w:u w:val="single"/>
              </w:rPr>
              <w:t> 的范围</w:t>
            </w:r>
            <w:r>
              <w:rPr>
                <w:spacing w:val="-27"/>
                <w:sz w:val="24"/>
              </w:rPr>
              <w:t>”，确定为三</w:t>
            </w:r>
            <w:r>
              <w:rPr>
                <w:spacing w:val="-8"/>
                <w:sz w:val="24"/>
              </w:rPr>
              <w:t>台县中医院新增数字减影血管造影机使用项目所在工作场所介入治疗室实体屏蔽墙体外</w:t>
            </w:r>
            <w:r>
              <w:rPr>
                <w:spacing w:val="-27"/>
                <w:sz w:val="24"/>
              </w:rPr>
              <w:t>周边 </w:t>
            </w:r>
            <w:r>
              <w:rPr>
                <w:rFonts w:ascii="Times New Roman" w:hAnsi="Times New Roman" w:eastAsia="Times New Roman"/>
                <w:spacing w:val="-4"/>
                <w:sz w:val="24"/>
              </w:rPr>
              <w:t>50m </w:t>
            </w:r>
            <w:r>
              <w:rPr>
                <w:spacing w:val="-15"/>
                <w:sz w:val="24"/>
              </w:rPr>
              <w:t>范围内作为评价范围，详见附图 </w:t>
            </w:r>
            <w:r>
              <w:rPr>
                <w:rFonts w:ascii="Times New Roman" w:hAnsi="Times New Roman" w:eastAsia="Times New Roman"/>
                <w:spacing w:val="-3"/>
                <w:sz w:val="24"/>
              </w:rPr>
              <w:t>2</w:t>
            </w:r>
            <w:r>
              <w:rPr>
                <w:sz w:val="24"/>
              </w:rPr>
              <w:t>。</w:t>
            </w:r>
          </w:p>
        </w:tc>
      </w:tr>
      <w:tr>
        <w:trPr>
          <w:trHeight w:val="2807" w:hRule="atLeast"/>
        </w:trPr>
        <w:tc>
          <w:tcPr>
            <w:tcW w:w="9076" w:type="dxa"/>
            <w:gridSpan w:val="7"/>
            <w:tcBorders>
              <w:bottom w:val="single" w:sz="12" w:space="0" w:color="000000"/>
            </w:tcBorders>
          </w:tcPr>
          <w:p>
            <w:pPr>
              <w:pStyle w:val="TableParagraph"/>
              <w:spacing w:before="132"/>
              <w:ind w:left="98"/>
              <w:jc w:val="left"/>
              <w:rPr>
                <w:sz w:val="28"/>
              </w:rPr>
            </w:pPr>
            <w:r>
              <w:rPr>
                <w:sz w:val="28"/>
              </w:rPr>
              <w:t>保护目标</w:t>
            </w:r>
          </w:p>
          <w:p>
            <w:pPr>
              <w:pStyle w:val="TableParagraph"/>
              <w:spacing w:line="364" w:lineRule="auto" w:before="214"/>
              <w:ind w:left="107" w:right="92" w:firstLine="463"/>
              <w:jc w:val="both"/>
              <w:rPr>
                <w:sz w:val="24"/>
              </w:rPr>
            </w:pPr>
            <w:r>
              <w:rPr>
                <w:spacing w:val="-15"/>
                <w:sz w:val="24"/>
              </w:rPr>
              <w:t>本项目介入治疗室周围 </w:t>
            </w:r>
            <w:r>
              <w:rPr>
                <w:rFonts w:ascii="Times New Roman" w:eastAsia="Times New Roman"/>
                <w:spacing w:val="-4"/>
                <w:sz w:val="24"/>
              </w:rPr>
              <w:t>50m </w:t>
            </w:r>
            <w:r>
              <w:rPr>
                <w:spacing w:val="-19"/>
                <w:sz w:val="24"/>
              </w:rPr>
              <w:t>范围内东侧及南侧均位于医院院区内，西侧 </w:t>
            </w:r>
            <w:r>
              <w:rPr>
                <w:rFonts w:ascii="Times New Roman" w:eastAsia="Times New Roman"/>
                <w:spacing w:val="-3"/>
                <w:sz w:val="24"/>
              </w:rPr>
              <w:t>50m </w:t>
            </w:r>
            <w:r>
              <w:rPr>
                <w:spacing w:val="-6"/>
                <w:sz w:val="24"/>
              </w:rPr>
              <w:t>范围内</w:t>
            </w:r>
            <w:r>
              <w:rPr>
                <w:spacing w:val="-16"/>
                <w:sz w:val="24"/>
              </w:rPr>
              <w:t>为百货公司宿舍及上南街；北侧 </w:t>
            </w:r>
            <w:r>
              <w:rPr>
                <w:rFonts w:ascii="Times New Roman" w:eastAsia="Times New Roman"/>
                <w:spacing w:val="-4"/>
                <w:sz w:val="24"/>
              </w:rPr>
              <w:t>50m </w:t>
            </w:r>
            <w:r>
              <w:rPr>
                <w:spacing w:val="-12"/>
                <w:sz w:val="24"/>
              </w:rPr>
              <w:t>范围内为广洋楼小区及学街。</w:t>
            </w:r>
            <w:r>
              <w:rPr>
                <w:rFonts w:ascii="Times New Roman" w:eastAsia="Times New Roman"/>
                <w:spacing w:val="-3"/>
                <w:sz w:val="24"/>
              </w:rPr>
              <w:t>50m </w:t>
            </w:r>
            <w:r>
              <w:rPr>
                <w:spacing w:val="-9"/>
                <w:sz w:val="24"/>
              </w:rPr>
              <w:t>范围内无学校等</w:t>
            </w:r>
            <w:r>
              <w:rPr>
                <w:spacing w:val="-8"/>
                <w:sz w:val="24"/>
              </w:rPr>
              <w:t>其他环境敏感点。根据本项目确定的评价范围，本项目环境保护目标为医院辐射工作人</w:t>
            </w:r>
            <w:r>
              <w:rPr>
                <w:spacing w:val="-13"/>
                <w:sz w:val="24"/>
              </w:rPr>
              <w:t>员、医院内的其他医护人员、患者及其他公众，详见表 </w:t>
            </w:r>
            <w:r>
              <w:rPr>
                <w:rFonts w:ascii="Times New Roman" w:eastAsia="Times New Roman"/>
                <w:spacing w:val="-4"/>
                <w:sz w:val="24"/>
              </w:rPr>
              <w:t>7-1</w:t>
            </w:r>
            <w:r>
              <w:rPr>
                <w:sz w:val="24"/>
              </w:rPr>
              <w:t>。</w:t>
            </w:r>
          </w:p>
          <w:p>
            <w:pPr>
              <w:pStyle w:val="TableParagraph"/>
              <w:spacing w:line="212" w:lineRule="exact"/>
              <w:ind w:left="2214"/>
              <w:jc w:val="left"/>
              <w:rPr>
                <w:sz w:val="21"/>
              </w:rPr>
            </w:pPr>
            <w:r>
              <w:rPr>
                <w:spacing w:val="-27"/>
                <w:sz w:val="21"/>
              </w:rPr>
              <w:t>表 </w:t>
            </w:r>
            <w:r>
              <w:rPr>
                <w:rFonts w:ascii="Times New Roman" w:eastAsia="Times New Roman"/>
                <w:sz w:val="21"/>
              </w:rPr>
              <w:t>7-1</w:t>
            </w:r>
            <w:r>
              <w:rPr>
                <w:rFonts w:ascii="Times New Roman" w:eastAsia="Times New Roman"/>
                <w:spacing w:val="51"/>
                <w:sz w:val="21"/>
              </w:rPr>
              <w:t> </w:t>
            </w:r>
            <w:r>
              <w:rPr>
                <w:spacing w:val="-4"/>
                <w:sz w:val="21"/>
              </w:rPr>
              <w:t>本项目评价范围内敏感保护目标情况一览表</w:t>
            </w:r>
          </w:p>
        </w:tc>
      </w:tr>
      <w:tr>
        <w:trPr>
          <w:trHeight w:val="622" w:hRule="atLeast"/>
        </w:trPr>
        <w:tc>
          <w:tcPr>
            <w:tcW w:w="1846" w:type="dxa"/>
            <w:gridSpan w:val="2"/>
            <w:tcBorders>
              <w:top w:val="single" w:sz="12" w:space="0" w:color="000000"/>
              <w:bottom w:val="single" w:sz="12" w:space="0" w:color="000000"/>
            </w:tcBorders>
          </w:tcPr>
          <w:p>
            <w:pPr>
              <w:pStyle w:val="TableParagraph"/>
              <w:spacing w:before="22"/>
              <w:ind w:left="214" w:right="109"/>
              <w:rPr>
                <w:sz w:val="21"/>
              </w:rPr>
            </w:pPr>
            <w:r>
              <w:rPr>
                <w:sz w:val="21"/>
              </w:rPr>
              <w:t>保护目标</w:t>
            </w:r>
          </w:p>
          <w:p>
            <w:pPr>
              <w:pStyle w:val="TableParagraph"/>
              <w:spacing w:line="269" w:lineRule="exact" w:before="43"/>
              <w:ind w:left="214" w:right="111"/>
              <w:rPr>
                <w:sz w:val="21"/>
              </w:rPr>
            </w:pPr>
            <w:r>
              <w:rPr>
                <w:sz w:val="21"/>
              </w:rPr>
              <w:t>介入治疗室周围</w:t>
            </w:r>
          </w:p>
        </w:tc>
        <w:tc>
          <w:tcPr>
            <w:tcW w:w="3166" w:type="dxa"/>
            <w:tcBorders>
              <w:top w:val="single" w:sz="12" w:space="0" w:color="000000"/>
              <w:bottom w:val="single" w:sz="12" w:space="0" w:color="000000"/>
            </w:tcBorders>
          </w:tcPr>
          <w:p>
            <w:pPr>
              <w:pStyle w:val="TableParagraph"/>
              <w:spacing w:before="178"/>
              <w:ind w:left="105" w:right="99"/>
              <w:rPr>
                <w:sz w:val="21"/>
              </w:rPr>
            </w:pPr>
            <w:r>
              <w:rPr>
                <w:sz w:val="21"/>
              </w:rPr>
              <w:t>方位</w:t>
            </w:r>
          </w:p>
        </w:tc>
        <w:tc>
          <w:tcPr>
            <w:tcW w:w="910" w:type="dxa"/>
            <w:tcBorders>
              <w:top w:val="single" w:sz="12" w:space="0" w:color="000000"/>
              <w:bottom w:val="single" w:sz="12" w:space="0" w:color="000000"/>
            </w:tcBorders>
          </w:tcPr>
          <w:p>
            <w:pPr>
              <w:pStyle w:val="TableParagraph"/>
              <w:spacing w:before="22"/>
              <w:ind w:left="241"/>
              <w:jc w:val="left"/>
              <w:rPr>
                <w:sz w:val="21"/>
              </w:rPr>
            </w:pPr>
            <w:r>
              <w:rPr>
                <w:sz w:val="21"/>
              </w:rPr>
              <w:t>距离</w:t>
            </w:r>
          </w:p>
          <w:p>
            <w:pPr>
              <w:pStyle w:val="TableParagraph"/>
              <w:spacing w:line="269" w:lineRule="exact" w:before="43"/>
              <w:ind w:left="159"/>
              <w:jc w:val="left"/>
              <w:rPr>
                <w:sz w:val="21"/>
              </w:rPr>
            </w:pPr>
            <w:r>
              <w:rPr>
                <w:sz w:val="21"/>
              </w:rPr>
              <w:t>（</w:t>
            </w:r>
            <w:r>
              <w:rPr>
                <w:rFonts w:ascii="Times New Roman" w:eastAsia="Times New Roman"/>
                <w:sz w:val="21"/>
              </w:rPr>
              <w:t>m</w:t>
            </w:r>
            <w:r>
              <w:rPr>
                <w:sz w:val="21"/>
              </w:rPr>
              <w:t>）</w:t>
            </w:r>
          </w:p>
        </w:tc>
        <w:tc>
          <w:tcPr>
            <w:tcW w:w="1148" w:type="dxa"/>
            <w:tcBorders>
              <w:top w:val="single" w:sz="12" w:space="0" w:color="000000"/>
              <w:bottom w:val="single" w:sz="12" w:space="0" w:color="000000"/>
            </w:tcBorders>
          </w:tcPr>
          <w:p>
            <w:pPr>
              <w:pStyle w:val="TableParagraph"/>
              <w:spacing w:before="178"/>
              <w:ind w:left="360"/>
              <w:jc w:val="left"/>
              <w:rPr>
                <w:sz w:val="21"/>
              </w:rPr>
            </w:pPr>
            <w:r>
              <w:rPr>
                <w:sz w:val="21"/>
              </w:rPr>
              <w:t>规模</w:t>
            </w:r>
          </w:p>
        </w:tc>
        <w:tc>
          <w:tcPr>
            <w:tcW w:w="704" w:type="dxa"/>
            <w:tcBorders>
              <w:top w:val="single" w:sz="12" w:space="0" w:color="000000"/>
              <w:bottom w:val="single" w:sz="12" w:space="0" w:color="000000"/>
            </w:tcBorders>
          </w:tcPr>
          <w:p>
            <w:pPr>
              <w:pStyle w:val="TableParagraph"/>
              <w:spacing w:before="22"/>
              <w:ind w:left="137"/>
              <w:jc w:val="left"/>
              <w:rPr>
                <w:sz w:val="21"/>
              </w:rPr>
            </w:pPr>
            <w:r>
              <w:rPr>
                <w:sz w:val="21"/>
              </w:rPr>
              <w:t>照射</w:t>
            </w:r>
          </w:p>
          <w:p>
            <w:pPr>
              <w:pStyle w:val="TableParagraph"/>
              <w:spacing w:line="269" w:lineRule="exact" w:before="43"/>
              <w:ind w:left="137"/>
              <w:jc w:val="left"/>
              <w:rPr>
                <w:sz w:val="21"/>
              </w:rPr>
            </w:pPr>
            <w:r>
              <w:rPr>
                <w:sz w:val="21"/>
              </w:rPr>
              <w:t>类型</w:t>
            </w:r>
          </w:p>
        </w:tc>
        <w:tc>
          <w:tcPr>
            <w:tcW w:w="1302" w:type="dxa"/>
            <w:tcBorders>
              <w:top w:val="single" w:sz="12" w:space="0" w:color="000000"/>
              <w:bottom w:val="single" w:sz="12" w:space="0" w:color="000000"/>
            </w:tcBorders>
          </w:tcPr>
          <w:p>
            <w:pPr>
              <w:pStyle w:val="TableParagraph"/>
              <w:spacing w:before="22"/>
              <w:ind w:left="179"/>
              <w:jc w:val="left"/>
              <w:rPr>
                <w:sz w:val="21"/>
              </w:rPr>
            </w:pPr>
            <w:r>
              <w:rPr>
                <w:spacing w:val="-1"/>
                <w:sz w:val="21"/>
              </w:rPr>
              <w:t>剂量约束</w:t>
            </w:r>
          </w:p>
          <w:p>
            <w:pPr>
              <w:pStyle w:val="TableParagraph"/>
              <w:spacing w:line="269" w:lineRule="exact" w:before="43"/>
              <w:ind w:left="157"/>
              <w:jc w:val="left"/>
              <w:rPr>
                <w:rFonts w:ascii="Times New Roman" w:eastAsia="Times New Roman"/>
                <w:sz w:val="21"/>
              </w:rPr>
            </w:pPr>
            <w:r>
              <w:rPr>
                <w:spacing w:val="-1"/>
                <w:sz w:val="21"/>
              </w:rPr>
              <w:t>值</w:t>
            </w:r>
            <w:r>
              <w:rPr>
                <w:rFonts w:ascii="Times New Roman" w:eastAsia="Times New Roman"/>
                <w:spacing w:val="-1"/>
                <w:sz w:val="21"/>
              </w:rPr>
              <w:t>(mSv/a)</w:t>
            </w:r>
          </w:p>
        </w:tc>
      </w:tr>
      <w:tr>
        <w:trPr>
          <w:trHeight w:val="615" w:hRule="atLeast"/>
        </w:trPr>
        <w:tc>
          <w:tcPr>
            <w:tcW w:w="874" w:type="dxa"/>
            <w:vMerge w:val="restart"/>
            <w:tcBorders>
              <w:top w:val="single" w:sz="12" w:space="0" w:color="000000"/>
              <w:bottom w:val="double" w:sz="1"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3"/>
              <w:jc w:val="left"/>
              <w:rPr>
                <w:sz w:val="20"/>
              </w:rPr>
            </w:pPr>
          </w:p>
          <w:p>
            <w:pPr>
              <w:pStyle w:val="TableParagraph"/>
              <w:spacing w:line="278" w:lineRule="auto" w:before="1"/>
              <w:ind w:left="376" w:right="274"/>
              <w:jc w:val="both"/>
              <w:rPr>
                <w:sz w:val="21"/>
              </w:rPr>
            </w:pPr>
            <w:r>
              <w:rPr>
                <w:sz w:val="21"/>
              </w:rPr>
              <w:t>医院内</w:t>
            </w:r>
          </w:p>
        </w:tc>
        <w:tc>
          <w:tcPr>
            <w:tcW w:w="972" w:type="dxa"/>
            <w:vMerge w:val="restart"/>
            <w:tcBorders>
              <w:top w:val="single" w:sz="12" w:space="0" w:color="000000"/>
            </w:tcBorders>
          </w:tcPr>
          <w:p>
            <w:pPr>
              <w:pStyle w:val="TableParagraph"/>
              <w:spacing w:line="278" w:lineRule="auto" w:before="204"/>
              <w:ind w:left="275" w:right="262"/>
              <w:jc w:val="left"/>
              <w:rPr>
                <w:sz w:val="21"/>
              </w:rPr>
            </w:pPr>
            <w:r>
              <w:rPr>
                <w:sz w:val="21"/>
              </w:rPr>
              <w:t>职业人员</w:t>
            </w:r>
          </w:p>
        </w:tc>
        <w:tc>
          <w:tcPr>
            <w:tcW w:w="3166" w:type="dxa"/>
            <w:tcBorders>
              <w:top w:val="single" w:sz="12" w:space="0" w:color="000000"/>
            </w:tcBorders>
          </w:tcPr>
          <w:p>
            <w:pPr>
              <w:pStyle w:val="TableParagraph"/>
              <w:spacing w:before="180"/>
              <w:ind w:left="104" w:right="99"/>
              <w:rPr>
                <w:sz w:val="21"/>
              </w:rPr>
            </w:pPr>
            <w:r>
              <w:rPr>
                <w:sz w:val="21"/>
              </w:rPr>
              <w:t>介入治疗室内操作人员</w:t>
            </w:r>
          </w:p>
        </w:tc>
        <w:tc>
          <w:tcPr>
            <w:tcW w:w="910" w:type="dxa"/>
            <w:tcBorders>
              <w:top w:val="single" w:sz="12" w:space="0" w:color="000000"/>
            </w:tcBorders>
          </w:tcPr>
          <w:p>
            <w:pPr>
              <w:pStyle w:val="TableParagraph"/>
              <w:spacing w:before="24"/>
              <w:ind w:left="241"/>
              <w:jc w:val="left"/>
              <w:rPr>
                <w:sz w:val="21"/>
              </w:rPr>
            </w:pPr>
            <w:r>
              <w:rPr>
                <w:sz w:val="21"/>
              </w:rPr>
              <w:t>手术</w:t>
            </w:r>
          </w:p>
          <w:p>
            <w:pPr>
              <w:pStyle w:val="TableParagraph"/>
              <w:spacing w:line="259" w:lineRule="exact" w:before="43"/>
              <w:ind w:left="241"/>
              <w:jc w:val="left"/>
              <w:rPr>
                <w:sz w:val="21"/>
              </w:rPr>
            </w:pPr>
            <w:r>
              <w:rPr>
                <w:sz w:val="21"/>
              </w:rPr>
              <w:t>室内</w:t>
            </w:r>
          </w:p>
        </w:tc>
        <w:tc>
          <w:tcPr>
            <w:tcW w:w="1148" w:type="dxa"/>
            <w:vMerge w:val="restart"/>
            <w:tcBorders>
              <w:top w:val="single" w:sz="12" w:space="0" w:color="000000"/>
            </w:tcBorders>
          </w:tcPr>
          <w:p>
            <w:pPr>
              <w:pStyle w:val="TableParagraph"/>
              <w:spacing w:line="278" w:lineRule="auto" w:before="204"/>
              <w:ind w:left="152" w:right="77"/>
              <w:jc w:val="left"/>
              <w:rPr>
                <w:sz w:val="21"/>
              </w:rPr>
            </w:pPr>
            <w:r>
              <w:rPr>
                <w:sz w:val="21"/>
              </w:rPr>
              <w:t>辐射工作人员 </w:t>
            </w:r>
            <w:r>
              <w:rPr>
                <w:rFonts w:ascii="Times New Roman" w:eastAsia="Times New Roman"/>
                <w:sz w:val="21"/>
              </w:rPr>
              <w:t>5 </w:t>
            </w:r>
            <w:r>
              <w:rPr>
                <w:sz w:val="21"/>
              </w:rPr>
              <w:t>人</w:t>
            </w:r>
          </w:p>
        </w:tc>
        <w:tc>
          <w:tcPr>
            <w:tcW w:w="704" w:type="dxa"/>
            <w:vMerge w:val="restart"/>
            <w:tcBorders>
              <w:top w:val="single" w:sz="12" w:space="0" w:color="000000"/>
            </w:tcBorders>
          </w:tcPr>
          <w:p>
            <w:pPr>
              <w:pStyle w:val="TableParagraph"/>
              <w:spacing w:before="1"/>
              <w:jc w:val="left"/>
              <w:rPr>
                <w:sz w:val="28"/>
              </w:rPr>
            </w:pPr>
          </w:p>
          <w:p>
            <w:pPr>
              <w:pStyle w:val="TableParagraph"/>
              <w:spacing w:before="1"/>
              <w:ind w:left="137"/>
              <w:jc w:val="left"/>
              <w:rPr>
                <w:sz w:val="21"/>
              </w:rPr>
            </w:pPr>
            <w:r>
              <w:rPr>
                <w:sz w:val="21"/>
              </w:rPr>
              <w:t>职业</w:t>
            </w:r>
          </w:p>
        </w:tc>
        <w:tc>
          <w:tcPr>
            <w:tcW w:w="1302" w:type="dxa"/>
            <w:vMerge w:val="restart"/>
            <w:tcBorders>
              <w:top w:val="single" w:sz="12" w:space="0" w:color="000000"/>
            </w:tcBorders>
          </w:tcPr>
          <w:p>
            <w:pPr>
              <w:pStyle w:val="TableParagraph"/>
              <w:spacing w:before="2"/>
              <w:jc w:val="left"/>
              <w:rPr>
                <w:sz w:val="29"/>
              </w:rPr>
            </w:pPr>
          </w:p>
          <w:p>
            <w:pPr>
              <w:pStyle w:val="TableParagraph"/>
              <w:spacing w:before="1"/>
              <w:ind w:right="91"/>
              <w:rPr>
                <w:rFonts w:ascii="Times New Roman"/>
                <w:sz w:val="21"/>
              </w:rPr>
            </w:pPr>
            <w:r>
              <w:rPr>
                <w:rFonts w:ascii="Times New Roman"/>
                <w:w w:val="100"/>
                <w:sz w:val="21"/>
              </w:rPr>
              <w:t>5</w:t>
            </w:r>
          </w:p>
        </w:tc>
      </w:tr>
      <w:tr>
        <w:trPr>
          <w:trHeight w:val="327" w:hRule="atLeast"/>
        </w:trPr>
        <w:tc>
          <w:tcPr>
            <w:tcW w:w="874" w:type="dxa"/>
            <w:vMerge/>
            <w:tcBorders>
              <w:top w:val="nil"/>
              <w:bottom w:val="double" w:sz="1" w:space="0" w:color="000000"/>
            </w:tcBorders>
          </w:tcPr>
          <w:p>
            <w:pPr>
              <w:rPr>
                <w:sz w:val="2"/>
                <w:szCs w:val="2"/>
              </w:rPr>
            </w:pPr>
          </w:p>
        </w:tc>
        <w:tc>
          <w:tcPr>
            <w:tcW w:w="972" w:type="dxa"/>
            <w:vMerge/>
            <w:tcBorders>
              <w:top w:val="nil"/>
            </w:tcBorders>
          </w:tcPr>
          <w:p>
            <w:pPr>
              <w:rPr>
                <w:sz w:val="2"/>
                <w:szCs w:val="2"/>
              </w:rPr>
            </w:pPr>
          </w:p>
        </w:tc>
        <w:tc>
          <w:tcPr>
            <w:tcW w:w="3166" w:type="dxa"/>
          </w:tcPr>
          <w:p>
            <w:pPr>
              <w:pStyle w:val="TableParagraph"/>
              <w:spacing w:before="31"/>
              <w:ind w:left="107" w:right="99"/>
              <w:rPr>
                <w:sz w:val="21"/>
              </w:rPr>
            </w:pPr>
            <w:r>
              <w:rPr>
                <w:sz w:val="21"/>
              </w:rPr>
              <w:t>西侧控制室</w:t>
            </w:r>
          </w:p>
        </w:tc>
        <w:tc>
          <w:tcPr>
            <w:tcW w:w="910" w:type="dxa"/>
          </w:tcPr>
          <w:p>
            <w:pPr>
              <w:pStyle w:val="TableParagraph"/>
              <w:spacing w:before="45"/>
              <w:ind w:left="5"/>
              <w:rPr>
                <w:rFonts w:ascii="Times New Roman"/>
                <w:sz w:val="21"/>
              </w:rPr>
            </w:pPr>
            <w:r>
              <w:rPr>
                <w:rFonts w:ascii="Times New Roman"/>
                <w:w w:val="100"/>
                <w:sz w:val="21"/>
              </w:rPr>
              <w:t>/</w:t>
            </w:r>
          </w:p>
        </w:tc>
        <w:tc>
          <w:tcPr>
            <w:tcW w:w="1148" w:type="dxa"/>
            <w:vMerge/>
            <w:tcBorders>
              <w:top w:val="nil"/>
            </w:tcBorders>
          </w:tcPr>
          <w:p>
            <w:pPr>
              <w:rPr>
                <w:sz w:val="2"/>
                <w:szCs w:val="2"/>
              </w:rPr>
            </w:pPr>
          </w:p>
        </w:tc>
        <w:tc>
          <w:tcPr>
            <w:tcW w:w="704" w:type="dxa"/>
            <w:vMerge/>
            <w:tcBorders>
              <w:top w:val="nil"/>
            </w:tcBorders>
          </w:tcPr>
          <w:p>
            <w:pPr>
              <w:rPr>
                <w:sz w:val="2"/>
                <w:szCs w:val="2"/>
              </w:rPr>
            </w:pPr>
          </w:p>
        </w:tc>
        <w:tc>
          <w:tcPr>
            <w:tcW w:w="1302" w:type="dxa"/>
            <w:vMerge/>
            <w:tcBorders>
              <w:top w:val="nil"/>
            </w:tcBorders>
          </w:tcPr>
          <w:p>
            <w:pPr>
              <w:rPr>
                <w:sz w:val="2"/>
                <w:szCs w:val="2"/>
              </w:rPr>
            </w:pPr>
          </w:p>
        </w:tc>
      </w:tr>
      <w:tr>
        <w:trPr>
          <w:trHeight w:val="917" w:hRule="atLeast"/>
        </w:trPr>
        <w:tc>
          <w:tcPr>
            <w:tcW w:w="874" w:type="dxa"/>
            <w:vMerge/>
            <w:tcBorders>
              <w:top w:val="nil"/>
              <w:bottom w:val="double" w:sz="1" w:space="0" w:color="000000"/>
            </w:tcBorders>
          </w:tcPr>
          <w:p>
            <w:pPr>
              <w:rPr>
                <w:sz w:val="2"/>
                <w:szCs w:val="2"/>
              </w:rPr>
            </w:pPr>
          </w:p>
        </w:tc>
        <w:tc>
          <w:tcPr>
            <w:tcW w:w="972" w:type="dxa"/>
            <w:vMerge w:val="restart"/>
            <w:tcBorders>
              <w:bottom w:val="double" w:sz="1"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
              <w:jc w:val="left"/>
              <w:rPr>
                <w:sz w:val="29"/>
              </w:rPr>
            </w:pPr>
          </w:p>
          <w:p>
            <w:pPr>
              <w:pStyle w:val="TableParagraph"/>
              <w:ind w:left="275"/>
              <w:jc w:val="left"/>
              <w:rPr>
                <w:sz w:val="21"/>
              </w:rPr>
            </w:pPr>
            <w:r>
              <w:rPr>
                <w:sz w:val="21"/>
              </w:rPr>
              <w:t>公众</w:t>
            </w:r>
          </w:p>
        </w:tc>
        <w:tc>
          <w:tcPr>
            <w:tcW w:w="3166" w:type="dxa"/>
          </w:tcPr>
          <w:p>
            <w:pPr>
              <w:pStyle w:val="TableParagraph"/>
              <w:spacing w:line="278" w:lineRule="auto" w:before="15"/>
              <w:ind w:left="109" w:right="99"/>
              <w:rPr>
                <w:sz w:val="21"/>
              </w:rPr>
            </w:pPr>
            <w:r>
              <w:rPr>
                <w:sz w:val="21"/>
              </w:rPr>
              <w:t>东侧污物通道间、家属谈话室、家属等候区、行政楼大厅及院内</w:t>
            </w:r>
          </w:p>
          <w:p>
            <w:pPr>
              <w:pStyle w:val="TableParagraph"/>
              <w:spacing w:line="259" w:lineRule="exact"/>
              <w:ind w:left="105" w:right="99"/>
              <w:rPr>
                <w:sz w:val="21"/>
              </w:rPr>
            </w:pPr>
            <w:r>
              <w:rPr>
                <w:sz w:val="21"/>
              </w:rPr>
              <w:t>道路（行政楼）</w:t>
            </w:r>
          </w:p>
        </w:tc>
        <w:tc>
          <w:tcPr>
            <w:tcW w:w="910" w:type="dxa"/>
          </w:tcPr>
          <w:p>
            <w:pPr>
              <w:pStyle w:val="TableParagraph"/>
              <w:spacing w:before="7"/>
              <w:jc w:val="left"/>
              <w:rPr>
                <w:sz w:val="26"/>
              </w:rPr>
            </w:pPr>
          </w:p>
          <w:p>
            <w:pPr>
              <w:pStyle w:val="TableParagraph"/>
              <w:spacing w:before="1"/>
              <w:ind w:left="137" w:right="130"/>
              <w:rPr>
                <w:rFonts w:ascii="Times New Roman"/>
                <w:sz w:val="21"/>
              </w:rPr>
            </w:pPr>
            <w:r>
              <w:rPr>
                <w:rFonts w:ascii="Times New Roman"/>
                <w:sz w:val="21"/>
              </w:rPr>
              <w:t>1~25m</w:t>
            </w:r>
          </w:p>
        </w:tc>
        <w:tc>
          <w:tcPr>
            <w:tcW w:w="1148" w:type="dxa"/>
            <w:vMerge w:val="restart"/>
            <w:tcBorders>
              <w:bottom w:val="double" w:sz="1"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8"/>
              </w:rPr>
            </w:pPr>
          </w:p>
          <w:p>
            <w:pPr>
              <w:pStyle w:val="TableParagraph"/>
              <w:spacing w:line="278" w:lineRule="auto" w:before="1"/>
              <w:ind w:left="152" w:right="141" w:hanging="3"/>
              <w:rPr>
                <w:sz w:val="21"/>
              </w:rPr>
            </w:pPr>
            <w:r>
              <w:rPr>
                <w:sz w:val="21"/>
              </w:rPr>
              <w:t>医院内 </w:t>
            </w:r>
            <w:r>
              <w:rPr>
                <w:spacing w:val="-5"/>
                <w:sz w:val="21"/>
              </w:rPr>
              <w:t>除本项目辐射工作人员外的其他医护人员、公</w:t>
            </w:r>
            <w:r>
              <w:rPr>
                <w:sz w:val="21"/>
              </w:rPr>
              <w:t>众</w:t>
            </w:r>
          </w:p>
        </w:tc>
        <w:tc>
          <w:tcPr>
            <w:tcW w:w="704" w:type="dxa"/>
            <w:vMerge w:val="restart"/>
            <w:tcBorders>
              <w:bottom w:val="double" w:sz="1"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
              <w:jc w:val="left"/>
              <w:rPr>
                <w:sz w:val="29"/>
              </w:rPr>
            </w:pPr>
          </w:p>
          <w:p>
            <w:pPr>
              <w:pStyle w:val="TableParagraph"/>
              <w:ind w:left="137"/>
              <w:jc w:val="left"/>
              <w:rPr>
                <w:sz w:val="21"/>
              </w:rPr>
            </w:pPr>
            <w:r>
              <w:rPr>
                <w:sz w:val="21"/>
              </w:rPr>
              <w:t>公众</w:t>
            </w:r>
          </w:p>
        </w:tc>
        <w:tc>
          <w:tcPr>
            <w:tcW w:w="1302" w:type="dxa"/>
            <w:vMerge w:val="restart"/>
            <w:tcBorders>
              <w:bottom w:val="double" w:sz="1"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2"/>
              <w:jc w:val="left"/>
              <w:rPr>
                <w:sz w:val="20"/>
              </w:rPr>
            </w:pPr>
          </w:p>
          <w:p>
            <w:pPr>
              <w:pStyle w:val="TableParagraph"/>
              <w:ind w:left="450" w:right="536"/>
              <w:rPr>
                <w:rFonts w:ascii="Times New Roman"/>
                <w:sz w:val="21"/>
              </w:rPr>
            </w:pPr>
            <w:r>
              <w:rPr>
                <w:rFonts w:ascii="Times New Roman"/>
                <w:sz w:val="21"/>
              </w:rPr>
              <w:t>0.1</w:t>
            </w:r>
          </w:p>
        </w:tc>
      </w:tr>
      <w:tr>
        <w:trPr>
          <w:trHeight w:val="915" w:hRule="atLeast"/>
        </w:trPr>
        <w:tc>
          <w:tcPr>
            <w:tcW w:w="874" w:type="dxa"/>
            <w:vMerge/>
            <w:tcBorders>
              <w:top w:val="nil"/>
              <w:bottom w:val="double" w:sz="1" w:space="0" w:color="000000"/>
            </w:tcBorders>
          </w:tcPr>
          <w:p>
            <w:pPr>
              <w:rPr>
                <w:sz w:val="2"/>
                <w:szCs w:val="2"/>
              </w:rPr>
            </w:pPr>
          </w:p>
        </w:tc>
        <w:tc>
          <w:tcPr>
            <w:tcW w:w="972" w:type="dxa"/>
            <w:vMerge/>
            <w:tcBorders>
              <w:top w:val="nil"/>
              <w:bottom w:val="double" w:sz="1" w:space="0" w:color="000000"/>
            </w:tcBorders>
          </w:tcPr>
          <w:p>
            <w:pPr>
              <w:rPr>
                <w:sz w:val="2"/>
                <w:szCs w:val="2"/>
              </w:rPr>
            </w:pPr>
          </w:p>
        </w:tc>
        <w:tc>
          <w:tcPr>
            <w:tcW w:w="3166" w:type="dxa"/>
          </w:tcPr>
          <w:p>
            <w:pPr>
              <w:pStyle w:val="TableParagraph"/>
              <w:spacing w:line="278" w:lineRule="auto" w:before="12"/>
              <w:ind w:left="109" w:right="99"/>
              <w:rPr>
                <w:sz w:val="21"/>
              </w:rPr>
            </w:pPr>
            <w:r>
              <w:rPr>
                <w:sz w:val="21"/>
              </w:rPr>
              <w:t>东侧洗瓶净瓶区域、质检区域、原辅材料暂存区域、包装区域及</w:t>
            </w:r>
          </w:p>
          <w:p>
            <w:pPr>
              <w:pStyle w:val="TableParagraph"/>
              <w:spacing w:line="259" w:lineRule="exact"/>
              <w:ind w:left="108" w:right="99"/>
              <w:rPr>
                <w:sz w:val="21"/>
              </w:rPr>
            </w:pPr>
            <w:r>
              <w:rPr>
                <w:sz w:val="21"/>
              </w:rPr>
              <w:t>院内道路（药剂楼）</w:t>
            </w:r>
          </w:p>
        </w:tc>
        <w:tc>
          <w:tcPr>
            <w:tcW w:w="910" w:type="dxa"/>
          </w:tcPr>
          <w:p>
            <w:pPr>
              <w:pStyle w:val="TableParagraph"/>
              <w:spacing w:before="5"/>
              <w:jc w:val="left"/>
              <w:rPr>
                <w:sz w:val="26"/>
              </w:rPr>
            </w:pPr>
          </w:p>
          <w:p>
            <w:pPr>
              <w:pStyle w:val="TableParagraph"/>
              <w:ind w:left="137" w:right="130"/>
              <w:rPr>
                <w:rFonts w:ascii="Times New Roman"/>
                <w:sz w:val="21"/>
              </w:rPr>
            </w:pPr>
            <w:r>
              <w:rPr>
                <w:rFonts w:ascii="Times New Roman"/>
                <w:sz w:val="21"/>
              </w:rPr>
              <w:t>1~25m</w:t>
            </w:r>
          </w:p>
        </w:tc>
        <w:tc>
          <w:tcPr>
            <w:tcW w:w="1148" w:type="dxa"/>
            <w:vMerge/>
            <w:tcBorders>
              <w:top w:val="nil"/>
              <w:bottom w:val="double" w:sz="1" w:space="0" w:color="000000"/>
            </w:tcBorders>
          </w:tcPr>
          <w:p>
            <w:pPr>
              <w:rPr>
                <w:sz w:val="2"/>
                <w:szCs w:val="2"/>
              </w:rPr>
            </w:pPr>
          </w:p>
        </w:tc>
        <w:tc>
          <w:tcPr>
            <w:tcW w:w="704" w:type="dxa"/>
            <w:vMerge/>
            <w:tcBorders>
              <w:top w:val="nil"/>
              <w:bottom w:val="double" w:sz="1" w:space="0" w:color="000000"/>
            </w:tcBorders>
          </w:tcPr>
          <w:p>
            <w:pPr>
              <w:rPr>
                <w:sz w:val="2"/>
                <w:szCs w:val="2"/>
              </w:rPr>
            </w:pPr>
          </w:p>
        </w:tc>
        <w:tc>
          <w:tcPr>
            <w:tcW w:w="1302" w:type="dxa"/>
            <w:vMerge/>
            <w:tcBorders>
              <w:top w:val="nil"/>
              <w:bottom w:val="double" w:sz="1" w:space="0" w:color="000000"/>
            </w:tcBorders>
          </w:tcPr>
          <w:p>
            <w:pPr>
              <w:rPr>
                <w:sz w:val="2"/>
                <w:szCs w:val="2"/>
              </w:rPr>
            </w:pPr>
          </w:p>
        </w:tc>
      </w:tr>
      <w:tr>
        <w:trPr>
          <w:trHeight w:val="1227" w:hRule="atLeast"/>
        </w:trPr>
        <w:tc>
          <w:tcPr>
            <w:tcW w:w="874" w:type="dxa"/>
            <w:vMerge/>
            <w:tcBorders>
              <w:top w:val="nil"/>
              <w:bottom w:val="double" w:sz="1" w:space="0" w:color="000000"/>
            </w:tcBorders>
          </w:tcPr>
          <w:p>
            <w:pPr>
              <w:rPr>
                <w:sz w:val="2"/>
                <w:szCs w:val="2"/>
              </w:rPr>
            </w:pPr>
          </w:p>
        </w:tc>
        <w:tc>
          <w:tcPr>
            <w:tcW w:w="972" w:type="dxa"/>
            <w:vMerge/>
            <w:tcBorders>
              <w:top w:val="nil"/>
              <w:bottom w:val="double" w:sz="1" w:space="0" w:color="000000"/>
            </w:tcBorders>
          </w:tcPr>
          <w:p>
            <w:pPr>
              <w:rPr>
                <w:sz w:val="2"/>
                <w:szCs w:val="2"/>
              </w:rPr>
            </w:pPr>
          </w:p>
        </w:tc>
        <w:tc>
          <w:tcPr>
            <w:tcW w:w="3166" w:type="dxa"/>
          </w:tcPr>
          <w:p>
            <w:pPr>
              <w:pStyle w:val="TableParagraph"/>
              <w:spacing w:line="278" w:lineRule="auto" w:before="12"/>
              <w:ind w:left="109" w:right="99"/>
              <w:jc w:val="both"/>
              <w:rPr>
                <w:sz w:val="21"/>
              </w:rPr>
            </w:pPr>
            <w:r>
              <w:rPr>
                <w:spacing w:val="-5"/>
                <w:sz w:val="21"/>
              </w:rPr>
              <w:t>南侧通道、原辅材料暂存间、备料间、更衣清洗区域、配电室、空调机房、院内道路、污水处理</w:t>
            </w:r>
          </w:p>
          <w:p>
            <w:pPr>
              <w:pStyle w:val="TableParagraph"/>
              <w:spacing w:line="259" w:lineRule="exact"/>
              <w:ind w:left="109"/>
              <w:jc w:val="both"/>
              <w:rPr>
                <w:sz w:val="21"/>
              </w:rPr>
            </w:pPr>
            <w:r>
              <w:rPr>
                <w:spacing w:val="-4"/>
                <w:sz w:val="21"/>
              </w:rPr>
              <w:t>站、危险废物暂存间</w:t>
            </w:r>
            <w:r>
              <w:rPr>
                <w:sz w:val="21"/>
              </w:rPr>
              <w:t>（</w:t>
            </w:r>
            <w:r>
              <w:rPr>
                <w:spacing w:val="-2"/>
                <w:sz w:val="21"/>
              </w:rPr>
              <w:t>药剂楼</w:t>
            </w:r>
            <w:r>
              <w:rPr>
                <w:sz w:val="21"/>
              </w:rPr>
              <w:t>）</w:t>
            </w:r>
          </w:p>
        </w:tc>
        <w:tc>
          <w:tcPr>
            <w:tcW w:w="910" w:type="dxa"/>
          </w:tcPr>
          <w:p>
            <w:pPr>
              <w:pStyle w:val="TableParagraph"/>
              <w:jc w:val="left"/>
              <w:rPr>
                <w:sz w:val="22"/>
              </w:rPr>
            </w:pPr>
          </w:p>
          <w:p>
            <w:pPr>
              <w:pStyle w:val="TableParagraph"/>
              <w:spacing w:before="7"/>
              <w:jc w:val="left"/>
              <w:rPr>
                <w:sz w:val="16"/>
              </w:rPr>
            </w:pPr>
          </w:p>
          <w:p>
            <w:pPr>
              <w:pStyle w:val="TableParagraph"/>
              <w:ind w:left="137" w:right="130"/>
              <w:rPr>
                <w:rFonts w:ascii="Times New Roman"/>
                <w:sz w:val="21"/>
              </w:rPr>
            </w:pPr>
            <w:r>
              <w:rPr>
                <w:rFonts w:ascii="Times New Roman"/>
                <w:sz w:val="21"/>
              </w:rPr>
              <w:t>1~25m</w:t>
            </w:r>
          </w:p>
        </w:tc>
        <w:tc>
          <w:tcPr>
            <w:tcW w:w="1148" w:type="dxa"/>
            <w:vMerge/>
            <w:tcBorders>
              <w:top w:val="nil"/>
              <w:bottom w:val="double" w:sz="1" w:space="0" w:color="000000"/>
            </w:tcBorders>
          </w:tcPr>
          <w:p>
            <w:pPr>
              <w:rPr>
                <w:sz w:val="2"/>
                <w:szCs w:val="2"/>
              </w:rPr>
            </w:pPr>
          </w:p>
        </w:tc>
        <w:tc>
          <w:tcPr>
            <w:tcW w:w="704" w:type="dxa"/>
            <w:vMerge/>
            <w:tcBorders>
              <w:top w:val="nil"/>
              <w:bottom w:val="double" w:sz="1" w:space="0" w:color="000000"/>
            </w:tcBorders>
          </w:tcPr>
          <w:p>
            <w:pPr>
              <w:rPr>
                <w:sz w:val="2"/>
                <w:szCs w:val="2"/>
              </w:rPr>
            </w:pPr>
          </w:p>
        </w:tc>
        <w:tc>
          <w:tcPr>
            <w:tcW w:w="1302" w:type="dxa"/>
            <w:vMerge/>
            <w:tcBorders>
              <w:top w:val="nil"/>
              <w:bottom w:val="double" w:sz="1" w:space="0" w:color="000000"/>
            </w:tcBorders>
          </w:tcPr>
          <w:p>
            <w:pPr>
              <w:rPr>
                <w:sz w:val="2"/>
                <w:szCs w:val="2"/>
              </w:rPr>
            </w:pPr>
          </w:p>
        </w:tc>
      </w:tr>
      <w:tr>
        <w:trPr>
          <w:trHeight w:val="603" w:hRule="atLeast"/>
        </w:trPr>
        <w:tc>
          <w:tcPr>
            <w:tcW w:w="874" w:type="dxa"/>
            <w:vMerge/>
            <w:tcBorders>
              <w:top w:val="nil"/>
              <w:bottom w:val="double" w:sz="1" w:space="0" w:color="000000"/>
            </w:tcBorders>
          </w:tcPr>
          <w:p>
            <w:pPr>
              <w:rPr>
                <w:sz w:val="2"/>
                <w:szCs w:val="2"/>
              </w:rPr>
            </w:pPr>
          </w:p>
        </w:tc>
        <w:tc>
          <w:tcPr>
            <w:tcW w:w="972" w:type="dxa"/>
            <w:vMerge/>
            <w:tcBorders>
              <w:top w:val="nil"/>
              <w:bottom w:val="double" w:sz="1" w:space="0" w:color="000000"/>
            </w:tcBorders>
          </w:tcPr>
          <w:p>
            <w:pPr>
              <w:rPr>
                <w:sz w:val="2"/>
                <w:szCs w:val="2"/>
              </w:rPr>
            </w:pPr>
          </w:p>
        </w:tc>
        <w:tc>
          <w:tcPr>
            <w:tcW w:w="3166" w:type="dxa"/>
          </w:tcPr>
          <w:p>
            <w:pPr>
              <w:pStyle w:val="TableParagraph"/>
              <w:spacing w:before="12"/>
              <w:ind w:left="91" w:right="84"/>
              <w:rPr>
                <w:sz w:val="21"/>
              </w:rPr>
            </w:pPr>
            <w:r>
              <w:rPr>
                <w:sz w:val="21"/>
              </w:rPr>
              <w:t>西侧控制室、设备间、卫生通过</w:t>
            </w:r>
          </w:p>
          <w:p>
            <w:pPr>
              <w:pStyle w:val="TableParagraph"/>
              <w:spacing w:line="259" w:lineRule="exact" w:before="43"/>
              <w:ind w:left="106" w:right="99"/>
              <w:rPr>
                <w:sz w:val="21"/>
              </w:rPr>
            </w:pPr>
            <w:r>
              <w:rPr>
                <w:sz w:val="21"/>
              </w:rPr>
              <w:t>间、库房、楼梯间、院内道路</w:t>
            </w:r>
          </w:p>
        </w:tc>
        <w:tc>
          <w:tcPr>
            <w:tcW w:w="910" w:type="dxa"/>
          </w:tcPr>
          <w:p>
            <w:pPr>
              <w:pStyle w:val="TableParagraph"/>
              <w:spacing w:before="182"/>
              <w:ind w:left="137" w:right="130"/>
              <w:rPr>
                <w:rFonts w:ascii="Times New Roman"/>
                <w:sz w:val="21"/>
              </w:rPr>
            </w:pPr>
            <w:r>
              <w:rPr>
                <w:rFonts w:ascii="Times New Roman"/>
                <w:sz w:val="21"/>
              </w:rPr>
              <w:t>1~20m</w:t>
            </w:r>
          </w:p>
        </w:tc>
        <w:tc>
          <w:tcPr>
            <w:tcW w:w="1148" w:type="dxa"/>
            <w:vMerge/>
            <w:tcBorders>
              <w:top w:val="nil"/>
              <w:bottom w:val="double" w:sz="1" w:space="0" w:color="000000"/>
            </w:tcBorders>
          </w:tcPr>
          <w:p>
            <w:pPr>
              <w:rPr>
                <w:sz w:val="2"/>
                <w:szCs w:val="2"/>
              </w:rPr>
            </w:pPr>
          </w:p>
        </w:tc>
        <w:tc>
          <w:tcPr>
            <w:tcW w:w="704" w:type="dxa"/>
            <w:vMerge/>
            <w:tcBorders>
              <w:top w:val="nil"/>
              <w:bottom w:val="double" w:sz="1" w:space="0" w:color="000000"/>
            </w:tcBorders>
          </w:tcPr>
          <w:p>
            <w:pPr>
              <w:rPr>
                <w:sz w:val="2"/>
                <w:szCs w:val="2"/>
              </w:rPr>
            </w:pPr>
          </w:p>
        </w:tc>
        <w:tc>
          <w:tcPr>
            <w:tcW w:w="1302" w:type="dxa"/>
            <w:vMerge/>
            <w:tcBorders>
              <w:top w:val="nil"/>
              <w:bottom w:val="double" w:sz="1" w:space="0" w:color="000000"/>
            </w:tcBorders>
          </w:tcPr>
          <w:p>
            <w:pPr>
              <w:rPr>
                <w:sz w:val="2"/>
                <w:szCs w:val="2"/>
              </w:rPr>
            </w:pPr>
          </w:p>
        </w:tc>
      </w:tr>
      <w:tr>
        <w:trPr>
          <w:trHeight w:val="921" w:hRule="atLeast"/>
        </w:trPr>
        <w:tc>
          <w:tcPr>
            <w:tcW w:w="874" w:type="dxa"/>
            <w:vMerge/>
            <w:tcBorders>
              <w:top w:val="nil"/>
              <w:bottom w:val="double" w:sz="1" w:space="0" w:color="000000"/>
            </w:tcBorders>
          </w:tcPr>
          <w:p>
            <w:pPr>
              <w:rPr>
                <w:sz w:val="2"/>
                <w:szCs w:val="2"/>
              </w:rPr>
            </w:pPr>
          </w:p>
        </w:tc>
        <w:tc>
          <w:tcPr>
            <w:tcW w:w="972" w:type="dxa"/>
            <w:vMerge/>
            <w:tcBorders>
              <w:top w:val="nil"/>
              <w:bottom w:val="double" w:sz="1" w:space="0" w:color="000000"/>
            </w:tcBorders>
          </w:tcPr>
          <w:p>
            <w:pPr>
              <w:rPr>
                <w:sz w:val="2"/>
                <w:szCs w:val="2"/>
              </w:rPr>
            </w:pPr>
          </w:p>
        </w:tc>
        <w:tc>
          <w:tcPr>
            <w:tcW w:w="3166" w:type="dxa"/>
            <w:tcBorders>
              <w:bottom w:val="double" w:sz="1" w:space="0" w:color="000000"/>
            </w:tcBorders>
          </w:tcPr>
          <w:p>
            <w:pPr>
              <w:pStyle w:val="TableParagraph"/>
              <w:spacing w:line="278" w:lineRule="auto" w:before="12"/>
              <w:ind w:left="109" w:right="99"/>
              <w:rPr>
                <w:sz w:val="21"/>
              </w:rPr>
            </w:pPr>
            <w:r>
              <w:rPr>
                <w:sz w:val="21"/>
              </w:rPr>
              <w:t>北侧配电室、医生通道、更衣淋浴间、缓冲间、院内道路、发电</w:t>
            </w:r>
          </w:p>
          <w:p>
            <w:pPr>
              <w:pStyle w:val="TableParagraph"/>
              <w:spacing w:line="265" w:lineRule="exact"/>
              <w:ind w:left="105" w:right="99"/>
              <w:rPr>
                <w:sz w:val="21"/>
              </w:rPr>
            </w:pPr>
            <w:r>
              <w:rPr>
                <w:sz w:val="21"/>
              </w:rPr>
              <w:t>机房、员工食堂</w:t>
            </w:r>
          </w:p>
        </w:tc>
        <w:tc>
          <w:tcPr>
            <w:tcW w:w="910" w:type="dxa"/>
            <w:tcBorders>
              <w:bottom w:val="double" w:sz="1" w:space="0" w:color="000000"/>
            </w:tcBorders>
          </w:tcPr>
          <w:p>
            <w:pPr>
              <w:pStyle w:val="TableParagraph"/>
              <w:spacing w:before="5"/>
              <w:jc w:val="left"/>
              <w:rPr>
                <w:sz w:val="26"/>
              </w:rPr>
            </w:pPr>
          </w:p>
          <w:p>
            <w:pPr>
              <w:pStyle w:val="TableParagraph"/>
              <w:ind w:left="137" w:right="130"/>
              <w:rPr>
                <w:rFonts w:ascii="Times New Roman"/>
                <w:sz w:val="21"/>
              </w:rPr>
            </w:pPr>
            <w:r>
              <w:rPr>
                <w:rFonts w:ascii="Times New Roman"/>
                <w:sz w:val="21"/>
              </w:rPr>
              <w:t>1~48m</w:t>
            </w:r>
          </w:p>
        </w:tc>
        <w:tc>
          <w:tcPr>
            <w:tcW w:w="1148" w:type="dxa"/>
            <w:vMerge/>
            <w:tcBorders>
              <w:top w:val="nil"/>
              <w:bottom w:val="double" w:sz="1" w:space="0" w:color="000000"/>
            </w:tcBorders>
          </w:tcPr>
          <w:p>
            <w:pPr>
              <w:rPr>
                <w:sz w:val="2"/>
                <w:szCs w:val="2"/>
              </w:rPr>
            </w:pPr>
          </w:p>
        </w:tc>
        <w:tc>
          <w:tcPr>
            <w:tcW w:w="704" w:type="dxa"/>
            <w:vMerge/>
            <w:tcBorders>
              <w:top w:val="nil"/>
              <w:bottom w:val="double" w:sz="1" w:space="0" w:color="000000"/>
            </w:tcBorders>
          </w:tcPr>
          <w:p>
            <w:pPr>
              <w:rPr>
                <w:sz w:val="2"/>
                <w:szCs w:val="2"/>
              </w:rPr>
            </w:pPr>
          </w:p>
        </w:tc>
        <w:tc>
          <w:tcPr>
            <w:tcW w:w="1302" w:type="dxa"/>
            <w:vMerge/>
            <w:tcBorders>
              <w:top w:val="nil"/>
              <w:bottom w:val="double" w:sz="1" w:space="0" w:color="000000"/>
            </w:tcBorders>
          </w:tcPr>
          <w:p>
            <w:pPr>
              <w:rPr>
                <w:sz w:val="2"/>
                <w:szCs w:val="2"/>
              </w:rPr>
            </w:pPr>
          </w:p>
        </w:tc>
      </w:tr>
    </w:tbl>
    <w:p>
      <w:pPr>
        <w:spacing w:after="0"/>
        <w:rPr>
          <w:sz w:val="2"/>
          <w:szCs w:val="2"/>
        </w:rPr>
        <w:sectPr>
          <w:pgSz w:w="11910" w:h="16840"/>
          <w:pgMar w:header="0" w:footer="881" w:top="1320" w:bottom="1080" w:left="1480" w:right="1020"/>
        </w:sectPr>
      </w:pPr>
    </w:p>
    <w:tbl>
      <w:tblPr>
        <w:tblW w:w="0" w:type="auto"/>
        <w:jc w:val="left"/>
        <w:tblInd w:w="1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74"/>
        <w:gridCol w:w="411"/>
        <w:gridCol w:w="562"/>
        <w:gridCol w:w="3166"/>
        <w:gridCol w:w="910"/>
        <w:gridCol w:w="1148"/>
        <w:gridCol w:w="704"/>
        <w:gridCol w:w="1302"/>
      </w:tblGrid>
      <w:tr>
        <w:trPr>
          <w:trHeight w:val="336" w:hRule="atLeast"/>
        </w:trPr>
        <w:tc>
          <w:tcPr>
            <w:tcW w:w="874" w:type="dxa"/>
            <w:vMerge w:val="restart"/>
            <w:tcBorders>
              <w:left w:val="single" w:sz="4" w:space="0" w:color="000000"/>
              <w:bottom w:val="single" w:sz="12" w:space="0" w:color="000000"/>
              <w:right w:val="single" w:sz="4" w:space="0" w:color="000000"/>
            </w:tcBorders>
          </w:tcPr>
          <w:p>
            <w:pPr>
              <w:pStyle w:val="TableParagraph"/>
              <w:spacing w:before="5"/>
              <w:jc w:val="left"/>
              <w:rPr>
                <w:sz w:val="20"/>
              </w:rPr>
            </w:pPr>
          </w:p>
          <w:p>
            <w:pPr>
              <w:pStyle w:val="TableParagraph"/>
              <w:spacing w:line="278" w:lineRule="auto"/>
              <w:ind w:left="376" w:right="166" w:hanging="104"/>
              <w:jc w:val="left"/>
              <w:rPr>
                <w:sz w:val="21"/>
              </w:rPr>
            </w:pPr>
            <w:r>
              <w:rPr>
                <w:sz w:val="21"/>
              </w:rPr>
              <w:t>医院外</w:t>
            </w:r>
          </w:p>
        </w:tc>
        <w:tc>
          <w:tcPr>
            <w:tcW w:w="973" w:type="dxa"/>
            <w:gridSpan w:val="2"/>
            <w:vMerge w:val="restart"/>
            <w:tcBorders>
              <w:left w:val="single" w:sz="4" w:space="0" w:color="000000"/>
              <w:bottom w:val="single" w:sz="12" w:space="0" w:color="000000"/>
              <w:right w:val="single" w:sz="4" w:space="0" w:color="000000"/>
            </w:tcBorders>
          </w:tcPr>
          <w:p>
            <w:pPr>
              <w:pStyle w:val="TableParagraph"/>
              <w:spacing w:before="7"/>
              <w:jc w:val="left"/>
              <w:rPr>
                <w:sz w:val="32"/>
              </w:rPr>
            </w:pPr>
          </w:p>
          <w:p>
            <w:pPr>
              <w:pStyle w:val="TableParagraph"/>
              <w:spacing w:before="1"/>
              <w:ind w:left="275"/>
              <w:jc w:val="left"/>
              <w:rPr>
                <w:sz w:val="21"/>
              </w:rPr>
            </w:pPr>
            <w:r>
              <w:rPr>
                <w:sz w:val="21"/>
              </w:rPr>
              <w:t>公众</w:t>
            </w:r>
          </w:p>
        </w:tc>
        <w:tc>
          <w:tcPr>
            <w:tcW w:w="3166" w:type="dxa"/>
            <w:tcBorders>
              <w:left w:val="single" w:sz="4" w:space="0" w:color="000000"/>
              <w:bottom w:val="single" w:sz="4" w:space="0" w:color="000000"/>
              <w:right w:val="single" w:sz="4" w:space="0" w:color="000000"/>
            </w:tcBorders>
          </w:tcPr>
          <w:p>
            <w:pPr>
              <w:pStyle w:val="TableParagraph"/>
              <w:spacing w:before="38"/>
              <w:ind w:left="103" w:right="99"/>
              <w:rPr>
                <w:sz w:val="21"/>
              </w:rPr>
            </w:pPr>
            <w:r>
              <w:rPr>
                <w:sz w:val="21"/>
              </w:rPr>
              <w:t>南侧广洋楼小区</w:t>
            </w:r>
          </w:p>
        </w:tc>
        <w:tc>
          <w:tcPr>
            <w:tcW w:w="910" w:type="dxa"/>
            <w:tcBorders>
              <w:left w:val="single" w:sz="4" w:space="0" w:color="000000"/>
              <w:bottom w:val="single" w:sz="4" w:space="0" w:color="000000"/>
              <w:right w:val="single" w:sz="4" w:space="0" w:color="000000"/>
            </w:tcBorders>
          </w:tcPr>
          <w:p>
            <w:pPr>
              <w:pStyle w:val="TableParagraph"/>
              <w:spacing w:before="52"/>
              <w:ind w:left="132" w:right="130"/>
              <w:rPr>
                <w:rFonts w:ascii="Times New Roman"/>
                <w:sz w:val="21"/>
              </w:rPr>
            </w:pPr>
            <w:r>
              <w:rPr>
                <w:rFonts w:ascii="Times New Roman"/>
                <w:sz w:val="21"/>
              </w:rPr>
              <w:t>30m</w:t>
            </w:r>
          </w:p>
        </w:tc>
        <w:tc>
          <w:tcPr>
            <w:tcW w:w="1148" w:type="dxa"/>
            <w:vMerge w:val="restart"/>
            <w:tcBorders>
              <w:left w:val="single" w:sz="4" w:space="0" w:color="000000"/>
              <w:bottom w:val="single" w:sz="12" w:space="0" w:color="000000"/>
              <w:right w:val="single" w:sz="4" w:space="0" w:color="000000"/>
            </w:tcBorders>
          </w:tcPr>
          <w:p>
            <w:pPr>
              <w:pStyle w:val="TableParagraph"/>
              <w:spacing w:line="278" w:lineRule="auto" w:before="106"/>
              <w:ind w:left="151" w:right="142"/>
              <w:rPr>
                <w:sz w:val="21"/>
              </w:rPr>
            </w:pPr>
            <w:r>
              <w:rPr>
                <w:sz w:val="21"/>
              </w:rPr>
              <w:t>医院外公众，人员流动</w:t>
            </w:r>
          </w:p>
        </w:tc>
        <w:tc>
          <w:tcPr>
            <w:tcW w:w="704" w:type="dxa"/>
            <w:vMerge w:val="restart"/>
            <w:tcBorders>
              <w:left w:val="single" w:sz="4" w:space="0" w:color="000000"/>
              <w:bottom w:val="single" w:sz="12" w:space="0" w:color="000000"/>
              <w:right w:val="single" w:sz="4" w:space="0" w:color="000000"/>
            </w:tcBorders>
          </w:tcPr>
          <w:p>
            <w:pPr>
              <w:pStyle w:val="TableParagraph"/>
              <w:spacing w:before="7"/>
              <w:jc w:val="left"/>
              <w:rPr>
                <w:sz w:val="32"/>
              </w:rPr>
            </w:pPr>
          </w:p>
          <w:p>
            <w:pPr>
              <w:pStyle w:val="TableParagraph"/>
              <w:spacing w:before="1"/>
              <w:ind w:left="136"/>
              <w:jc w:val="left"/>
              <w:rPr>
                <w:sz w:val="21"/>
              </w:rPr>
            </w:pPr>
            <w:r>
              <w:rPr>
                <w:sz w:val="21"/>
              </w:rPr>
              <w:t>公众</w:t>
            </w:r>
          </w:p>
        </w:tc>
        <w:tc>
          <w:tcPr>
            <w:tcW w:w="1302" w:type="dxa"/>
            <w:vMerge w:val="restart"/>
            <w:tcBorders>
              <w:left w:val="single" w:sz="4" w:space="0" w:color="000000"/>
              <w:bottom w:val="single" w:sz="12" w:space="0" w:color="000000"/>
              <w:right w:val="single" w:sz="4" w:space="0" w:color="000000"/>
            </w:tcBorders>
          </w:tcPr>
          <w:p>
            <w:pPr>
              <w:pStyle w:val="TableParagraph"/>
              <w:jc w:val="left"/>
              <w:rPr>
                <w:sz w:val="22"/>
              </w:rPr>
            </w:pPr>
          </w:p>
          <w:p>
            <w:pPr>
              <w:pStyle w:val="TableParagraph"/>
              <w:spacing w:before="150"/>
              <w:ind w:left="449" w:right="537"/>
              <w:rPr>
                <w:rFonts w:ascii="Times New Roman"/>
                <w:sz w:val="21"/>
              </w:rPr>
            </w:pPr>
            <w:r>
              <w:rPr>
                <w:rFonts w:ascii="Times New Roman"/>
                <w:sz w:val="21"/>
              </w:rPr>
              <w:t>0.1</w:t>
            </w:r>
          </w:p>
        </w:tc>
      </w:tr>
      <w:tr>
        <w:trPr>
          <w:trHeight w:val="349" w:hRule="atLeast"/>
        </w:trPr>
        <w:tc>
          <w:tcPr>
            <w:tcW w:w="874" w:type="dxa"/>
            <w:vMerge/>
            <w:tcBorders>
              <w:top w:val="nil"/>
              <w:left w:val="single" w:sz="4" w:space="0" w:color="000000"/>
              <w:bottom w:val="single" w:sz="12" w:space="0" w:color="000000"/>
              <w:right w:val="single" w:sz="4" w:space="0" w:color="000000"/>
            </w:tcBorders>
          </w:tcPr>
          <w:p>
            <w:pPr>
              <w:rPr>
                <w:sz w:val="2"/>
                <w:szCs w:val="2"/>
              </w:rPr>
            </w:pPr>
          </w:p>
        </w:tc>
        <w:tc>
          <w:tcPr>
            <w:tcW w:w="973" w:type="dxa"/>
            <w:gridSpan w:val="2"/>
            <w:vMerge/>
            <w:tcBorders>
              <w:top w:val="nil"/>
              <w:left w:val="single" w:sz="4" w:space="0" w:color="000000"/>
              <w:bottom w:val="single" w:sz="12" w:space="0" w:color="000000"/>
              <w:right w:val="single" w:sz="4" w:space="0" w:color="000000"/>
            </w:tcBorders>
          </w:tcPr>
          <w:p>
            <w:pPr>
              <w:rPr>
                <w:sz w:val="2"/>
                <w:szCs w:val="2"/>
              </w:rPr>
            </w:pPr>
          </w:p>
        </w:tc>
        <w:tc>
          <w:tcPr>
            <w:tcW w:w="3166" w:type="dxa"/>
            <w:tcBorders>
              <w:top w:val="single" w:sz="4" w:space="0" w:color="000000"/>
              <w:left w:val="single" w:sz="4" w:space="0" w:color="000000"/>
              <w:bottom w:val="single" w:sz="4" w:space="0" w:color="000000"/>
              <w:right w:val="single" w:sz="4" w:space="0" w:color="000000"/>
            </w:tcBorders>
          </w:tcPr>
          <w:p>
            <w:pPr>
              <w:pStyle w:val="TableParagraph"/>
              <w:spacing w:before="51"/>
              <w:ind w:left="106" w:right="99"/>
              <w:rPr>
                <w:sz w:val="21"/>
              </w:rPr>
            </w:pPr>
            <w:r>
              <w:rPr>
                <w:sz w:val="21"/>
              </w:rPr>
              <w:t>西侧百货公司宿舍</w:t>
            </w:r>
          </w:p>
        </w:tc>
        <w:tc>
          <w:tcPr>
            <w:tcW w:w="910" w:type="dxa"/>
            <w:tcBorders>
              <w:top w:val="single" w:sz="4" w:space="0" w:color="000000"/>
              <w:left w:val="single" w:sz="4" w:space="0" w:color="000000"/>
              <w:bottom w:val="single" w:sz="4" w:space="0" w:color="000000"/>
              <w:right w:val="single" w:sz="4" w:space="0" w:color="000000"/>
            </w:tcBorders>
          </w:tcPr>
          <w:p>
            <w:pPr>
              <w:pStyle w:val="TableParagraph"/>
              <w:spacing w:before="65"/>
              <w:ind w:left="132" w:right="130"/>
              <w:rPr>
                <w:rFonts w:ascii="Times New Roman"/>
                <w:sz w:val="21"/>
              </w:rPr>
            </w:pPr>
            <w:r>
              <w:rPr>
                <w:rFonts w:ascii="Times New Roman"/>
                <w:sz w:val="21"/>
              </w:rPr>
              <w:t>20m</w:t>
            </w:r>
          </w:p>
        </w:tc>
        <w:tc>
          <w:tcPr>
            <w:tcW w:w="1148" w:type="dxa"/>
            <w:vMerge/>
            <w:tcBorders>
              <w:top w:val="nil"/>
              <w:left w:val="single" w:sz="4" w:space="0" w:color="000000"/>
              <w:bottom w:val="single" w:sz="12" w:space="0" w:color="000000"/>
              <w:right w:val="single" w:sz="4" w:space="0" w:color="000000"/>
            </w:tcBorders>
          </w:tcPr>
          <w:p>
            <w:pPr>
              <w:rPr>
                <w:sz w:val="2"/>
                <w:szCs w:val="2"/>
              </w:rPr>
            </w:pPr>
          </w:p>
        </w:tc>
        <w:tc>
          <w:tcPr>
            <w:tcW w:w="704" w:type="dxa"/>
            <w:vMerge/>
            <w:tcBorders>
              <w:top w:val="nil"/>
              <w:left w:val="single" w:sz="4" w:space="0" w:color="000000"/>
              <w:bottom w:val="single" w:sz="12" w:space="0" w:color="000000"/>
              <w:right w:val="single" w:sz="4" w:space="0" w:color="000000"/>
            </w:tcBorders>
          </w:tcPr>
          <w:p>
            <w:pPr>
              <w:rPr>
                <w:sz w:val="2"/>
                <w:szCs w:val="2"/>
              </w:rPr>
            </w:pPr>
          </w:p>
        </w:tc>
        <w:tc>
          <w:tcPr>
            <w:tcW w:w="1302" w:type="dxa"/>
            <w:vMerge/>
            <w:tcBorders>
              <w:top w:val="nil"/>
              <w:left w:val="single" w:sz="4" w:space="0" w:color="000000"/>
              <w:bottom w:val="single" w:sz="12" w:space="0" w:color="000000"/>
              <w:right w:val="single" w:sz="4" w:space="0" w:color="000000"/>
            </w:tcBorders>
          </w:tcPr>
          <w:p>
            <w:pPr>
              <w:rPr>
                <w:sz w:val="2"/>
                <w:szCs w:val="2"/>
              </w:rPr>
            </w:pPr>
          </w:p>
        </w:tc>
      </w:tr>
      <w:tr>
        <w:trPr>
          <w:trHeight w:val="358" w:hRule="atLeast"/>
        </w:trPr>
        <w:tc>
          <w:tcPr>
            <w:tcW w:w="874" w:type="dxa"/>
            <w:vMerge/>
            <w:tcBorders>
              <w:top w:val="nil"/>
              <w:left w:val="single" w:sz="4" w:space="0" w:color="000000"/>
              <w:bottom w:val="single" w:sz="12" w:space="0" w:color="000000"/>
              <w:right w:val="single" w:sz="4" w:space="0" w:color="000000"/>
            </w:tcBorders>
          </w:tcPr>
          <w:p>
            <w:pPr>
              <w:rPr>
                <w:sz w:val="2"/>
                <w:szCs w:val="2"/>
              </w:rPr>
            </w:pPr>
          </w:p>
        </w:tc>
        <w:tc>
          <w:tcPr>
            <w:tcW w:w="973" w:type="dxa"/>
            <w:gridSpan w:val="2"/>
            <w:vMerge/>
            <w:tcBorders>
              <w:top w:val="nil"/>
              <w:left w:val="single" w:sz="4" w:space="0" w:color="000000"/>
              <w:bottom w:val="single" w:sz="12" w:space="0" w:color="000000"/>
              <w:right w:val="single" w:sz="4" w:space="0" w:color="000000"/>
            </w:tcBorders>
          </w:tcPr>
          <w:p>
            <w:pPr>
              <w:rPr>
                <w:sz w:val="2"/>
                <w:szCs w:val="2"/>
              </w:rPr>
            </w:pPr>
          </w:p>
        </w:tc>
        <w:tc>
          <w:tcPr>
            <w:tcW w:w="3166" w:type="dxa"/>
            <w:tcBorders>
              <w:top w:val="single" w:sz="4" w:space="0" w:color="000000"/>
              <w:left w:val="single" w:sz="4" w:space="0" w:color="000000"/>
              <w:bottom w:val="single" w:sz="12" w:space="0" w:color="000000"/>
              <w:right w:val="single" w:sz="4" w:space="0" w:color="000000"/>
            </w:tcBorders>
          </w:tcPr>
          <w:p>
            <w:pPr>
              <w:pStyle w:val="TableParagraph"/>
              <w:spacing w:before="51"/>
              <w:ind w:left="103" w:right="99"/>
              <w:rPr>
                <w:sz w:val="21"/>
              </w:rPr>
            </w:pPr>
            <w:r>
              <w:rPr>
                <w:sz w:val="21"/>
              </w:rPr>
              <w:t>北侧院外道路</w:t>
            </w:r>
          </w:p>
        </w:tc>
        <w:tc>
          <w:tcPr>
            <w:tcW w:w="910" w:type="dxa"/>
            <w:tcBorders>
              <w:top w:val="single" w:sz="4" w:space="0" w:color="000000"/>
              <w:left w:val="single" w:sz="4" w:space="0" w:color="000000"/>
              <w:bottom w:val="single" w:sz="12" w:space="0" w:color="000000"/>
              <w:right w:val="single" w:sz="4" w:space="0" w:color="000000"/>
            </w:tcBorders>
          </w:tcPr>
          <w:p>
            <w:pPr>
              <w:pStyle w:val="TableParagraph"/>
              <w:spacing w:before="65"/>
              <w:ind w:left="132" w:right="130"/>
              <w:rPr>
                <w:rFonts w:ascii="Times New Roman"/>
                <w:sz w:val="21"/>
              </w:rPr>
            </w:pPr>
            <w:r>
              <w:rPr>
                <w:rFonts w:ascii="Times New Roman"/>
                <w:sz w:val="21"/>
              </w:rPr>
              <w:t>50m</w:t>
            </w:r>
          </w:p>
        </w:tc>
        <w:tc>
          <w:tcPr>
            <w:tcW w:w="1148" w:type="dxa"/>
            <w:vMerge/>
            <w:tcBorders>
              <w:top w:val="nil"/>
              <w:left w:val="single" w:sz="4" w:space="0" w:color="000000"/>
              <w:bottom w:val="single" w:sz="12" w:space="0" w:color="000000"/>
              <w:right w:val="single" w:sz="4" w:space="0" w:color="000000"/>
            </w:tcBorders>
          </w:tcPr>
          <w:p>
            <w:pPr>
              <w:rPr>
                <w:sz w:val="2"/>
                <w:szCs w:val="2"/>
              </w:rPr>
            </w:pPr>
          </w:p>
        </w:tc>
        <w:tc>
          <w:tcPr>
            <w:tcW w:w="704" w:type="dxa"/>
            <w:vMerge/>
            <w:tcBorders>
              <w:top w:val="nil"/>
              <w:left w:val="single" w:sz="4" w:space="0" w:color="000000"/>
              <w:bottom w:val="single" w:sz="12" w:space="0" w:color="000000"/>
              <w:right w:val="single" w:sz="4" w:space="0" w:color="000000"/>
            </w:tcBorders>
          </w:tcPr>
          <w:p>
            <w:pPr>
              <w:rPr>
                <w:sz w:val="2"/>
                <w:szCs w:val="2"/>
              </w:rPr>
            </w:pPr>
          </w:p>
        </w:tc>
        <w:tc>
          <w:tcPr>
            <w:tcW w:w="1302" w:type="dxa"/>
            <w:vMerge/>
            <w:tcBorders>
              <w:top w:val="nil"/>
              <w:left w:val="single" w:sz="4" w:space="0" w:color="000000"/>
              <w:bottom w:val="single" w:sz="12" w:space="0" w:color="000000"/>
              <w:right w:val="single" w:sz="4" w:space="0" w:color="000000"/>
            </w:tcBorders>
          </w:tcPr>
          <w:p>
            <w:pPr>
              <w:rPr>
                <w:sz w:val="2"/>
                <w:szCs w:val="2"/>
              </w:rPr>
            </w:pPr>
          </w:p>
        </w:tc>
      </w:tr>
      <w:tr>
        <w:trPr>
          <w:trHeight w:val="227" w:hRule="atLeast"/>
        </w:trPr>
        <w:tc>
          <w:tcPr>
            <w:tcW w:w="9077" w:type="dxa"/>
            <w:gridSpan w:val="8"/>
            <w:tcBorders>
              <w:top w:val="single" w:sz="12" w:space="0" w:color="000000"/>
              <w:left w:val="single" w:sz="4" w:space="0" w:color="000000"/>
              <w:bottom w:val="single" w:sz="4" w:space="0" w:color="000000"/>
              <w:right w:val="single" w:sz="4" w:space="0" w:color="000000"/>
            </w:tcBorders>
          </w:tcPr>
          <w:p>
            <w:pPr>
              <w:pStyle w:val="TableParagraph"/>
              <w:jc w:val="left"/>
              <w:rPr>
                <w:rFonts w:ascii="Times New Roman"/>
                <w:sz w:val="16"/>
              </w:rPr>
            </w:pPr>
          </w:p>
        </w:tc>
      </w:tr>
      <w:tr>
        <w:trPr>
          <w:trHeight w:val="8891" w:hRule="atLeast"/>
        </w:trPr>
        <w:tc>
          <w:tcPr>
            <w:tcW w:w="9077" w:type="dxa"/>
            <w:gridSpan w:val="8"/>
            <w:tcBorders>
              <w:top w:val="single" w:sz="4" w:space="0" w:color="000000"/>
              <w:left w:val="single" w:sz="4" w:space="0" w:color="000000"/>
              <w:bottom w:val="single" w:sz="12" w:space="0" w:color="000000"/>
              <w:right w:val="single" w:sz="4" w:space="0" w:color="000000"/>
            </w:tcBorders>
          </w:tcPr>
          <w:p>
            <w:pPr>
              <w:pStyle w:val="TableParagraph"/>
              <w:spacing w:before="132"/>
              <w:ind w:left="107"/>
              <w:jc w:val="left"/>
              <w:rPr>
                <w:sz w:val="28"/>
              </w:rPr>
            </w:pPr>
            <w:r>
              <w:rPr>
                <w:sz w:val="28"/>
              </w:rPr>
              <w:t>评价标准</w:t>
            </w:r>
            <w:r>
              <w:rPr>
                <w:w w:val="50"/>
                <w:sz w:val="28"/>
              </w:rPr>
              <w:t> </w:t>
            </w:r>
          </w:p>
          <w:p>
            <w:pPr>
              <w:pStyle w:val="TableParagraph"/>
              <w:spacing w:before="214"/>
              <w:ind w:left="590"/>
              <w:jc w:val="left"/>
              <w:rPr>
                <w:sz w:val="24"/>
              </w:rPr>
            </w:pPr>
            <w:r>
              <w:rPr>
                <w:sz w:val="24"/>
              </w:rPr>
              <w:t>一、本项目执行环境保护标准</w:t>
            </w:r>
            <w:r>
              <w:rPr>
                <w:w w:val="50"/>
                <w:sz w:val="24"/>
              </w:rPr>
              <w:t> </w:t>
            </w:r>
          </w:p>
          <w:p>
            <w:pPr>
              <w:pStyle w:val="TableParagraph"/>
              <w:spacing w:before="161"/>
              <w:ind w:left="573"/>
              <w:jc w:val="left"/>
              <w:rPr>
                <w:sz w:val="24"/>
              </w:rPr>
            </w:pPr>
            <w:r>
              <w:rPr>
                <w:sz w:val="24"/>
              </w:rPr>
              <w:t>1、环境质量标准</w:t>
            </w:r>
            <w:r>
              <w:rPr>
                <w:w w:val="50"/>
                <w:sz w:val="24"/>
              </w:rPr>
              <w:t> </w:t>
            </w:r>
          </w:p>
          <w:p>
            <w:pPr>
              <w:pStyle w:val="TableParagraph"/>
              <w:numPr>
                <w:ilvl w:val="0"/>
                <w:numId w:val="8"/>
              </w:numPr>
              <w:tabs>
                <w:tab w:pos="1160" w:val="left" w:leader="none"/>
              </w:tabs>
              <w:spacing w:line="364" w:lineRule="auto" w:before="160" w:after="0"/>
              <w:ind w:left="107" w:right="96" w:firstLine="464"/>
              <w:jc w:val="left"/>
              <w:rPr>
                <w:sz w:val="24"/>
              </w:rPr>
            </w:pPr>
            <w:r>
              <w:rPr>
                <w:spacing w:val="-15"/>
                <w:sz w:val="24"/>
              </w:rPr>
              <w:t>地表水环境质量标准：执行《地表水环境质量标准</w:t>
            </w:r>
            <w:r>
              <w:rPr>
                <w:spacing w:val="-149"/>
                <w:sz w:val="24"/>
              </w:rPr>
              <w:t>》</w:t>
            </w:r>
            <w:r>
              <w:rPr>
                <w:spacing w:val="-7"/>
                <w:sz w:val="24"/>
              </w:rPr>
              <w:t>（</w:t>
            </w:r>
            <w:r>
              <w:rPr>
                <w:rFonts w:ascii="Times New Roman" w:hAnsi="Times New Roman" w:eastAsia="Times New Roman"/>
                <w:spacing w:val="-7"/>
                <w:sz w:val="24"/>
              </w:rPr>
              <w:t>GB3838-2002</w:t>
            </w:r>
            <w:r>
              <w:rPr>
                <w:spacing w:val="-7"/>
                <w:sz w:val="24"/>
              </w:rPr>
              <w:t>）</w:t>
            </w:r>
            <w:r>
              <w:rPr>
                <w:spacing w:val="-9"/>
                <w:sz w:val="24"/>
              </w:rPr>
              <w:t>中Ⅲ类</w:t>
            </w:r>
            <w:r>
              <w:rPr>
                <w:spacing w:val="-7"/>
                <w:sz w:val="24"/>
              </w:rPr>
              <w:t>水域标准。</w:t>
            </w:r>
          </w:p>
          <w:p>
            <w:pPr>
              <w:pStyle w:val="TableParagraph"/>
              <w:numPr>
                <w:ilvl w:val="0"/>
                <w:numId w:val="8"/>
              </w:numPr>
              <w:tabs>
                <w:tab w:pos="1160" w:val="left" w:leader="none"/>
              </w:tabs>
              <w:spacing w:line="240" w:lineRule="auto" w:before="2" w:after="0"/>
              <w:ind w:left="1160" w:right="0" w:hanging="589"/>
              <w:jc w:val="left"/>
              <w:rPr>
                <w:sz w:val="24"/>
              </w:rPr>
            </w:pPr>
            <w:r>
              <w:rPr>
                <w:spacing w:val="-16"/>
                <w:sz w:val="24"/>
              </w:rPr>
              <w:t>空气质量标准：执行《环境空气质量标准》</w:t>
            </w:r>
            <w:r>
              <w:rPr>
                <w:spacing w:val="-6"/>
                <w:sz w:val="24"/>
              </w:rPr>
              <w:t>（</w:t>
            </w:r>
            <w:r>
              <w:rPr>
                <w:rFonts w:ascii="Times New Roman" w:eastAsia="Times New Roman"/>
                <w:spacing w:val="-6"/>
                <w:sz w:val="24"/>
              </w:rPr>
              <w:t>GB3095-2012</w:t>
            </w:r>
            <w:r>
              <w:rPr>
                <w:spacing w:val="-6"/>
                <w:sz w:val="24"/>
              </w:rPr>
              <w:t>）</w:t>
            </w:r>
            <w:r>
              <w:rPr>
                <w:spacing w:val="-8"/>
                <w:sz w:val="24"/>
              </w:rPr>
              <w:t>中二级标准。</w:t>
            </w:r>
          </w:p>
          <w:p>
            <w:pPr>
              <w:pStyle w:val="TableParagraph"/>
              <w:numPr>
                <w:ilvl w:val="0"/>
                <w:numId w:val="8"/>
              </w:numPr>
              <w:tabs>
                <w:tab w:pos="1160" w:val="left" w:leader="none"/>
              </w:tabs>
              <w:spacing w:line="240" w:lineRule="auto" w:before="160" w:after="0"/>
              <w:ind w:left="1160" w:right="0" w:hanging="589"/>
              <w:jc w:val="left"/>
              <w:rPr>
                <w:sz w:val="24"/>
              </w:rPr>
            </w:pPr>
            <w:r>
              <w:rPr>
                <w:spacing w:val="-16"/>
                <w:sz w:val="24"/>
              </w:rPr>
              <w:t>声环境质量标准：执行《声环境质量标准》</w:t>
            </w:r>
            <w:r>
              <w:rPr>
                <w:spacing w:val="-6"/>
                <w:sz w:val="24"/>
              </w:rPr>
              <w:t>（</w:t>
            </w:r>
            <w:r>
              <w:rPr>
                <w:rFonts w:ascii="Times New Roman" w:eastAsia="Times New Roman"/>
                <w:spacing w:val="-6"/>
                <w:sz w:val="24"/>
              </w:rPr>
              <w:t>GB3096-2008</w:t>
            </w:r>
            <w:r>
              <w:rPr>
                <w:spacing w:val="-6"/>
                <w:sz w:val="24"/>
              </w:rPr>
              <w:t>）</w:t>
            </w:r>
            <w:r>
              <w:rPr>
                <w:spacing w:val="-33"/>
                <w:sz w:val="24"/>
              </w:rPr>
              <w:t>中 </w:t>
            </w:r>
            <w:r>
              <w:rPr>
                <w:rFonts w:ascii="Times New Roman" w:eastAsia="Times New Roman"/>
                <w:sz w:val="24"/>
              </w:rPr>
              <w:t>2</w:t>
            </w:r>
            <w:r>
              <w:rPr>
                <w:rFonts w:ascii="Times New Roman" w:eastAsia="Times New Roman"/>
                <w:spacing w:val="1"/>
                <w:sz w:val="24"/>
              </w:rPr>
              <w:t> </w:t>
            </w:r>
            <w:r>
              <w:rPr>
                <w:spacing w:val="-7"/>
                <w:sz w:val="24"/>
              </w:rPr>
              <w:t>类标准。</w:t>
            </w:r>
          </w:p>
          <w:p>
            <w:pPr>
              <w:pStyle w:val="TableParagraph"/>
              <w:spacing w:before="161"/>
              <w:ind w:left="573"/>
              <w:jc w:val="left"/>
              <w:rPr>
                <w:sz w:val="24"/>
              </w:rPr>
            </w:pPr>
            <w:r>
              <w:rPr>
                <w:sz w:val="24"/>
              </w:rPr>
              <w:t>2、污染物排放标准</w:t>
            </w:r>
            <w:r>
              <w:rPr>
                <w:w w:val="50"/>
                <w:sz w:val="24"/>
              </w:rPr>
              <w:t> </w:t>
            </w:r>
          </w:p>
          <w:p>
            <w:pPr>
              <w:pStyle w:val="TableParagraph"/>
              <w:numPr>
                <w:ilvl w:val="0"/>
                <w:numId w:val="9"/>
              </w:numPr>
              <w:tabs>
                <w:tab w:pos="1160" w:val="left" w:leader="none"/>
              </w:tabs>
              <w:spacing w:line="240" w:lineRule="auto" w:before="160" w:after="0"/>
              <w:ind w:left="1160" w:right="0" w:hanging="589"/>
              <w:jc w:val="left"/>
              <w:rPr>
                <w:rFonts w:ascii="Times New Roman" w:eastAsia="Times New Roman"/>
                <w:sz w:val="24"/>
              </w:rPr>
            </w:pPr>
            <w:r>
              <w:rPr>
                <w:spacing w:val="-16"/>
                <w:sz w:val="24"/>
              </w:rPr>
              <w:t>污水污染物排放执行《医疗机构水污染排放标准》</w:t>
            </w:r>
            <w:r>
              <w:rPr>
                <w:spacing w:val="-5"/>
                <w:sz w:val="24"/>
              </w:rPr>
              <w:t>（</w:t>
            </w:r>
            <w:r>
              <w:rPr>
                <w:rFonts w:ascii="Times New Roman" w:eastAsia="Times New Roman"/>
                <w:spacing w:val="-5"/>
                <w:sz w:val="24"/>
              </w:rPr>
              <w:t>GB18466-2005</w:t>
            </w:r>
            <w:r>
              <w:rPr>
                <w:spacing w:val="-5"/>
                <w:sz w:val="24"/>
              </w:rPr>
              <w:t>）</w:t>
            </w:r>
            <w:r>
              <w:rPr>
                <w:spacing w:val="-12"/>
                <w:sz w:val="24"/>
              </w:rPr>
              <w:t>中的表 </w:t>
            </w:r>
            <w:r>
              <w:rPr>
                <w:rFonts w:ascii="Times New Roman" w:eastAsia="Times New Roman"/>
                <w:sz w:val="24"/>
              </w:rPr>
              <w:t>2</w:t>
            </w:r>
          </w:p>
          <w:p>
            <w:pPr>
              <w:pStyle w:val="TableParagraph"/>
              <w:spacing w:before="161"/>
              <w:ind w:left="107"/>
              <w:jc w:val="left"/>
              <w:rPr>
                <w:sz w:val="24"/>
              </w:rPr>
            </w:pPr>
            <w:r>
              <w:rPr>
                <w:sz w:val="24"/>
              </w:rPr>
              <w:t>排放标准。</w:t>
            </w:r>
          </w:p>
          <w:p>
            <w:pPr>
              <w:pStyle w:val="TableParagraph"/>
              <w:numPr>
                <w:ilvl w:val="0"/>
                <w:numId w:val="9"/>
              </w:numPr>
              <w:tabs>
                <w:tab w:pos="1158" w:val="left" w:leader="none"/>
              </w:tabs>
              <w:spacing w:line="240" w:lineRule="auto" w:before="160" w:after="0"/>
              <w:ind w:left="1157" w:right="-29" w:hanging="586"/>
              <w:jc w:val="left"/>
              <w:rPr>
                <w:sz w:val="24"/>
              </w:rPr>
            </w:pPr>
            <w:r>
              <w:rPr>
                <w:spacing w:val="-14"/>
                <w:sz w:val="24"/>
              </w:rPr>
              <w:t>大气污染物排放执行《大气污染物综合排放标准</w:t>
            </w:r>
            <w:r>
              <w:rPr>
                <w:spacing w:val="-154"/>
                <w:sz w:val="24"/>
              </w:rPr>
              <w:t>》</w:t>
            </w:r>
            <w:r>
              <w:rPr>
                <w:spacing w:val="-8"/>
                <w:sz w:val="24"/>
              </w:rPr>
              <w:t>（</w:t>
            </w:r>
            <w:r>
              <w:rPr>
                <w:rFonts w:ascii="Times New Roman" w:eastAsia="Times New Roman"/>
                <w:spacing w:val="-8"/>
                <w:sz w:val="24"/>
              </w:rPr>
              <w:t>GB16297-1996</w:t>
            </w:r>
            <w:r>
              <w:rPr>
                <w:spacing w:val="-8"/>
                <w:sz w:val="24"/>
              </w:rPr>
              <w:t>）</w:t>
            </w:r>
            <w:r>
              <w:rPr>
                <w:spacing w:val="-9"/>
                <w:sz w:val="24"/>
              </w:rPr>
              <w:t>二级标准 </w:t>
            </w:r>
            <w:r>
              <w:rPr>
                <w:sz w:val="24"/>
              </w:rPr>
              <w:t>。</w:t>
            </w:r>
          </w:p>
          <w:p>
            <w:pPr>
              <w:pStyle w:val="TableParagraph"/>
              <w:numPr>
                <w:ilvl w:val="0"/>
                <w:numId w:val="9"/>
              </w:numPr>
              <w:tabs>
                <w:tab w:pos="1158" w:val="left" w:leader="none"/>
              </w:tabs>
              <w:spacing w:line="364" w:lineRule="auto" w:before="161" w:after="0"/>
              <w:ind w:left="107" w:right="93" w:firstLine="464"/>
              <w:jc w:val="both"/>
              <w:rPr>
                <w:sz w:val="24"/>
              </w:rPr>
            </w:pPr>
            <w:r>
              <w:rPr>
                <w:spacing w:val="-15"/>
                <w:sz w:val="24"/>
              </w:rPr>
              <w:t>施工期噪声排放执行《建筑施工场界环境噪声排放标准》</w:t>
            </w:r>
            <w:r>
              <w:rPr>
                <w:spacing w:val="-6"/>
                <w:sz w:val="24"/>
              </w:rPr>
              <w:t>（</w:t>
            </w:r>
            <w:r>
              <w:rPr>
                <w:rFonts w:ascii="Times New Roman" w:eastAsia="Times New Roman"/>
                <w:spacing w:val="-6"/>
                <w:sz w:val="24"/>
              </w:rPr>
              <w:t>GB12523-2011</w:t>
            </w:r>
            <w:r>
              <w:rPr>
                <w:spacing w:val="-6"/>
                <w:sz w:val="24"/>
              </w:rPr>
              <w:t>）</w:t>
            </w:r>
            <w:r>
              <w:rPr>
                <w:sz w:val="24"/>
              </w:rPr>
              <w:t>中</w:t>
            </w:r>
            <w:r>
              <w:rPr>
                <w:spacing w:val="-17"/>
                <w:sz w:val="24"/>
              </w:rPr>
              <w:t>不同施工阶段噪声限值，营运期噪排放执行《声环境质量标准》</w:t>
            </w:r>
            <w:r>
              <w:rPr>
                <w:spacing w:val="-6"/>
                <w:sz w:val="24"/>
              </w:rPr>
              <w:t>（</w:t>
            </w:r>
            <w:r>
              <w:rPr>
                <w:rFonts w:ascii="Times New Roman" w:eastAsia="Times New Roman"/>
                <w:spacing w:val="-6"/>
                <w:sz w:val="24"/>
              </w:rPr>
              <w:t>GB3096-2008</w:t>
            </w:r>
            <w:r>
              <w:rPr>
                <w:spacing w:val="-6"/>
                <w:sz w:val="24"/>
              </w:rPr>
              <w:t>）</w:t>
            </w:r>
            <w:r>
              <w:rPr>
                <w:spacing w:val="-34"/>
                <w:sz w:val="24"/>
              </w:rPr>
              <w:t>中 </w:t>
            </w:r>
            <w:r>
              <w:rPr>
                <w:rFonts w:ascii="Times New Roman" w:eastAsia="Times New Roman"/>
                <w:sz w:val="24"/>
              </w:rPr>
              <w:t>2</w:t>
            </w:r>
            <w:r>
              <w:rPr>
                <w:rFonts w:ascii="Times New Roman" w:eastAsia="Times New Roman"/>
                <w:spacing w:val="-4"/>
                <w:sz w:val="24"/>
              </w:rPr>
              <w:t> </w:t>
            </w:r>
            <w:r>
              <w:rPr>
                <w:sz w:val="24"/>
              </w:rPr>
              <w:t>类</w:t>
            </w:r>
            <w:r>
              <w:rPr>
                <w:spacing w:val="-7"/>
                <w:sz w:val="24"/>
              </w:rPr>
              <w:t>标准。</w:t>
            </w:r>
          </w:p>
          <w:p>
            <w:pPr>
              <w:pStyle w:val="TableParagraph"/>
              <w:numPr>
                <w:ilvl w:val="0"/>
                <w:numId w:val="9"/>
              </w:numPr>
              <w:tabs>
                <w:tab w:pos="1160" w:val="left" w:leader="none"/>
              </w:tabs>
              <w:spacing w:line="240" w:lineRule="auto" w:before="1" w:after="0"/>
              <w:ind w:left="1160" w:right="0" w:hanging="589"/>
              <w:jc w:val="left"/>
              <w:rPr>
                <w:sz w:val="24"/>
              </w:rPr>
            </w:pPr>
            <w:r>
              <w:rPr>
                <w:spacing w:val="-15"/>
                <w:sz w:val="24"/>
              </w:rPr>
              <w:t>电离辐射：执行《电离辐射防护与辐射安全基本标准》</w:t>
            </w:r>
            <w:r>
              <w:rPr>
                <w:spacing w:val="-8"/>
                <w:sz w:val="24"/>
              </w:rPr>
              <w:t>（</w:t>
            </w:r>
            <w:r>
              <w:rPr>
                <w:rFonts w:ascii="Times New Roman" w:eastAsia="Times New Roman"/>
                <w:spacing w:val="-6"/>
                <w:w w:val="99"/>
                <w:sz w:val="24"/>
              </w:rPr>
              <w:t>G</w:t>
            </w:r>
            <w:r>
              <w:rPr>
                <w:rFonts w:ascii="Times New Roman" w:eastAsia="Times New Roman"/>
                <w:spacing w:val="-4"/>
                <w:w w:val="99"/>
                <w:sz w:val="24"/>
              </w:rPr>
              <w:t>B</w:t>
            </w:r>
            <w:r>
              <w:rPr>
                <w:rFonts w:ascii="Times New Roman" w:eastAsia="Times New Roman"/>
                <w:spacing w:val="-3"/>
                <w:sz w:val="24"/>
              </w:rPr>
              <w:t>1</w:t>
            </w:r>
            <w:r>
              <w:rPr>
                <w:rFonts w:ascii="Times New Roman" w:eastAsia="Times New Roman"/>
                <w:spacing w:val="-5"/>
                <w:sz w:val="24"/>
              </w:rPr>
              <w:t>88</w:t>
            </w:r>
            <w:r>
              <w:rPr>
                <w:rFonts w:ascii="Times New Roman" w:eastAsia="Times New Roman"/>
                <w:spacing w:val="-3"/>
                <w:sz w:val="24"/>
              </w:rPr>
              <w:t>71</w:t>
            </w:r>
            <w:r>
              <w:rPr>
                <w:rFonts w:ascii="Times New Roman" w:eastAsia="Times New Roman"/>
                <w:spacing w:val="-6"/>
                <w:sz w:val="24"/>
              </w:rPr>
              <w:t>-</w:t>
            </w:r>
            <w:r>
              <w:rPr>
                <w:rFonts w:ascii="Times New Roman" w:eastAsia="Times New Roman"/>
                <w:spacing w:val="-5"/>
                <w:sz w:val="24"/>
              </w:rPr>
              <w:t>2</w:t>
            </w:r>
            <w:r>
              <w:rPr>
                <w:rFonts w:ascii="Times New Roman" w:eastAsia="Times New Roman"/>
                <w:spacing w:val="-3"/>
                <w:sz w:val="24"/>
              </w:rPr>
              <w:t>0</w:t>
            </w:r>
            <w:r>
              <w:rPr>
                <w:rFonts w:ascii="Times New Roman" w:eastAsia="Times New Roman"/>
                <w:spacing w:val="-5"/>
                <w:sz w:val="24"/>
              </w:rPr>
              <w:t>02</w:t>
            </w:r>
            <w:r>
              <w:rPr>
                <w:spacing w:val="-123"/>
                <w:sz w:val="24"/>
              </w:rPr>
              <w:t>）</w:t>
            </w:r>
            <w:r>
              <w:rPr>
                <w:sz w:val="24"/>
              </w:rPr>
              <w:t>。</w:t>
            </w:r>
          </w:p>
          <w:p>
            <w:pPr>
              <w:pStyle w:val="TableParagraph"/>
              <w:spacing w:line="364" w:lineRule="auto" w:before="161"/>
              <w:ind w:left="590" w:right="4658" w:hanging="20"/>
              <w:jc w:val="left"/>
              <w:rPr>
                <w:sz w:val="28"/>
              </w:rPr>
            </w:pPr>
            <w:r>
              <w:rPr>
                <w:rFonts w:ascii="Times New Roman" w:eastAsia="Times New Roman"/>
                <w:spacing w:val="-5"/>
                <w:sz w:val="24"/>
              </w:rPr>
              <w:t>3</w:t>
            </w:r>
            <w:r>
              <w:rPr>
                <w:spacing w:val="-10"/>
                <w:sz w:val="24"/>
              </w:rPr>
              <w:t>、其他标准按照国家有关规定执行。二、相关标准内容</w:t>
            </w:r>
            <w:r>
              <w:rPr>
                <w:spacing w:val="-10"/>
                <w:w w:val="50"/>
                <w:sz w:val="28"/>
              </w:rPr>
              <w:t> </w:t>
            </w:r>
          </w:p>
          <w:p>
            <w:pPr>
              <w:pStyle w:val="TableParagraph"/>
              <w:spacing w:before="1"/>
              <w:ind w:left="590"/>
              <w:jc w:val="left"/>
              <w:rPr>
                <w:sz w:val="24"/>
              </w:rPr>
            </w:pPr>
            <w:r>
              <w:rPr>
                <w:sz w:val="24"/>
              </w:rPr>
              <w:t>1</w:t>
            </w:r>
            <w:r>
              <w:rPr>
                <w:spacing w:val="-16"/>
                <w:sz w:val="24"/>
              </w:rPr>
              <w:t>、《电离辐射防护与辐射源安全基本标准》</w:t>
            </w:r>
            <w:r>
              <w:rPr>
                <w:spacing w:val="-1"/>
                <w:sz w:val="24"/>
              </w:rPr>
              <w:t>（</w:t>
            </w:r>
            <w:r>
              <w:rPr>
                <w:w w:val="155"/>
                <w:sz w:val="24"/>
              </w:rPr>
              <w:t>G</w:t>
            </w:r>
            <w:r>
              <w:rPr>
                <w:w w:val="133"/>
                <w:sz w:val="24"/>
              </w:rPr>
              <w:t>B</w:t>
            </w:r>
            <w:r>
              <w:rPr>
                <w:spacing w:val="2"/>
                <w:sz w:val="24"/>
              </w:rPr>
              <w:t>1</w:t>
            </w:r>
            <w:r>
              <w:rPr>
                <w:sz w:val="24"/>
              </w:rPr>
              <w:t>8871</w:t>
            </w:r>
            <w:r>
              <w:rPr>
                <w:w w:val="66"/>
                <w:sz w:val="24"/>
              </w:rPr>
              <w:t>-</w:t>
            </w:r>
            <w:r>
              <w:rPr>
                <w:spacing w:val="-3"/>
                <w:sz w:val="24"/>
              </w:rPr>
              <w:t>2</w:t>
            </w:r>
            <w:r>
              <w:rPr>
                <w:sz w:val="24"/>
              </w:rPr>
              <w:t>002</w:t>
            </w:r>
            <w:r>
              <w:rPr>
                <w:spacing w:val="-120"/>
                <w:sz w:val="24"/>
              </w:rPr>
              <w:t>）</w:t>
            </w:r>
            <w:r>
              <w:rPr>
                <w:spacing w:val="-1"/>
                <w:sz w:val="24"/>
              </w:rPr>
              <w:t>：</w:t>
            </w:r>
            <w:r>
              <w:rPr>
                <w:w w:val="50"/>
                <w:sz w:val="24"/>
              </w:rPr>
              <w:t> </w:t>
            </w:r>
          </w:p>
          <w:p>
            <w:pPr>
              <w:pStyle w:val="TableParagraph"/>
              <w:spacing w:line="269" w:lineRule="exact" w:before="102"/>
              <w:ind w:left="2732" w:right="2725"/>
              <w:rPr>
                <w:sz w:val="21"/>
              </w:rPr>
            </w:pPr>
            <w:r>
              <w:rPr>
                <w:sz w:val="21"/>
              </w:rPr>
              <w:t>工作人员职业照射和公众照射剂量限值</w:t>
            </w:r>
          </w:p>
        </w:tc>
      </w:tr>
      <w:tr>
        <w:trPr>
          <w:trHeight w:val="310" w:hRule="atLeast"/>
        </w:trPr>
        <w:tc>
          <w:tcPr>
            <w:tcW w:w="1285" w:type="dxa"/>
            <w:gridSpan w:val="2"/>
            <w:tcBorders>
              <w:top w:val="single" w:sz="12" w:space="0" w:color="000000"/>
              <w:left w:val="single" w:sz="4" w:space="0" w:color="000000"/>
              <w:bottom w:val="single" w:sz="12" w:space="0" w:color="000000"/>
              <w:right w:val="single" w:sz="6" w:space="0" w:color="000000"/>
            </w:tcBorders>
          </w:tcPr>
          <w:p>
            <w:pPr>
              <w:pStyle w:val="TableParagraph"/>
              <w:spacing w:line="269" w:lineRule="exact" w:before="22"/>
              <w:ind w:left="455"/>
              <w:jc w:val="left"/>
              <w:rPr>
                <w:sz w:val="21"/>
              </w:rPr>
            </w:pPr>
            <w:r>
              <w:rPr>
                <w:sz w:val="21"/>
              </w:rPr>
              <w:t>对象</w:t>
            </w:r>
          </w:p>
        </w:tc>
        <w:tc>
          <w:tcPr>
            <w:tcW w:w="7792" w:type="dxa"/>
            <w:gridSpan w:val="6"/>
            <w:tcBorders>
              <w:top w:val="single" w:sz="12" w:space="0" w:color="000000"/>
              <w:left w:val="single" w:sz="6" w:space="0" w:color="000000"/>
              <w:bottom w:val="single" w:sz="12" w:space="0" w:color="000000"/>
              <w:right w:val="single" w:sz="4" w:space="0" w:color="000000"/>
            </w:tcBorders>
          </w:tcPr>
          <w:p>
            <w:pPr>
              <w:pStyle w:val="TableParagraph"/>
              <w:spacing w:line="269" w:lineRule="exact" w:before="22"/>
              <w:ind w:left="3636" w:right="3683"/>
              <w:rPr>
                <w:sz w:val="21"/>
              </w:rPr>
            </w:pPr>
            <w:r>
              <w:rPr>
                <w:sz w:val="21"/>
              </w:rPr>
              <w:t>要求</w:t>
            </w:r>
          </w:p>
        </w:tc>
      </w:tr>
      <w:tr>
        <w:trPr>
          <w:trHeight w:val="937" w:hRule="atLeast"/>
        </w:trPr>
        <w:tc>
          <w:tcPr>
            <w:tcW w:w="1285" w:type="dxa"/>
            <w:gridSpan w:val="2"/>
            <w:tcBorders>
              <w:top w:val="single" w:sz="12" w:space="0" w:color="000000"/>
              <w:left w:val="single" w:sz="4" w:space="0" w:color="000000"/>
              <w:bottom w:val="single" w:sz="6" w:space="0" w:color="000000"/>
              <w:right w:val="single" w:sz="6" w:space="0" w:color="000000"/>
            </w:tcBorders>
          </w:tcPr>
          <w:p>
            <w:pPr>
              <w:pStyle w:val="TableParagraph"/>
              <w:spacing w:line="278" w:lineRule="auto" w:before="180"/>
              <w:ind w:left="244" w:right="183"/>
              <w:jc w:val="left"/>
              <w:rPr>
                <w:sz w:val="21"/>
              </w:rPr>
            </w:pPr>
            <w:r>
              <w:rPr>
                <w:sz w:val="21"/>
              </w:rPr>
              <w:t>职业照射剂量限值</w:t>
            </w:r>
          </w:p>
        </w:tc>
        <w:tc>
          <w:tcPr>
            <w:tcW w:w="7792" w:type="dxa"/>
            <w:gridSpan w:val="6"/>
            <w:tcBorders>
              <w:top w:val="single" w:sz="12" w:space="0" w:color="000000"/>
              <w:left w:val="single" w:sz="6" w:space="0" w:color="000000"/>
              <w:bottom w:val="single" w:sz="6" w:space="0" w:color="000000"/>
              <w:right w:val="single" w:sz="4" w:space="0" w:color="000000"/>
            </w:tcBorders>
          </w:tcPr>
          <w:p>
            <w:pPr>
              <w:pStyle w:val="TableParagraph"/>
              <w:spacing w:before="24"/>
              <w:ind w:left="101"/>
              <w:jc w:val="left"/>
              <w:rPr>
                <w:sz w:val="21"/>
              </w:rPr>
            </w:pPr>
            <w:r>
              <w:rPr>
                <w:sz w:val="21"/>
              </w:rPr>
              <w:t>工作人员所接受的职业照射水平不应超过下述限值：</w:t>
            </w:r>
          </w:p>
          <w:p>
            <w:pPr>
              <w:pStyle w:val="TableParagraph"/>
              <w:spacing w:line="310" w:lineRule="atLeast" w:before="2"/>
              <w:ind w:left="313" w:right="2394"/>
              <w:jc w:val="left"/>
              <w:rPr>
                <w:rFonts w:ascii="Times New Roman" w:eastAsia="Times New Roman"/>
                <w:sz w:val="21"/>
              </w:rPr>
            </w:pPr>
            <w:r>
              <w:rPr>
                <w:sz w:val="21"/>
              </w:rPr>
              <w:t>由审管部门决定的连续 </w:t>
            </w:r>
            <w:r>
              <w:rPr>
                <w:rFonts w:ascii="Times New Roman" w:eastAsia="Times New Roman"/>
                <w:sz w:val="21"/>
              </w:rPr>
              <w:t>5 </w:t>
            </w:r>
            <w:r>
              <w:rPr>
                <w:sz w:val="21"/>
              </w:rPr>
              <w:t>年的年平均有效剂量，</w:t>
            </w:r>
            <w:r>
              <w:rPr>
                <w:rFonts w:ascii="Times New Roman" w:eastAsia="Times New Roman"/>
                <w:sz w:val="21"/>
              </w:rPr>
              <w:t>20mSv </w:t>
            </w:r>
            <w:r>
              <w:rPr>
                <w:sz w:val="21"/>
              </w:rPr>
              <w:t>任何一年中的有效剂量，</w:t>
            </w:r>
            <w:r>
              <w:rPr>
                <w:rFonts w:ascii="Times New Roman" w:eastAsia="Times New Roman"/>
                <w:sz w:val="21"/>
              </w:rPr>
              <w:t>50mSv</w:t>
            </w:r>
          </w:p>
        </w:tc>
      </w:tr>
      <w:tr>
        <w:trPr>
          <w:trHeight w:val="1247" w:hRule="atLeast"/>
        </w:trPr>
        <w:tc>
          <w:tcPr>
            <w:tcW w:w="1285" w:type="dxa"/>
            <w:gridSpan w:val="2"/>
            <w:tcBorders>
              <w:top w:val="single" w:sz="6" w:space="0" w:color="000000"/>
              <w:left w:val="single" w:sz="4" w:space="0" w:color="000000"/>
              <w:bottom w:val="single" w:sz="6" w:space="0" w:color="000000"/>
              <w:right w:val="single" w:sz="6" w:space="0" w:color="000000"/>
            </w:tcBorders>
          </w:tcPr>
          <w:p>
            <w:pPr>
              <w:pStyle w:val="TableParagraph"/>
              <w:spacing w:before="1"/>
              <w:jc w:val="left"/>
              <w:rPr>
                <w:sz w:val="26"/>
              </w:rPr>
            </w:pPr>
          </w:p>
          <w:p>
            <w:pPr>
              <w:pStyle w:val="TableParagraph"/>
              <w:spacing w:line="278" w:lineRule="auto"/>
              <w:ind w:left="244" w:right="183"/>
              <w:jc w:val="left"/>
              <w:rPr>
                <w:sz w:val="21"/>
              </w:rPr>
            </w:pPr>
            <w:r>
              <w:rPr>
                <w:sz w:val="21"/>
              </w:rPr>
              <w:t>公众照射剂量限值</w:t>
            </w:r>
          </w:p>
        </w:tc>
        <w:tc>
          <w:tcPr>
            <w:tcW w:w="7792" w:type="dxa"/>
            <w:gridSpan w:val="6"/>
            <w:tcBorders>
              <w:top w:val="single" w:sz="6" w:space="0" w:color="000000"/>
              <w:left w:val="single" w:sz="6" w:space="0" w:color="000000"/>
              <w:bottom w:val="single" w:sz="6" w:space="0" w:color="000000"/>
              <w:right w:val="single" w:sz="4" w:space="0" w:color="000000"/>
            </w:tcBorders>
          </w:tcPr>
          <w:p>
            <w:pPr>
              <w:pStyle w:val="TableParagraph"/>
              <w:spacing w:line="278" w:lineRule="auto" w:before="22"/>
              <w:ind w:left="313" w:right="530" w:hanging="212"/>
              <w:jc w:val="left"/>
              <w:rPr>
                <w:sz w:val="21"/>
              </w:rPr>
            </w:pPr>
            <w:r>
              <w:rPr>
                <w:sz w:val="21"/>
              </w:rPr>
              <w:t>实践使公众有关关键人群组的成员所受的平均剂量估计值不应超过下述限值： 年有效剂量，</w:t>
            </w:r>
            <w:r>
              <w:rPr>
                <w:rFonts w:ascii="Times New Roman" w:eastAsia="Times New Roman"/>
                <w:sz w:val="21"/>
              </w:rPr>
              <w:t>lmSv</w:t>
            </w:r>
            <w:r>
              <w:rPr>
                <w:sz w:val="21"/>
              </w:rPr>
              <w:t>；</w:t>
            </w:r>
          </w:p>
          <w:p>
            <w:pPr>
              <w:pStyle w:val="TableParagraph"/>
              <w:spacing w:line="269" w:lineRule="exact"/>
              <w:ind w:left="313"/>
              <w:jc w:val="left"/>
              <w:rPr>
                <w:sz w:val="21"/>
              </w:rPr>
            </w:pPr>
            <w:r>
              <w:rPr>
                <w:sz w:val="21"/>
              </w:rPr>
              <w:t>特殊情况下，如果 </w:t>
            </w:r>
            <w:r>
              <w:rPr>
                <w:rFonts w:ascii="Times New Roman" w:eastAsia="Times New Roman"/>
                <w:sz w:val="21"/>
              </w:rPr>
              <w:t>5 </w:t>
            </w:r>
            <w:r>
              <w:rPr>
                <w:sz w:val="21"/>
              </w:rPr>
              <w:t>个连续年的年平均剂量不超过 </w:t>
            </w:r>
            <w:r>
              <w:rPr>
                <w:rFonts w:ascii="Times New Roman" w:eastAsia="Times New Roman"/>
                <w:sz w:val="21"/>
              </w:rPr>
              <w:t>lmSv</w:t>
            </w:r>
            <w:r>
              <w:rPr>
                <w:sz w:val="21"/>
              </w:rPr>
              <w:t>，则某一单一年份的有</w:t>
            </w:r>
          </w:p>
          <w:p>
            <w:pPr>
              <w:pStyle w:val="TableParagraph"/>
              <w:spacing w:before="43"/>
              <w:ind w:left="101"/>
              <w:jc w:val="left"/>
              <w:rPr>
                <w:sz w:val="21"/>
              </w:rPr>
            </w:pPr>
            <w:r>
              <w:rPr>
                <w:sz w:val="21"/>
              </w:rPr>
              <w:t>效剂量可提高到 </w:t>
            </w:r>
            <w:r>
              <w:rPr>
                <w:rFonts w:ascii="Times New Roman" w:eastAsia="Times New Roman"/>
                <w:sz w:val="21"/>
              </w:rPr>
              <w:t>5mSv</w:t>
            </w:r>
            <w:r>
              <w:rPr>
                <w:sz w:val="21"/>
              </w:rPr>
              <w:t>。</w:t>
            </w:r>
          </w:p>
        </w:tc>
      </w:tr>
      <w:tr>
        <w:trPr>
          <w:trHeight w:val="1278" w:hRule="atLeast"/>
        </w:trPr>
        <w:tc>
          <w:tcPr>
            <w:tcW w:w="9077" w:type="dxa"/>
            <w:gridSpan w:val="8"/>
            <w:tcBorders>
              <w:top w:val="single" w:sz="6" w:space="0" w:color="000000"/>
              <w:left w:val="single" w:sz="4" w:space="0" w:color="000000"/>
              <w:bottom w:val="single" w:sz="4" w:space="0" w:color="000000"/>
              <w:right w:val="single" w:sz="4" w:space="0" w:color="000000"/>
            </w:tcBorders>
          </w:tcPr>
          <w:p>
            <w:pPr>
              <w:pStyle w:val="TableParagraph"/>
              <w:tabs>
                <w:tab w:pos="453" w:val="left" w:leader="none"/>
                <w:tab w:pos="9026" w:val="left" w:leader="none"/>
              </w:tabs>
              <w:spacing w:before="22"/>
              <w:ind w:left="33"/>
              <w:jc w:val="left"/>
              <w:rPr>
                <w:sz w:val="21"/>
              </w:rPr>
            </w:pPr>
            <w:r>
              <w:rPr>
                <w:rFonts w:ascii="Times New Roman" w:eastAsia="Times New Roman"/>
                <w:w w:val="100"/>
                <w:sz w:val="21"/>
                <w:u w:val="thick"/>
              </w:rPr>
              <w:t> </w:t>
            </w:r>
            <w:r>
              <w:rPr>
                <w:rFonts w:ascii="Times New Roman" w:eastAsia="Times New Roman"/>
                <w:sz w:val="21"/>
                <w:u w:val="thick"/>
              </w:rPr>
              <w:tab/>
            </w:r>
            <w:r>
              <w:rPr>
                <w:sz w:val="21"/>
                <w:u w:val="thick"/>
              </w:rPr>
              <w:t>剂量</w:t>
            </w:r>
            <w:r>
              <w:rPr>
                <w:spacing w:val="-3"/>
                <w:sz w:val="21"/>
                <w:u w:val="thick"/>
              </w:rPr>
              <w:t>约</w:t>
            </w:r>
            <w:r>
              <w:rPr>
                <w:sz w:val="21"/>
                <w:u w:val="thick"/>
              </w:rPr>
              <w:t>束</w:t>
            </w:r>
            <w:r>
              <w:rPr>
                <w:spacing w:val="-3"/>
                <w:sz w:val="21"/>
                <w:u w:val="thick"/>
              </w:rPr>
              <w:t>值</w:t>
            </w:r>
            <w:r>
              <w:rPr>
                <w:sz w:val="21"/>
                <w:u w:val="thick"/>
              </w:rPr>
              <w:t>通</w:t>
            </w:r>
            <w:r>
              <w:rPr>
                <w:spacing w:val="-3"/>
                <w:sz w:val="21"/>
                <w:u w:val="thick"/>
              </w:rPr>
              <w:t>常</w:t>
            </w:r>
            <w:r>
              <w:rPr>
                <w:sz w:val="21"/>
                <w:u w:val="thick"/>
              </w:rPr>
              <w:t>应</w:t>
            </w:r>
            <w:r>
              <w:rPr>
                <w:spacing w:val="-5"/>
                <w:sz w:val="21"/>
                <w:u w:val="thick"/>
              </w:rPr>
              <w:t>在</w:t>
            </w:r>
            <w:r>
              <w:rPr>
                <w:sz w:val="21"/>
                <w:u w:val="thick"/>
              </w:rPr>
              <w:t>公</w:t>
            </w:r>
            <w:r>
              <w:rPr>
                <w:spacing w:val="-3"/>
                <w:sz w:val="21"/>
                <w:u w:val="thick"/>
              </w:rPr>
              <w:t>众</w:t>
            </w:r>
            <w:r>
              <w:rPr>
                <w:sz w:val="21"/>
                <w:u w:val="thick"/>
              </w:rPr>
              <w:t>照射</w:t>
            </w:r>
            <w:r>
              <w:rPr>
                <w:spacing w:val="-3"/>
                <w:sz w:val="21"/>
                <w:u w:val="thick"/>
              </w:rPr>
              <w:t>剂</w:t>
            </w:r>
            <w:r>
              <w:rPr>
                <w:sz w:val="21"/>
                <w:u w:val="thick"/>
              </w:rPr>
              <w:t>量</w:t>
            </w:r>
            <w:r>
              <w:rPr>
                <w:spacing w:val="-3"/>
                <w:sz w:val="21"/>
                <w:u w:val="thick"/>
              </w:rPr>
              <w:t>限</w:t>
            </w:r>
            <w:r>
              <w:rPr>
                <w:sz w:val="21"/>
                <w:u w:val="thick"/>
              </w:rPr>
              <w:t>值</w:t>
            </w:r>
            <w:r>
              <w:rPr>
                <w:spacing w:val="-42"/>
                <w:sz w:val="21"/>
                <w:u w:val="thick"/>
              </w:rPr>
              <w:t> </w:t>
            </w:r>
            <w:r>
              <w:rPr>
                <w:rFonts w:ascii="Times New Roman" w:eastAsia="Times New Roman"/>
                <w:sz w:val="21"/>
                <w:u w:val="thick"/>
              </w:rPr>
              <w:t>10%~30%</w:t>
            </w:r>
            <w:r>
              <w:rPr>
                <w:sz w:val="21"/>
                <w:u w:val="thick"/>
              </w:rPr>
              <w:t>（即</w:t>
            </w:r>
            <w:r>
              <w:rPr>
                <w:spacing w:val="-42"/>
                <w:sz w:val="21"/>
                <w:u w:val="thick"/>
              </w:rPr>
              <w:t> </w:t>
            </w:r>
            <w:r>
              <w:rPr>
                <w:rFonts w:ascii="Times New Roman" w:eastAsia="Times New Roman"/>
                <w:sz w:val="21"/>
                <w:u w:val="thick"/>
              </w:rPr>
              <w:t>0.1mSv/a~0.3mSv/a</w:t>
            </w:r>
            <w:r>
              <w:rPr>
                <w:sz w:val="21"/>
                <w:u w:val="thick"/>
              </w:rPr>
              <w:t>）</w:t>
            </w:r>
            <w:r>
              <w:rPr>
                <w:spacing w:val="-3"/>
                <w:sz w:val="21"/>
                <w:u w:val="thick"/>
              </w:rPr>
              <w:t>的</w:t>
            </w:r>
            <w:r>
              <w:rPr>
                <w:sz w:val="21"/>
                <w:u w:val="thick"/>
              </w:rPr>
              <w:t>范围</w:t>
            </w:r>
            <w:r>
              <w:rPr>
                <w:spacing w:val="-3"/>
                <w:sz w:val="21"/>
                <w:u w:val="thick"/>
              </w:rPr>
              <w:t>之</w:t>
            </w:r>
            <w:r>
              <w:rPr>
                <w:sz w:val="21"/>
                <w:u w:val="thick"/>
              </w:rPr>
              <w:t>内。</w:t>
              <w:tab/>
            </w:r>
          </w:p>
          <w:p>
            <w:pPr>
              <w:pStyle w:val="TableParagraph"/>
              <w:spacing w:before="131"/>
              <w:ind w:left="590"/>
              <w:jc w:val="left"/>
              <w:rPr>
                <w:sz w:val="24"/>
              </w:rPr>
            </w:pPr>
            <w:r>
              <w:rPr>
                <w:w w:val="50"/>
                <w:sz w:val="24"/>
              </w:rPr>
              <w:t> </w:t>
            </w:r>
          </w:p>
          <w:p>
            <w:pPr>
              <w:pStyle w:val="TableParagraph"/>
              <w:spacing w:before="160"/>
              <w:ind w:left="590"/>
              <w:jc w:val="left"/>
              <w:rPr>
                <w:sz w:val="24"/>
              </w:rPr>
            </w:pPr>
            <w:r>
              <w:rPr>
                <w:w w:val="50"/>
                <w:sz w:val="24"/>
              </w:rPr>
              <w:t> </w:t>
            </w:r>
          </w:p>
        </w:tc>
      </w:tr>
    </w:tbl>
    <w:p>
      <w:pPr>
        <w:spacing w:after="0"/>
        <w:jc w:val="left"/>
        <w:rPr>
          <w:sz w:val="24"/>
        </w:rPr>
        <w:sectPr>
          <w:pgSz w:w="11910" w:h="16840"/>
          <w:pgMar w:header="0" w:footer="881" w:top="1220" w:bottom="1080" w:left="1480" w:right="1020"/>
        </w:sectPr>
      </w:pPr>
    </w:p>
    <w:p>
      <w:pPr>
        <w:pStyle w:val="BodyText"/>
        <w:spacing w:before="100"/>
        <w:ind w:left="754"/>
      </w:pPr>
      <w:r>
        <w:rPr/>
        <w:pict>
          <v:group style="position:absolute;margin-left:81.959999pt;margin-top:62.399937pt;width:454.1pt;height:714.75pt;mso-position-horizontal-relative:page;mso-position-vertical-relative:page;z-index:-212104" coordorigin="1639,1248" coordsize="9082,14295">
            <v:line style="position:absolute" from="1639,1253" to="10711,1253" stroked="true" strokeweight=".479999pt" strokecolor="#000000">
              <v:stroke dashstyle="solid"/>
            </v:line>
            <v:line style="position:absolute" from="1644,1258" to="1644,15542" stroked="true" strokeweight=".479999pt" strokecolor="#000000">
              <v:stroke dashstyle="solid"/>
            </v:line>
            <v:line style="position:absolute" from="1639,15538" to="10711,15538" stroked="true" strokeweight=".480011pt" strokecolor="#000000">
              <v:stroke dashstyle="solid"/>
            </v:line>
            <v:line style="position:absolute" from="10716,1248" to="10716,15542" stroked="true" strokeweight=".479966pt" strokecolor="#000000">
              <v:stroke dashstyle="solid"/>
            </v:line>
            <w10:wrap type="none"/>
          </v:group>
        </w:pict>
      </w:r>
      <w:r>
        <w:rPr/>
        <w:t>辐射工作场所的分区</w:t>
      </w:r>
      <w:r>
        <w:rPr>
          <w:w w:val="50"/>
        </w:rPr>
        <w:t> </w:t>
      </w:r>
    </w:p>
    <w:p>
      <w:pPr>
        <w:pStyle w:val="BodyText"/>
        <w:spacing w:line="364" w:lineRule="auto" w:before="161"/>
        <w:ind w:left="754" w:right="252" w:hanging="3"/>
      </w:pPr>
      <w:r>
        <w:rPr/>
        <w:t>应把辐射工作场所分为控制区和监督区，以便于辐射防护管理和职业照射控制。控制区：注册者和许可证持有者应把需要和可能需要专门防护手段或安全措施的</w:t>
      </w:r>
    </w:p>
    <w:p>
      <w:pPr>
        <w:pStyle w:val="BodyText"/>
        <w:spacing w:line="364" w:lineRule="auto" w:before="1"/>
        <w:ind w:left="272" w:right="227"/>
      </w:pPr>
      <w:r>
        <w:rPr/>
        <w:t>区域定为控制区，以便控制正常工作条件下的正常照射或防止污染扩散，并预防潜在照射或限制潜在照射的范围。</w:t>
      </w:r>
    </w:p>
    <w:p>
      <w:pPr>
        <w:pStyle w:val="BodyText"/>
        <w:spacing w:line="364" w:lineRule="auto" w:before="1"/>
        <w:ind w:left="272" w:right="276" w:firstLine="482"/>
        <w:jc w:val="both"/>
      </w:pPr>
      <w:r>
        <w:rPr>
          <w:spacing w:val="-6"/>
        </w:rPr>
        <w:t>监督区：注册者和许可证持有者应将下述区域定为监督区：这种区域未被定为控</w:t>
      </w:r>
      <w:r>
        <w:rPr>
          <w:spacing w:val="-5"/>
        </w:rPr>
        <w:t>制区，在其中通常不需要专门的防护手段或安全措施，但需要经常对职业照射条件进</w:t>
      </w:r>
      <w:r>
        <w:rPr/>
        <w:t>行监督和评价。</w:t>
      </w:r>
    </w:p>
    <w:p>
      <w:pPr>
        <w:pStyle w:val="BodyText"/>
        <w:spacing w:before="2"/>
        <w:ind w:left="754"/>
      </w:pPr>
      <w:r>
        <w:rPr/>
        <w:t>2</w:t>
      </w:r>
      <w:r>
        <w:rPr>
          <w:spacing w:val="-20"/>
        </w:rPr>
        <w:t>、《放射诊断放射防护要求》</w:t>
      </w:r>
      <w:r>
        <w:rPr>
          <w:spacing w:val="2"/>
        </w:rPr>
        <w:t>（</w:t>
      </w:r>
      <w:r>
        <w:rPr>
          <w:w w:val="155"/>
        </w:rPr>
        <w:t>G</w:t>
      </w:r>
      <w:r>
        <w:rPr>
          <w:w w:val="133"/>
        </w:rPr>
        <w:t>B</w:t>
      </w:r>
      <w:r>
        <w:rPr>
          <w:spacing w:val="3"/>
          <w:w w:val="133"/>
        </w:rPr>
        <w:t>Z</w:t>
      </w:r>
      <w:r>
        <w:rPr>
          <w:w w:val="50"/>
        </w:rPr>
        <w:t> </w:t>
      </w:r>
      <w:r>
        <w:rPr/>
        <w:t>130</w:t>
      </w:r>
      <w:r>
        <w:rPr>
          <w:w w:val="66"/>
        </w:rPr>
        <w:t>-</w:t>
      </w:r>
      <w:r>
        <w:rPr>
          <w:spacing w:val="-3"/>
        </w:rPr>
        <w:t>2</w:t>
      </w:r>
      <w:r>
        <w:rPr/>
        <w:t>02</w:t>
      </w:r>
      <w:r>
        <w:rPr>
          <w:spacing w:val="-2"/>
        </w:rPr>
        <w:t>0</w:t>
      </w:r>
      <w:r>
        <w:rPr>
          <w:spacing w:val="-120"/>
        </w:rPr>
        <w:t>）</w:t>
      </w:r>
      <w:r>
        <w:rPr/>
        <w:t>：</w:t>
      </w:r>
    </w:p>
    <w:p>
      <w:pPr>
        <w:pStyle w:val="BodyText"/>
        <w:spacing w:before="161"/>
        <w:ind w:left="735"/>
      </w:pPr>
      <w:r>
        <w:rPr/>
        <w:t>引自“第 </w:t>
      </w:r>
      <w:r>
        <w:rPr>
          <w:rFonts w:ascii="Times New Roman" w:hAnsi="Times New Roman" w:eastAsia="Times New Roman"/>
        </w:rPr>
        <w:t>6 </w:t>
      </w:r>
      <w:r>
        <w:rPr/>
        <w:t>款 </w:t>
      </w:r>
      <w:r>
        <w:rPr>
          <w:rFonts w:ascii="Times New Roman" w:hAnsi="Times New Roman" w:eastAsia="Times New Roman"/>
        </w:rPr>
        <w:t>X </w:t>
      </w:r>
      <w:r>
        <w:rPr/>
        <w:t>射线设备机房防护设施的技术要求”内容，如下：</w:t>
      </w:r>
    </w:p>
    <w:p>
      <w:pPr>
        <w:pStyle w:val="BodyText"/>
        <w:spacing w:line="364" w:lineRule="auto" w:before="160"/>
        <w:ind w:left="272" w:right="268" w:firstLine="463"/>
      </w:pPr>
      <w:r>
        <w:rPr>
          <w:spacing w:val="-36"/>
        </w:rPr>
        <w:t>第 </w:t>
      </w:r>
      <w:r>
        <w:rPr>
          <w:rFonts w:ascii="Times New Roman" w:eastAsia="Times New Roman"/>
          <w:spacing w:val="-4"/>
        </w:rPr>
        <w:t>6.1.1 </w:t>
      </w:r>
      <w:r>
        <w:rPr/>
        <w:t>款 应合理设置</w:t>
      </w:r>
      <w:r>
        <w:rPr>
          <w:rFonts w:ascii="Times New Roman" w:eastAsia="Times New Roman"/>
        </w:rPr>
        <w:t>X </w:t>
      </w:r>
      <w:r>
        <w:rPr>
          <w:spacing w:val="-11"/>
        </w:rPr>
        <w:t>射线设备、机房门、窗和管线口位置，应尽量避免有用线</w:t>
      </w:r>
      <w:r>
        <w:rPr>
          <w:spacing w:val="-10"/>
        </w:rPr>
        <w:t>束直接照射门、窗、管线口和工作人员操作位。</w:t>
      </w:r>
    </w:p>
    <w:p>
      <w:pPr>
        <w:pStyle w:val="BodyText"/>
        <w:spacing w:line="364" w:lineRule="auto" w:before="1"/>
        <w:ind w:left="272" w:right="268" w:firstLine="463"/>
      </w:pPr>
      <w:r>
        <w:rPr>
          <w:spacing w:val="-28"/>
        </w:rPr>
        <w:t>第 </w:t>
      </w:r>
      <w:r>
        <w:rPr>
          <w:rFonts w:ascii="Times New Roman" w:eastAsia="Times New Roman"/>
          <w:spacing w:val="-4"/>
        </w:rPr>
        <w:t>6.1.2 </w:t>
      </w:r>
      <w:r>
        <w:rPr>
          <w:spacing w:val="-7"/>
        </w:rPr>
        <w:t>款 </w:t>
      </w:r>
      <w:r>
        <w:rPr>
          <w:rFonts w:ascii="Times New Roman" w:eastAsia="Times New Roman"/>
        </w:rPr>
        <w:t>X </w:t>
      </w:r>
      <w:r>
        <w:rPr>
          <w:spacing w:val="-10"/>
        </w:rPr>
        <w:t>射线设备机房</w:t>
      </w:r>
      <w:r>
        <w:rPr>
          <w:spacing w:val="-8"/>
        </w:rPr>
        <w:t>（</w:t>
      </w:r>
      <w:r>
        <w:rPr>
          <w:spacing w:val="-9"/>
        </w:rPr>
        <w:t>照射室</w:t>
      </w:r>
      <w:r>
        <w:rPr>
          <w:spacing w:val="-10"/>
        </w:rPr>
        <w:t>）的设置应充分考虑邻室</w:t>
      </w:r>
      <w:r>
        <w:rPr>
          <w:spacing w:val="-8"/>
        </w:rPr>
        <w:t>（</w:t>
      </w:r>
      <w:r>
        <w:rPr>
          <w:spacing w:val="-10"/>
        </w:rPr>
        <w:t>含楼上和楼下</w:t>
      </w:r>
      <w:r>
        <w:rPr>
          <w:spacing w:val="-8"/>
        </w:rPr>
        <w:t>）</w:t>
      </w:r>
      <w:r>
        <w:rPr/>
        <w:t>及</w:t>
      </w:r>
      <w:r>
        <w:rPr>
          <w:spacing w:val="-10"/>
        </w:rPr>
        <w:t>周围场所的人员防护与安全。</w:t>
      </w:r>
    </w:p>
    <w:p>
      <w:pPr>
        <w:pStyle w:val="BodyText"/>
        <w:spacing w:line="364" w:lineRule="auto" w:before="2"/>
        <w:ind w:left="272" w:right="270" w:firstLine="463"/>
      </w:pPr>
      <w:r>
        <w:rPr>
          <w:spacing w:val="-36"/>
        </w:rPr>
        <w:t>第 </w:t>
      </w:r>
      <w:r>
        <w:rPr>
          <w:rFonts w:ascii="Times New Roman" w:eastAsia="Times New Roman"/>
          <w:spacing w:val="-4"/>
        </w:rPr>
        <w:t>6.1.3 </w:t>
      </w:r>
      <w:r>
        <w:rPr>
          <w:spacing w:val="-2"/>
        </w:rPr>
        <w:t>款 每台固定使用</w:t>
      </w:r>
      <w:r>
        <w:rPr>
          <w:rFonts w:ascii="Times New Roman" w:eastAsia="Times New Roman"/>
        </w:rPr>
        <w:t>X </w:t>
      </w:r>
      <w:r>
        <w:rPr>
          <w:spacing w:val="-11"/>
        </w:rPr>
        <w:t>射线设备应设有单独的机房，机房应满足使用设备的布</w:t>
      </w:r>
      <w:r>
        <w:rPr>
          <w:spacing w:val="-7"/>
        </w:rPr>
        <w:t>局要求；</w:t>
      </w:r>
    </w:p>
    <w:p>
      <w:pPr>
        <w:pStyle w:val="BodyText"/>
        <w:spacing w:line="364" w:lineRule="auto" w:before="1"/>
        <w:ind w:left="272" w:right="269" w:firstLine="463"/>
        <w:jc w:val="both"/>
      </w:pPr>
      <w:r>
        <w:rPr>
          <w:spacing w:val="-36"/>
        </w:rPr>
        <w:t>第 </w:t>
      </w:r>
      <w:r>
        <w:rPr>
          <w:rFonts w:ascii="Times New Roman" w:eastAsia="Times New Roman"/>
          <w:spacing w:val="-4"/>
        </w:rPr>
        <w:t>6.1.5 </w:t>
      </w:r>
      <w:r>
        <w:rPr>
          <w:spacing w:val="-17"/>
        </w:rPr>
        <w:t>款 除床旁摄影设备、便携式 </w:t>
      </w:r>
      <w:r>
        <w:rPr>
          <w:rFonts w:ascii="Times New Roman" w:eastAsia="Times New Roman"/>
        </w:rPr>
        <w:t>X </w:t>
      </w:r>
      <w:r>
        <w:rPr>
          <w:spacing w:val="-4"/>
        </w:rPr>
        <w:t>射线设备和车载式诊断</w:t>
      </w:r>
      <w:r>
        <w:rPr>
          <w:rFonts w:ascii="Times New Roman" w:eastAsia="Times New Roman"/>
        </w:rPr>
        <w:t>X </w:t>
      </w:r>
      <w:r>
        <w:rPr>
          <w:spacing w:val="-13"/>
        </w:rPr>
        <w:t>射线设备外，对新</w:t>
      </w:r>
      <w:r>
        <w:rPr>
          <w:spacing w:val="-9"/>
        </w:rPr>
        <w:t>建、改建和改建项目和技术改造、技术引进项目的</w:t>
      </w:r>
      <w:r>
        <w:rPr>
          <w:rFonts w:ascii="Times New Roman" w:eastAsia="Times New Roman"/>
        </w:rPr>
        <w:t>X </w:t>
      </w:r>
      <w:r>
        <w:rPr>
          <w:spacing w:val="-11"/>
        </w:rPr>
        <w:t>射线设备机房，其最小有效使用面</w:t>
      </w:r>
      <w:r>
        <w:rPr>
          <w:spacing w:val="-15"/>
        </w:rPr>
        <w:t>积、最小单边长度应符合表 </w:t>
      </w:r>
      <w:r>
        <w:rPr>
          <w:rFonts w:ascii="Times New Roman" w:eastAsia="Times New Roman"/>
        </w:rPr>
        <w:t>2 </w:t>
      </w:r>
      <w:r>
        <w:rPr>
          <w:spacing w:val="-7"/>
        </w:rPr>
        <w:t>的规定。</w:t>
      </w:r>
    </w:p>
    <w:p>
      <w:pPr>
        <w:tabs>
          <w:tab w:pos="2761" w:val="left" w:leader="none"/>
        </w:tabs>
        <w:spacing w:line="212" w:lineRule="exact" w:before="0" w:after="20"/>
        <w:ind w:left="2182" w:right="0" w:firstLine="0"/>
        <w:jc w:val="left"/>
        <w:rPr>
          <w:sz w:val="21"/>
        </w:rPr>
      </w:pPr>
      <w:r>
        <w:rPr>
          <w:sz w:val="21"/>
        </w:rPr>
        <w:t>表</w:t>
      </w:r>
      <w:r>
        <w:rPr>
          <w:spacing w:val="-53"/>
          <w:sz w:val="21"/>
        </w:rPr>
        <w:t> </w:t>
      </w:r>
      <w:r>
        <w:rPr>
          <w:rFonts w:ascii="Times New Roman" w:eastAsia="Times New Roman"/>
          <w:sz w:val="21"/>
        </w:rPr>
        <w:t>2</w:t>
        <w:tab/>
        <w:t>X </w:t>
      </w:r>
      <w:r>
        <w:rPr>
          <w:sz w:val="21"/>
        </w:rPr>
        <w:t>射</w:t>
      </w:r>
      <w:r>
        <w:rPr>
          <w:spacing w:val="-3"/>
          <w:sz w:val="21"/>
        </w:rPr>
        <w:t>线</w:t>
      </w:r>
      <w:r>
        <w:rPr>
          <w:sz w:val="21"/>
        </w:rPr>
        <w:t>设</w:t>
      </w:r>
      <w:r>
        <w:rPr>
          <w:spacing w:val="-3"/>
          <w:sz w:val="21"/>
        </w:rPr>
        <w:t>备</w:t>
      </w:r>
      <w:r>
        <w:rPr>
          <w:sz w:val="21"/>
        </w:rPr>
        <w:t>机</w:t>
      </w:r>
      <w:r>
        <w:rPr>
          <w:spacing w:val="-3"/>
          <w:sz w:val="21"/>
        </w:rPr>
        <w:t>房</w:t>
      </w:r>
      <w:r>
        <w:rPr>
          <w:spacing w:val="-5"/>
          <w:sz w:val="21"/>
        </w:rPr>
        <w:t>（</w:t>
      </w:r>
      <w:r>
        <w:rPr>
          <w:sz w:val="21"/>
        </w:rPr>
        <w:t>照射</w:t>
      </w:r>
      <w:r>
        <w:rPr>
          <w:spacing w:val="-3"/>
          <w:sz w:val="21"/>
        </w:rPr>
        <w:t>室</w:t>
      </w:r>
      <w:r>
        <w:rPr>
          <w:sz w:val="21"/>
        </w:rPr>
        <w:t>）</w:t>
      </w:r>
      <w:r>
        <w:rPr>
          <w:spacing w:val="-3"/>
          <w:sz w:val="21"/>
        </w:rPr>
        <w:t>使</w:t>
      </w:r>
      <w:r>
        <w:rPr>
          <w:sz w:val="21"/>
        </w:rPr>
        <w:t>用</w:t>
      </w:r>
      <w:r>
        <w:rPr>
          <w:spacing w:val="-3"/>
          <w:sz w:val="21"/>
        </w:rPr>
        <w:t>面</w:t>
      </w:r>
      <w:r>
        <w:rPr>
          <w:sz w:val="21"/>
        </w:rPr>
        <w:t>积</w:t>
      </w:r>
      <w:r>
        <w:rPr>
          <w:spacing w:val="-3"/>
          <w:sz w:val="21"/>
        </w:rPr>
        <w:t>及</w:t>
      </w:r>
      <w:r>
        <w:rPr>
          <w:sz w:val="21"/>
        </w:rPr>
        <w:t>单</w:t>
      </w:r>
      <w:r>
        <w:rPr>
          <w:spacing w:val="-3"/>
          <w:sz w:val="21"/>
        </w:rPr>
        <w:t>边</w:t>
      </w:r>
      <w:r>
        <w:rPr>
          <w:sz w:val="21"/>
        </w:rPr>
        <w:t>长度</w:t>
      </w:r>
    </w:p>
    <w:tbl>
      <w:tblPr>
        <w:tblW w:w="0" w:type="auto"/>
        <w:jc w:val="left"/>
        <w:tblInd w:w="2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02"/>
        <w:gridCol w:w="3264"/>
        <w:gridCol w:w="2489"/>
      </w:tblGrid>
      <w:tr>
        <w:trPr>
          <w:trHeight w:val="310" w:hRule="atLeast"/>
        </w:trPr>
        <w:tc>
          <w:tcPr>
            <w:tcW w:w="3202" w:type="dxa"/>
            <w:tcBorders>
              <w:left w:val="nil"/>
              <w:right w:val="single" w:sz="4" w:space="0" w:color="000000"/>
            </w:tcBorders>
          </w:tcPr>
          <w:p>
            <w:pPr>
              <w:pStyle w:val="TableParagraph"/>
              <w:spacing w:line="269" w:lineRule="exact" w:before="22"/>
              <w:ind w:left="250" w:right="200"/>
              <w:rPr>
                <w:sz w:val="21"/>
              </w:rPr>
            </w:pPr>
            <w:r>
              <w:rPr>
                <w:sz w:val="21"/>
              </w:rPr>
              <w:t>机房类型</w:t>
            </w:r>
          </w:p>
        </w:tc>
        <w:tc>
          <w:tcPr>
            <w:tcW w:w="3264" w:type="dxa"/>
            <w:tcBorders>
              <w:left w:val="single" w:sz="4" w:space="0" w:color="000000"/>
              <w:right w:val="single" w:sz="4" w:space="0" w:color="000000"/>
            </w:tcBorders>
          </w:tcPr>
          <w:p>
            <w:pPr>
              <w:pStyle w:val="TableParagraph"/>
              <w:spacing w:line="269" w:lineRule="exact" w:before="22"/>
              <w:ind w:left="241" w:right="218"/>
              <w:rPr>
                <w:rFonts w:ascii="Times New Roman" w:eastAsia="Times New Roman"/>
                <w:sz w:val="14"/>
              </w:rPr>
            </w:pPr>
            <w:r>
              <w:rPr>
                <w:sz w:val="21"/>
              </w:rPr>
              <w:t>机房内最小有效使用面积，</w:t>
            </w:r>
            <w:r>
              <w:rPr>
                <w:rFonts w:ascii="Times New Roman" w:eastAsia="Times New Roman"/>
                <w:sz w:val="21"/>
              </w:rPr>
              <w:t>m</w:t>
            </w:r>
            <w:r>
              <w:rPr>
                <w:rFonts w:ascii="Times New Roman" w:eastAsia="Times New Roman"/>
                <w:position w:val="7"/>
                <w:sz w:val="14"/>
              </w:rPr>
              <w:t>2</w:t>
            </w:r>
          </w:p>
        </w:tc>
        <w:tc>
          <w:tcPr>
            <w:tcW w:w="2489" w:type="dxa"/>
            <w:tcBorders>
              <w:left w:val="single" w:sz="4" w:space="0" w:color="000000"/>
              <w:right w:val="nil"/>
            </w:tcBorders>
          </w:tcPr>
          <w:p>
            <w:pPr>
              <w:pStyle w:val="TableParagraph"/>
              <w:spacing w:line="269" w:lineRule="exact" w:before="22"/>
              <w:ind w:left="100" w:right="79"/>
              <w:rPr>
                <w:rFonts w:ascii="Times New Roman" w:eastAsia="Times New Roman"/>
                <w:sz w:val="21"/>
              </w:rPr>
            </w:pPr>
            <w:r>
              <w:rPr>
                <w:sz w:val="21"/>
              </w:rPr>
              <w:t>机房内最小单边长度，</w:t>
            </w:r>
            <w:r>
              <w:rPr>
                <w:rFonts w:ascii="Times New Roman" w:eastAsia="Times New Roman"/>
                <w:sz w:val="21"/>
              </w:rPr>
              <w:t>m</w:t>
            </w:r>
          </w:p>
        </w:tc>
      </w:tr>
      <w:tr>
        <w:trPr>
          <w:trHeight w:val="625" w:hRule="atLeast"/>
        </w:trPr>
        <w:tc>
          <w:tcPr>
            <w:tcW w:w="3202" w:type="dxa"/>
            <w:tcBorders>
              <w:left w:val="nil"/>
              <w:right w:val="single" w:sz="4" w:space="0" w:color="000000"/>
            </w:tcBorders>
          </w:tcPr>
          <w:p>
            <w:pPr>
              <w:pStyle w:val="TableParagraph"/>
              <w:spacing w:before="24"/>
              <w:ind w:left="250" w:right="200"/>
              <w:rPr>
                <w:sz w:val="21"/>
              </w:rPr>
            </w:pPr>
            <w:r>
              <w:rPr>
                <w:sz w:val="21"/>
              </w:rPr>
              <w:t>单管头</w:t>
            </w:r>
            <w:r>
              <w:rPr>
                <w:rFonts w:ascii="Times New Roman" w:eastAsia="Times New Roman"/>
                <w:sz w:val="21"/>
              </w:rPr>
              <w:t>X </w:t>
            </w:r>
            <w:r>
              <w:rPr>
                <w:sz w:val="21"/>
              </w:rPr>
              <w:t>射线机（含</w:t>
            </w:r>
            <w:r>
              <w:rPr>
                <w:rFonts w:ascii="Times New Roman" w:eastAsia="Times New Roman"/>
                <w:sz w:val="21"/>
              </w:rPr>
              <w:t>C </w:t>
            </w:r>
            <w:r>
              <w:rPr>
                <w:sz w:val="21"/>
              </w:rPr>
              <w:t>形臂，</w:t>
            </w:r>
          </w:p>
          <w:p>
            <w:pPr>
              <w:pStyle w:val="TableParagraph"/>
              <w:spacing w:line="269" w:lineRule="exact" w:before="43"/>
              <w:ind w:left="247" w:right="200"/>
              <w:rPr>
                <w:sz w:val="21"/>
              </w:rPr>
            </w:pPr>
            <w:r>
              <w:rPr>
                <w:sz w:val="21"/>
              </w:rPr>
              <w:t>乳腺</w:t>
            </w:r>
            <w:r>
              <w:rPr>
                <w:rFonts w:ascii="Times New Roman" w:eastAsia="Times New Roman"/>
                <w:sz w:val="21"/>
              </w:rPr>
              <w:t>CBCT</w:t>
            </w:r>
            <w:r>
              <w:rPr>
                <w:sz w:val="21"/>
              </w:rPr>
              <w:t>）</w:t>
            </w:r>
          </w:p>
        </w:tc>
        <w:tc>
          <w:tcPr>
            <w:tcW w:w="3264" w:type="dxa"/>
            <w:tcBorders>
              <w:left w:val="single" w:sz="4" w:space="0" w:color="000000"/>
              <w:right w:val="single" w:sz="4" w:space="0" w:color="000000"/>
            </w:tcBorders>
          </w:tcPr>
          <w:p>
            <w:pPr>
              <w:pStyle w:val="TableParagraph"/>
              <w:spacing w:before="194"/>
              <w:ind w:left="241" w:right="218"/>
              <w:rPr>
                <w:rFonts w:ascii="Times New Roman"/>
                <w:sz w:val="21"/>
              </w:rPr>
            </w:pPr>
            <w:r>
              <w:rPr>
                <w:rFonts w:ascii="Times New Roman"/>
                <w:sz w:val="21"/>
              </w:rPr>
              <w:t>20</w:t>
            </w:r>
          </w:p>
        </w:tc>
        <w:tc>
          <w:tcPr>
            <w:tcW w:w="2489" w:type="dxa"/>
            <w:tcBorders>
              <w:left w:val="single" w:sz="4" w:space="0" w:color="000000"/>
              <w:right w:val="nil"/>
            </w:tcBorders>
          </w:tcPr>
          <w:p>
            <w:pPr>
              <w:pStyle w:val="TableParagraph"/>
              <w:spacing w:before="194"/>
              <w:ind w:left="99" w:right="79"/>
              <w:rPr>
                <w:rFonts w:ascii="Times New Roman"/>
                <w:sz w:val="21"/>
              </w:rPr>
            </w:pPr>
            <w:r>
              <w:rPr>
                <w:rFonts w:ascii="Times New Roman"/>
                <w:sz w:val="21"/>
              </w:rPr>
              <w:t>3.5</w:t>
            </w:r>
          </w:p>
        </w:tc>
      </w:tr>
    </w:tbl>
    <w:p>
      <w:pPr>
        <w:pStyle w:val="BodyText"/>
        <w:spacing w:before="81"/>
        <w:ind w:left="735"/>
      </w:pPr>
      <w:r>
        <w:rPr/>
        <w:t>第 </w:t>
      </w:r>
      <w:r>
        <w:rPr>
          <w:rFonts w:ascii="Times New Roman" w:eastAsia="Times New Roman"/>
        </w:rPr>
        <w:t>6.2 </w:t>
      </w:r>
      <w:r>
        <w:rPr/>
        <w:t>款 </w:t>
      </w:r>
      <w:r>
        <w:rPr>
          <w:rFonts w:ascii="Times New Roman" w:eastAsia="Times New Roman"/>
        </w:rPr>
        <w:t>X </w:t>
      </w:r>
      <w:r>
        <w:rPr/>
        <w:t>射线设备机房屏蔽</w:t>
      </w:r>
    </w:p>
    <w:p>
      <w:pPr>
        <w:pStyle w:val="BodyText"/>
        <w:spacing w:line="364" w:lineRule="auto" w:before="161"/>
        <w:ind w:left="272" w:right="266" w:firstLine="463"/>
      </w:pPr>
      <w:r>
        <w:rPr>
          <w:spacing w:val="-36"/>
        </w:rPr>
        <w:t>第 </w:t>
      </w:r>
      <w:r>
        <w:rPr>
          <w:rFonts w:ascii="Times New Roman" w:eastAsia="Times New Roman"/>
          <w:spacing w:val="-4"/>
        </w:rPr>
        <w:t>6.2.1 </w:t>
      </w:r>
      <w:r>
        <w:rPr>
          <w:spacing w:val="1"/>
        </w:rPr>
        <w:t>款 不同类型</w:t>
      </w:r>
      <w:r>
        <w:rPr>
          <w:rFonts w:ascii="Times New Roman" w:eastAsia="Times New Roman"/>
        </w:rPr>
        <w:t>X </w:t>
      </w:r>
      <w:r>
        <w:rPr>
          <w:spacing w:val="-17"/>
        </w:rPr>
        <w:t>射线设备</w:t>
      </w:r>
      <w:r>
        <w:rPr>
          <w:spacing w:val="-8"/>
        </w:rPr>
        <w:t>（</w:t>
      </w:r>
      <w:r>
        <w:rPr>
          <w:spacing w:val="-15"/>
        </w:rPr>
        <w:t>不含床旁摄影设备和便携式 </w:t>
      </w:r>
      <w:r>
        <w:rPr>
          <w:rFonts w:ascii="Times New Roman" w:eastAsia="Times New Roman"/>
        </w:rPr>
        <w:t>X </w:t>
      </w:r>
      <w:r>
        <w:rPr>
          <w:spacing w:val="-9"/>
        </w:rPr>
        <w:t>射线设备</w:t>
      </w:r>
      <w:r>
        <w:rPr>
          <w:spacing w:val="-39"/>
        </w:rPr>
        <w:t>）</w:t>
      </w:r>
      <w:r>
        <w:rPr>
          <w:spacing w:val="-6"/>
        </w:rPr>
        <w:t>机房的</w:t>
      </w:r>
      <w:r>
        <w:rPr>
          <w:spacing w:val="-16"/>
        </w:rPr>
        <w:t>屏蔽防护应不低于表 </w:t>
      </w:r>
      <w:r>
        <w:rPr>
          <w:rFonts w:ascii="Times New Roman" w:eastAsia="Times New Roman"/>
        </w:rPr>
        <w:t>3 </w:t>
      </w:r>
      <w:r>
        <w:rPr>
          <w:spacing w:val="-7"/>
        </w:rPr>
        <w:t>的规定。</w:t>
      </w:r>
    </w:p>
    <w:p>
      <w:pPr>
        <w:pStyle w:val="BodyText"/>
        <w:spacing w:line="364" w:lineRule="auto" w:before="1"/>
        <w:ind w:left="272" w:right="269" w:firstLine="463"/>
      </w:pPr>
      <w:r>
        <w:rPr>
          <w:spacing w:val="40"/>
        </w:rPr>
        <w:t>第</w:t>
      </w:r>
      <w:r>
        <w:rPr>
          <w:rFonts w:ascii="Times New Roman" w:eastAsia="Times New Roman"/>
          <w:spacing w:val="-4"/>
        </w:rPr>
        <w:t>6.2.2 </w:t>
      </w:r>
      <w:r>
        <w:rPr>
          <w:spacing w:val="-2"/>
        </w:rPr>
        <w:t>款 医用诊断</w:t>
      </w:r>
      <w:r>
        <w:rPr>
          <w:rFonts w:ascii="Times New Roman" w:eastAsia="Times New Roman"/>
        </w:rPr>
        <w:t>X </w:t>
      </w:r>
      <w:r>
        <w:rPr>
          <w:spacing w:val="-8"/>
        </w:rPr>
        <w:t>射线防护中不同铅当量屏蔽物质厚度的典型值参见附录</w:t>
      </w:r>
      <w:r>
        <w:rPr>
          <w:rFonts w:ascii="Times New Roman" w:eastAsia="Times New Roman"/>
        </w:rPr>
        <w:t>C </w:t>
      </w:r>
      <w:r>
        <w:rPr/>
        <w:t>中</w:t>
      </w:r>
      <w:r>
        <w:rPr>
          <w:spacing w:val="48"/>
        </w:rPr>
        <w:t>表</w:t>
      </w:r>
      <w:r>
        <w:rPr>
          <w:rFonts w:ascii="Times New Roman" w:eastAsia="Times New Roman"/>
          <w:spacing w:val="-5"/>
        </w:rPr>
        <w:t>C.4</w:t>
      </w:r>
      <w:r>
        <w:rPr>
          <w:spacing w:val="-5"/>
        </w:rPr>
        <w:t>～</w:t>
      </w:r>
      <w:r>
        <w:rPr>
          <w:spacing w:val="47"/>
        </w:rPr>
        <w:t>表</w:t>
      </w:r>
      <w:r>
        <w:rPr>
          <w:rFonts w:ascii="Times New Roman" w:eastAsia="Times New Roman"/>
          <w:spacing w:val="-4"/>
        </w:rPr>
        <w:t>C.7</w:t>
      </w:r>
      <w:r>
        <w:rPr/>
        <w:t>。</w:t>
      </w:r>
    </w:p>
    <w:p>
      <w:pPr>
        <w:tabs>
          <w:tab w:pos="578" w:val="left" w:leader="none"/>
        </w:tabs>
        <w:spacing w:line="211" w:lineRule="exact" w:before="0" w:after="20"/>
        <w:ind w:left="0" w:right="4" w:firstLine="0"/>
        <w:jc w:val="center"/>
        <w:rPr>
          <w:sz w:val="21"/>
        </w:rPr>
      </w:pPr>
      <w:r>
        <w:rPr>
          <w:sz w:val="21"/>
        </w:rPr>
        <w:t>表</w:t>
      </w:r>
      <w:r>
        <w:rPr>
          <w:spacing w:val="-53"/>
          <w:sz w:val="21"/>
        </w:rPr>
        <w:t> </w:t>
      </w:r>
      <w:r>
        <w:rPr>
          <w:rFonts w:ascii="Times New Roman" w:eastAsia="Times New Roman"/>
          <w:sz w:val="21"/>
        </w:rPr>
        <w:t>3</w:t>
        <w:tab/>
      </w:r>
      <w:r>
        <w:rPr>
          <w:sz w:val="21"/>
        </w:rPr>
        <w:t>不</w:t>
      </w:r>
      <w:r>
        <w:rPr>
          <w:spacing w:val="-3"/>
          <w:sz w:val="21"/>
        </w:rPr>
        <w:t>同</w:t>
      </w:r>
      <w:r>
        <w:rPr>
          <w:sz w:val="21"/>
        </w:rPr>
        <w:t>类</w:t>
      </w:r>
      <w:r>
        <w:rPr>
          <w:spacing w:val="50"/>
          <w:sz w:val="21"/>
        </w:rPr>
        <w:t>型</w:t>
      </w:r>
      <w:r>
        <w:rPr>
          <w:rFonts w:ascii="Times New Roman" w:eastAsia="Times New Roman"/>
          <w:sz w:val="21"/>
        </w:rPr>
        <w:t>X </w:t>
      </w:r>
      <w:r>
        <w:rPr>
          <w:sz w:val="21"/>
        </w:rPr>
        <w:t>射</w:t>
      </w:r>
      <w:r>
        <w:rPr>
          <w:spacing w:val="-3"/>
          <w:sz w:val="21"/>
        </w:rPr>
        <w:t>线设</w:t>
      </w:r>
      <w:r>
        <w:rPr>
          <w:sz w:val="21"/>
        </w:rPr>
        <w:t>备机</w:t>
      </w:r>
      <w:r>
        <w:rPr>
          <w:spacing w:val="-3"/>
          <w:sz w:val="21"/>
        </w:rPr>
        <w:t>房</w:t>
      </w:r>
      <w:r>
        <w:rPr>
          <w:sz w:val="21"/>
        </w:rPr>
        <w:t>的</w:t>
      </w:r>
      <w:r>
        <w:rPr>
          <w:spacing w:val="-5"/>
          <w:sz w:val="21"/>
        </w:rPr>
        <w:t>屏</w:t>
      </w:r>
      <w:r>
        <w:rPr>
          <w:sz w:val="21"/>
        </w:rPr>
        <w:t>蔽</w:t>
      </w:r>
      <w:r>
        <w:rPr>
          <w:spacing w:val="-3"/>
          <w:sz w:val="21"/>
        </w:rPr>
        <w:t>防</w:t>
      </w:r>
      <w:r>
        <w:rPr>
          <w:sz w:val="21"/>
        </w:rPr>
        <w:t>护</w:t>
      </w:r>
      <w:r>
        <w:rPr>
          <w:spacing w:val="-3"/>
          <w:sz w:val="21"/>
        </w:rPr>
        <w:t>铅</w:t>
      </w:r>
      <w:r>
        <w:rPr>
          <w:sz w:val="21"/>
        </w:rPr>
        <w:t>当</w:t>
      </w:r>
      <w:r>
        <w:rPr>
          <w:spacing w:val="-3"/>
          <w:sz w:val="21"/>
        </w:rPr>
        <w:t>量</w:t>
      </w:r>
      <w:r>
        <w:rPr>
          <w:sz w:val="21"/>
        </w:rPr>
        <w:t>厚度</w:t>
      </w:r>
      <w:r>
        <w:rPr>
          <w:spacing w:val="-3"/>
          <w:sz w:val="21"/>
        </w:rPr>
        <w:t>要</w:t>
      </w:r>
      <w:r>
        <w:rPr>
          <w:sz w:val="21"/>
        </w:rPr>
        <w:t>求</w:t>
      </w:r>
    </w:p>
    <w:tbl>
      <w:tblPr>
        <w:tblW w:w="0" w:type="auto"/>
        <w:jc w:val="left"/>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12"/>
        <w:gridCol w:w="2843"/>
        <w:gridCol w:w="3016"/>
      </w:tblGrid>
      <w:tr>
        <w:trPr>
          <w:trHeight w:val="399" w:hRule="atLeast"/>
        </w:trPr>
        <w:tc>
          <w:tcPr>
            <w:tcW w:w="3012" w:type="dxa"/>
            <w:tcBorders>
              <w:left w:val="nil"/>
              <w:right w:val="single" w:sz="4" w:space="0" w:color="000000"/>
            </w:tcBorders>
          </w:tcPr>
          <w:p>
            <w:pPr>
              <w:pStyle w:val="TableParagraph"/>
              <w:spacing w:before="67"/>
              <w:ind w:left="467" w:right="419"/>
              <w:rPr>
                <w:sz w:val="21"/>
              </w:rPr>
            </w:pPr>
            <w:r>
              <w:rPr>
                <w:sz w:val="21"/>
              </w:rPr>
              <w:t>机房类型</w:t>
            </w:r>
          </w:p>
        </w:tc>
        <w:tc>
          <w:tcPr>
            <w:tcW w:w="2843" w:type="dxa"/>
            <w:tcBorders>
              <w:left w:val="single" w:sz="4" w:space="0" w:color="000000"/>
              <w:right w:val="single" w:sz="4" w:space="0" w:color="000000"/>
            </w:tcBorders>
          </w:tcPr>
          <w:p>
            <w:pPr>
              <w:pStyle w:val="TableParagraph"/>
              <w:spacing w:before="67"/>
              <w:ind w:left="135" w:right="114"/>
              <w:rPr>
                <w:rFonts w:ascii="Times New Roman" w:eastAsia="Times New Roman"/>
                <w:sz w:val="21"/>
              </w:rPr>
            </w:pPr>
            <w:r>
              <w:rPr>
                <w:sz w:val="21"/>
              </w:rPr>
              <w:t>有用线束方向铅当量 </w:t>
            </w:r>
            <w:r>
              <w:rPr>
                <w:rFonts w:ascii="Times New Roman" w:eastAsia="Times New Roman"/>
                <w:sz w:val="21"/>
              </w:rPr>
              <w:t>mmPb</w:t>
            </w:r>
          </w:p>
        </w:tc>
        <w:tc>
          <w:tcPr>
            <w:tcW w:w="3016" w:type="dxa"/>
            <w:tcBorders>
              <w:left w:val="single" w:sz="4" w:space="0" w:color="000000"/>
              <w:right w:val="nil"/>
            </w:tcBorders>
          </w:tcPr>
          <w:p>
            <w:pPr>
              <w:pStyle w:val="TableParagraph"/>
              <w:spacing w:before="67"/>
              <w:ind w:left="117" w:right="99"/>
              <w:rPr>
                <w:rFonts w:ascii="Times New Roman" w:eastAsia="Times New Roman"/>
                <w:sz w:val="21"/>
              </w:rPr>
            </w:pPr>
            <w:r>
              <w:rPr>
                <w:sz w:val="21"/>
              </w:rPr>
              <w:t>非有用线束方向铅当量 </w:t>
            </w:r>
            <w:r>
              <w:rPr>
                <w:rFonts w:ascii="Times New Roman" w:eastAsia="Times New Roman"/>
                <w:sz w:val="21"/>
              </w:rPr>
              <w:t>mmPb</w:t>
            </w:r>
          </w:p>
        </w:tc>
      </w:tr>
      <w:tr>
        <w:trPr>
          <w:trHeight w:val="438" w:hRule="atLeast"/>
        </w:trPr>
        <w:tc>
          <w:tcPr>
            <w:tcW w:w="3012" w:type="dxa"/>
            <w:tcBorders>
              <w:left w:val="nil"/>
              <w:right w:val="single" w:sz="4" w:space="0" w:color="000000"/>
            </w:tcBorders>
          </w:tcPr>
          <w:p>
            <w:pPr>
              <w:pStyle w:val="TableParagraph"/>
              <w:spacing w:before="84"/>
              <w:ind w:left="470" w:right="419"/>
              <w:rPr>
                <w:sz w:val="21"/>
              </w:rPr>
            </w:pPr>
            <w:r>
              <w:rPr>
                <w:rFonts w:ascii="Times New Roman" w:eastAsia="Times New Roman"/>
                <w:sz w:val="21"/>
              </w:rPr>
              <w:t>C </w:t>
            </w:r>
            <w:r>
              <w:rPr>
                <w:sz w:val="21"/>
              </w:rPr>
              <w:t>形臂</w:t>
            </w:r>
            <w:r>
              <w:rPr>
                <w:rFonts w:ascii="Times New Roman" w:eastAsia="Times New Roman"/>
                <w:sz w:val="21"/>
              </w:rPr>
              <w:t>X </w:t>
            </w:r>
            <w:r>
              <w:rPr>
                <w:sz w:val="21"/>
              </w:rPr>
              <w:t>射线设备机房</w:t>
            </w:r>
          </w:p>
        </w:tc>
        <w:tc>
          <w:tcPr>
            <w:tcW w:w="2843" w:type="dxa"/>
            <w:tcBorders>
              <w:left w:val="single" w:sz="4" w:space="0" w:color="000000"/>
              <w:right w:val="single" w:sz="4" w:space="0" w:color="000000"/>
            </w:tcBorders>
          </w:tcPr>
          <w:p>
            <w:pPr>
              <w:pStyle w:val="TableParagraph"/>
              <w:spacing w:before="98"/>
              <w:ind w:left="135" w:right="101"/>
              <w:rPr>
                <w:rFonts w:ascii="Times New Roman"/>
                <w:sz w:val="21"/>
              </w:rPr>
            </w:pPr>
            <w:r>
              <w:rPr>
                <w:rFonts w:ascii="Times New Roman"/>
                <w:sz w:val="21"/>
              </w:rPr>
              <w:t>2.0</w:t>
            </w:r>
          </w:p>
        </w:tc>
        <w:tc>
          <w:tcPr>
            <w:tcW w:w="3016" w:type="dxa"/>
            <w:tcBorders>
              <w:left w:val="single" w:sz="4" w:space="0" w:color="000000"/>
              <w:right w:val="nil"/>
            </w:tcBorders>
          </w:tcPr>
          <w:p>
            <w:pPr>
              <w:pStyle w:val="TableParagraph"/>
              <w:spacing w:before="98"/>
              <w:ind w:left="117" w:right="88"/>
              <w:rPr>
                <w:rFonts w:ascii="Times New Roman"/>
                <w:sz w:val="21"/>
              </w:rPr>
            </w:pPr>
            <w:r>
              <w:rPr>
                <w:rFonts w:ascii="Times New Roman"/>
                <w:sz w:val="21"/>
              </w:rPr>
              <w:t>2.0</w:t>
            </w:r>
          </w:p>
        </w:tc>
      </w:tr>
    </w:tbl>
    <w:p>
      <w:pPr>
        <w:pStyle w:val="BodyText"/>
        <w:spacing w:before="81"/>
        <w:ind w:left="735"/>
      </w:pPr>
      <w:r>
        <w:rPr/>
        <w:t>第 </w:t>
      </w:r>
      <w:r>
        <w:rPr>
          <w:rFonts w:ascii="Times New Roman" w:eastAsia="Times New Roman"/>
        </w:rPr>
        <w:t>6.2.3 </w:t>
      </w:r>
      <w:r>
        <w:rPr/>
        <w:t>款 机房的门和窗关闭时应满足表 </w:t>
      </w:r>
      <w:r>
        <w:rPr>
          <w:rFonts w:ascii="Times New Roman" w:eastAsia="Times New Roman"/>
        </w:rPr>
        <w:t>3 </w:t>
      </w:r>
      <w:r>
        <w:rPr/>
        <w:t>的要求。</w:t>
      </w:r>
    </w:p>
    <w:p>
      <w:pPr>
        <w:spacing w:after="0"/>
        <w:sectPr>
          <w:pgSz w:w="11910" w:h="16840"/>
          <w:pgMar w:header="0" w:footer="881" w:top="1220" w:bottom="1080" w:left="1480" w:right="1020"/>
        </w:sectPr>
      </w:pPr>
    </w:p>
    <w:p>
      <w:pPr>
        <w:pStyle w:val="BodyText"/>
        <w:spacing w:before="100"/>
        <w:ind w:left="752"/>
      </w:pPr>
      <w:r>
        <w:rPr/>
        <w:pict>
          <v:group style="position:absolute;margin-left:81.959999pt;margin-top:62.399937pt;width:454.1pt;height:703pt;mso-position-horizontal-relative:page;mso-position-vertical-relative:page;z-index:-212080" coordorigin="1639,1248" coordsize="9082,14060">
            <v:line style="position:absolute" from="1639,1253" to="10711,1253" stroked="true" strokeweight=".479999pt" strokecolor="#000000">
              <v:stroke dashstyle="solid"/>
            </v:line>
            <v:line style="position:absolute" from="1644,1258" to="1644,15307" stroked="true" strokeweight=".479999pt" strokecolor="#000000">
              <v:stroke dashstyle="solid"/>
            </v:line>
            <v:line style="position:absolute" from="1639,15302" to="10711,15302" stroked="true" strokeweight=".479965pt" strokecolor="#000000">
              <v:stroke dashstyle="solid"/>
            </v:line>
            <v:line style="position:absolute" from="10716,1248" to="10716,15307" stroked="true" strokeweight=".479966pt" strokecolor="#000000">
              <v:stroke dashstyle="solid"/>
            </v:line>
            <w10:wrap type="none"/>
          </v:group>
        </w:pict>
      </w:r>
      <w:r>
        <w:rPr/>
        <w:t>第 </w:t>
      </w:r>
      <w:r>
        <w:rPr>
          <w:rFonts w:ascii="Times New Roman" w:eastAsia="Times New Roman"/>
        </w:rPr>
        <w:t>6.3 </w:t>
      </w:r>
      <w:r>
        <w:rPr/>
        <w:t>款 </w:t>
      </w:r>
      <w:r>
        <w:rPr>
          <w:rFonts w:ascii="Times New Roman" w:eastAsia="Times New Roman"/>
        </w:rPr>
        <w:t>X </w:t>
      </w:r>
      <w:r>
        <w:rPr/>
        <w:t>射线设备机房屏蔽体外剂量水平</w:t>
      </w:r>
    </w:p>
    <w:p>
      <w:pPr>
        <w:pStyle w:val="BodyText"/>
        <w:spacing w:before="161"/>
        <w:ind w:left="752"/>
      </w:pPr>
      <w:r>
        <w:rPr/>
        <w:t>第 </w:t>
      </w:r>
      <w:r>
        <w:rPr>
          <w:rFonts w:ascii="Times New Roman" w:eastAsia="Times New Roman"/>
        </w:rPr>
        <w:t>6.3.1 </w:t>
      </w:r>
      <w:r>
        <w:rPr/>
        <w:t>款 机房的辐射屏蔽防护，应满足下列要求：</w:t>
      </w:r>
    </w:p>
    <w:p>
      <w:pPr>
        <w:pStyle w:val="BodyText"/>
        <w:spacing w:before="160"/>
        <w:ind w:left="752"/>
      </w:pPr>
      <w:r>
        <w:rPr>
          <w:rFonts w:ascii="Times New Roman" w:eastAsia="Times New Roman"/>
        </w:rPr>
        <w:t>a) </w:t>
      </w:r>
      <w:r>
        <w:rPr/>
        <w:t>具有透视功能的 </w:t>
      </w:r>
      <w:r>
        <w:rPr>
          <w:rFonts w:ascii="Times New Roman" w:eastAsia="Times New Roman"/>
        </w:rPr>
        <w:t>X </w:t>
      </w:r>
      <w:r>
        <w:rPr/>
        <w:t>射线设备在透视条件下检测时，周围剂量当量率应不大于</w:t>
      </w:r>
    </w:p>
    <w:p>
      <w:pPr>
        <w:pStyle w:val="BodyText"/>
        <w:spacing w:line="364" w:lineRule="auto" w:before="161"/>
        <w:ind w:left="752" w:right="1970" w:hanging="480"/>
      </w:pPr>
      <w:r>
        <w:rPr>
          <w:rFonts w:ascii="Times New Roman" w:hAnsi="Times New Roman" w:eastAsia="Times New Roman"/>
        </w:rPr>
        <w:t>2.5 μSv/h</w:t>
      </w:r>
      <w:r>
        <w:rPr/>
        <w:t>；测量时，</w:t>
      </w:r>
      <w:r>
        <w:rPr>
          <w:rFonts w:ascii="Times New Roman" w:hAnsi="Times New Roman" w:eastAsia="Times New Roman"/>
        </w:rPr>
        <w:t>X </w:t>
      </w:r>
      <w:r>
        <w:rPr/>
        <w:t>射线设备连续出束时间应大于仪器响应时间； 第 </w:t>
      </w:r>
      <w:r>
        <w:rPr>
          <w:rFonts w:ascii="Times New Roman" w:hAnsi="Times New Roman" w:eastAsia="Times New Roman"/>
        </w:rPr>
        <w:t>6.4 </w:t>
      </w:r>
      <w:r>
        <w:rPr/>
        <w:t>款</w:t>
      </w:r>
      <w:r>
        <w:rPr>
          <w:rFonts w:ascii="Times New Roman" w:hAnsi="Times New Roman" w:eastAsia="Times New Roman"/>
        </w:rPr>
        <w:t>X </w:t>
      </w:r>
      <w:r>
        <w:rPr/>
        <w:t>射线设备工作场所防护</w:t>
      </w:r>
    </w:p>
    <w:p>
      <w:pPr>
        <w:pStyle w:val="BodyText"/>
        <w:spacing w:line="364" w:lineRule="auto" w:before="1"/>
        <w:ind w:left="272" w:right="276" w:firstLine="480"/>
      </w:pPr>
      <w:r>
        <w:rPr>
          <w:spacing w:val="-30"/>
        </w:rPr>
        <w:t>第 </w:t>
      </w:r>
      <w:r>
        <w:rPr>
          <w:rFonts w:ascii="Times New Roman" w:eastAsia="Times New Roman"/>
        </w:rPr>
        <w:t>6.4.1 </w:t>
      </w:r>
      <w:r>
        <w:rPr>
          <w:spacing w:val="-7"/>
        </w:rPr>
        <w:t>款 机房应设有观察窗或摄像监控装置，其设置的位置应便于观察到受检</w:t>
      </w:r>
      <w:r>
        <w:rPr/>
        <w:t>者状态及防护门开闭情况。</w:t>
      </w:r>
    </w:p>
    <w:p>
      <w:pPr>
        <w:pStyle w:val="BodyText"/>
        <w:spacing w:line="364" w:lineRule="auto" w:before="1"/>
        <w:ind w:left="752" w:right="2353"/>
      </w:pPr>
      <w:r>
        <w:rPr/>
        <w:t>第 </w:t>
      </w:r>
      <w:r>
        <w:rPr>
          <w:rFonts w:ascii="Times New Roman" w:eastAsia="Times New Roman"/>
        </w:rPr>
        <w:t>6.4.2 </w:t>
      </w:r>
      <w:r>
        <w:rPr/>
        <w:t>款 机房内不应堆放与该设备诊断工作无关的杂物。第 </w:t>
      </w:r>
      <w:r>
        <w:rPr>
          <w:rFonts w:ascii="Times New Roman" w:eastAsia="Times New Roman"/>
        </w:rPr>
        <w:t>6.4.3 </w:t>
      </w:r>
      <w:r>
        <w:rPr/>
        <w:t>款 机房应设置动力通风装置，并保持良好的通风。</w:t>
      </w:r>
    </w:p>
    <w:p>
      <w:pPr>
        <w:pStyle w:val="BodyText"/>
        <w:spacing w:line="364" w:lineRule="auto" w:before="2"/>
        <w:ind w:left="272" w:right="276" w:firstLine="480"/>
        <w:jc w:val="both"/>
      </w:pPr>
      <w:r>
        <w:rPr>
          <w:spacing w:val="-30"/>
        </w:rPr>
        <w:t>第 </w:t>
      </w:r>
      <w:r>
        <w:rPr>
          <w:rFonts w:ascii="Times New Roman" w:hAnsi="Times New Roman" w:eastAsia="Times New Roman"/>
        </w:rPr>
        <w:t>6.4.4 </w:t>
      </w:r>
      <w:r>
        <w:rPr>
          <w:spacing w:val="-7"/>
        </w:rPr>
        <w:t>款 机房门外应有电离辐射警告标志；机房门上方应有醒目的工作状态指</w:t>
      </w:r>
      <w:r>
        <w:rPr>
          <w:spacing w:val="-6"/>
        </w:rPr>
        <w:t>示灯，灯箱上应设置如“射线有害、灯亮勿入”的可视警示语句；候诊区应设置放射</w:t>
      </w:r>
      <w:r>
        <w:rPr/>
        <w:t>防护注意事项告知栏。</w:t>
      </w:r>
    </w:p>
    <w:p>
      <w:pPr>
        <w:pStyle w:val="BodyText"/>
        <w:spacing w:line="364" w:lineRule="auto" w:before="1"/>
        <w:ind w:left="272" w:right="276" w:firstLine="480"/>
      </w:pPr>
      <w:r>
        <w:rPr>
          <w:spacing w:val="-30"/>
        </w:rPr>
        <w:t>第 </w:t>
      </w:r>
      <w:r>
        <w:rPr>
          <w:rFonts w:ascii="Times New Roman" w:eastAsia="Times New Roman"/>
        </w:rPr>
        <w:t>6.4.5 </w:t>
      </w:r>
      <w:r>
        <w:rPr>
          <w:spacing w:val="-7"/>
        </w:rPr>
        <w:t>款 平开机房门应有自动闭门装置；推拉式机房门应设有曝光时关闭机房</w:t>
      </w:r>
      <w:r>
        <w:rPr/>
        <w:t>门的管理措施；工作状态指示灯能与机房门有效关联。</w:t>
      </w:r>
    </w:p>
    <w:p>
      <w:pPr>
        <w:pStyle w:val="BodyText"/>
        <w:spacing w:before="2"/>
        <w:ind w:left="752"/>
      </w:pPr>
      <w:r>
        <w:rPr/>
        <w:t>第 </w:t>
      </w:r>
      <w:r>
        <w:rPr>
          <w:rFonts w:ascii="Times New Roman" w:eastAsia="Times New Roman"/>
        </w:rPr>
        <w:t>6.4.6 </w:t>
      </w:r>
      <w:r>
        <w:rPr/>
        <w:t>款 电动推拉门宜设置防夹装置。</w:t>
      </w:r>
    </w:p>
    <w:p>
      <w:pPr>
        <w:pStyle w:val="BodyText"/>
        <w:spacing w:line="364" w:lineRule="auto" w:before="160"/>
        <w:ind w:left="272" w:right="278" w:firstLine="480"/>
      </w:pPr>
      <w:r>
        <w:rPr>
          <w:spacing w:val="-30"/>
        </w:rPr>
        <w:t>第 </w:t>
      </w:r>
      <w:r>
        <w:rPr>
          <w:rFonts w:ascii="Times New Roman" w:eastAsia="Times New Roman"/>
        </w:rPr>
        <w:t>6.4.7 </w:t>
      </w:r>
      <w:r>
        <w:rPr>
          <w:spacing w:val="-6"/>
        </w:rPr>
        <w:t>款 受检者不应在机房内候诊；非特殊情况，检查过程中陪检者不应滞留</w:t>
      </w:r>
      <w:r>
        <w:rPr/>
        <w:t>在机房内。</w:t>
      </w:r>
    </w:p>
    <w:p>
      <w:pPr>
        <w:pStyle w:val="BodyText"/>
        <w:spacing w:before="1"/>
        <w:ind w:left="752"/>
      </w:pPr>
      <w:r>
        <w:rPr/>
        <w:t>第 </w:t>
      </w:r>
      <w:r>
        <w:rPr>
          <w:rFonts w:ascii="Times New Roman" w:eastAsia="Times New Roman"/>
        </w:rPr>
        <w:t>6.4.10 </w:t>
      </w:r>
      <w:r>
        <w:rPr/>
        <w:t>款 机房出入门宜处于散射辐射相对低的位置。</w:t>
      </w:r>
    </w:p>
    <w:p>
      <w:pPr>
        <w:pStyle w:val="BodyText"/>
        <w:spacing w:before="161"/>
        <w:ind w:left="752"/>
      </w:pPr>
      <w:r>
        <w:rPr/>
        <w:t>第 </w:t>
      </w:r>
      <w:r>
        <w:rPr>
          <w:rFonts w:ascii="Times New Roman" w:eastAsia="Times New Roman"/>
        </w:rPr>
        <w:t>6.5 </w:t>
      </w:r>
      <w:r>
        <w:rPr/>
        <w:t>款 </w:t>
      </w:r>
      <w:r>
        <w:rPr>
          <w:rFonts w:ascii="Times New Roman" w:eastAsia="Times New Roman"/>
        </w:rPr>
        <w:t>X </w:t>
      </w:r>
      <w:r>
        <w:rPr/>
        <w:t>射线设备工作场所防护用品及防护设施配置要求</w:t>
      </w:r>
    </w:p>
    <w:p>
      <w:pPr>
        <w:pStyle w:val="BodyText"/>
        <w:spacing w:line="364" w:lineRule="auto" w:before="160"/>
        <w:ind w:left="272" w:right="273" w:firstLine="480"/>
        <w:jc w:val="both"/>
      </w:pPr>
      <w:r>
        <w:rPr>
          <w:spacing w:val="-30"/>
        </w:rPr>
        <w:t>第 </w:t>
      </w:r>
      <w:r>
        <w:rPr>
          <w:rFonts w:ascii="Times New Roman" w:eastAsia="Times New Roman"/>
        </w:rPr>
        <w:t>6.5.1 </w:t>
      </w:r>
      <w:r>
        <w:rPr>
          <w:spacing w:val="-17"/>
        </w:rPr>
        <w:t>款 每台 </w:t>
      </w:r>
      <w:r>
        <w:rPr>
          <w:rFonts w:ascii="Times New Roman" w:eastAsia="Times New Roman"/>
        </w:rPr>
        <w:t>X </w:t>
      </w:r>
      <w:r>
        <w:rPr>
          <w:spacing w:val="-9"/>
        </w:rPr>
        <w:t>射线设备根据工作内容，现场应配备不少于表 </w:t>
      </w:r>
      <w:r>
        <w:rPr>
          <w:rFonts w:ascii="Times New Roman" w:eastAsia="Times New Roman"/>
        </w:rPr>
        <w:t>4 </w:t>
      </w:r>
      <w:r>
        <w:rPr>
          <w:spacing w:val="-2"/>
        </w:rPr>
        <w:t>基本种类要求</w:t>
      </w:r>
      <w:r>
        <w:rPr>
          <w:spacing w:val="-5"/>
        </w:rPr>
        <w:t>的工作人员、受检者防护用品与辅助防护设施，其数量应满足开展工作需要，对陪检</w:t>
      </w:r>
      <w:r>
        <w:rPr/>
        <w:t>者应至少配备铅橡胶防护衣。</w:t>
      </w:r>
    </w:p>
    <w:p>
      <w:pPr>
        <w:pStyle w:val="BodyText"/>
        <w:spacing w:before="2"/>
        <w:ind w:left="752"/>
      </w:pPr>
      <w:r>
        <w:rPr/>
        <w:t>第 </w:t>
      </w:r>
      <w:r>
        <w:rPr>
          <w:rFonts w:ascii="Times New Roman" w:eastAsia="Times New Roman"/>
        </w:rPr>
        <w:t>6.5.3 </w:t>
      </w:r>
      <w:r>
        <w:rPr/>
        <w:t>款 除介入防护手套外，防护用品和辅助防护设施的铅当量应不小于</w:t>
      </w:r>
    </w:p>
    <w:p>
      <w:pPr>
        <w:pStyle w:val="BodyText"/>
        <w:spacing w:line="364" w:lineRule="auto" w:before="161"/>
        <w:ind w:left="272" w:right="276"/>
      </w:pPr>
      <w:r>
        <w:rPr>
          <w:rFonts w:ascii="Times New Roman" w:eastAsia="Times New Roman"/>
          <w:spacing w:val="-5"/>
        </w:rPr>
        <w:t>0.25mmPb</w:t>
      </w:r>
      <w:r>
        <w:rPr>
          <w:spacing w:val="-7"/>
        </w:rPr>
        <w:t>；介入防护手套铅当量应不小于 </w:t>
      </w:r>
      <w:r>
        <w:rPr>
          <w:rFonts w:ascii="Times New Roman" w:eastAsia="Times New Roman"/>
          <w:spacing w:val="-5"/>
        </w:rPr>
        <w:t>0.025mmPb</w:t>
      </w:r>
      <w:r>
        <w:rPr>
          <w:spacing w:val="-9"/>
        </w:rPr>
        <w:t>；甲状腺、性腺防护用品铅当量</w:t>
      </w:r>
      <w:r>
        <w:rPr>
          <w:spacing w:val="-13"/>
        </w:rPr>
        <w:t>应不小于 </w:t>
      </w:r>
      <w:r>
        <w:rPr>
          <w:rFonts w:ascii="Times New Roman" w:eastAsia="Times New Roman"/>
        </w:rPr>
        <w:t>0.5mmPb</w:t>
      </w:r>
      <w:r>
        <w:rPr>
          <w:spacing w:val="-6"/>
        </w:rPr>
        <w:t>；移动铅防护屏风铅当量应不小于 </w:t>
      </w:r>
      <w:r>
        <w:rPr>
          <w:rFonts w:ascii="Times New Roman" w:eastAsia="Times New Roman"/>
        </w:rPr>
        <w:t>2mmPb</w:t>
      </w:r>
      <w:r>
        <w:rPr/>
        <w:t>。</w:t>
      </w:r>
    </w:p>
    <w:p>
      <w:pPr>
        <w:pStyle w:val="BodyText"/>
        <w:spacing w:line="364" w:lineRule="auto" w:before="1"/>
        <w:ind w:left="272" w:right="278" w:firstLine="480"/>
      </w:pPr>
      <w:r>
        <w:rPr>
          <w:spacing w:val="-30"/>
        </w:rPr>
        <w:t>第 </w:t>
      </w:r>
      <w:r>
        <w:rPr>
          <w:rFonts w:ascii="Times New Roman" w:eastAsia="Times New Roman"/>
        </w:rPr>
        <w:t>6.5.4 </w:t>
      </w:r>
      <w:r>
        <w:rPr>
          <w:spacing w:val="-12"/>
        </w:rPr>
        <w:t>款 应为儿童的 </w:t>
      </w:r>
      <w:r>
        <w:rPr>
          <w:rFonts w:ascii="Times New Roman" w:eastAsia="Times New Roman"/>
        </w:rPr>
        <w:t>X </w:t>
      </w:r>
      <w:r>
        <w:rPr>
          <w:spacing w:val="-4"/>
        </w:rPr>
        <w:t>射线检查配备保护相应组织和器官的防护用品，防护用品和辅助防护设施的铅当量应不小于 </w:t>
      </w:r>
      <w:r>
        <w:rPr>
          <w:rFonts w:ascii="Times New Roman" w:eastAsia="Times New Roman"/>
        </w:rPr>
        <w:t>0.5mmPb</w:t>
      </w:r>
      <w:r>
        <w:rPr/>
        <w:t>。</w:t>
      </w:r>
    </w:p>
    <w:p>
      <w:pPr>
        <w:pStyle w:val="BodyText"/>
        <w:spacing w:before="1"/>
        <w:ind w:left="752"/>
      </w:pPr>
      <w:r>
        <w:rPr/>
        <w:t>第 </w:t>
      </w:r>
      <w:r>
        <w:rPr>
          <w:rFonts w:ascii="Times New Roman" w:eastAsia="Times New Roman"/>
        </w:rPr>
        <w:t>6.5.5 </w:t>
      </w:r>
      <w:r>
        <w:rPr/>
        <w:t>款 个人防护用品不使用时，应妥善存放，不应折叠放置，以防止断裂。</w:t>
      </w:r>
    </w:p>
    <w:p>
      <w:pPr>
        <w:spacing w:after="0"/>
        <w:sectPr>
          <w:pgSz w:w="11910" w:h="16840"/>
          <w:pgMar w:header="0" w:footer="881" w:top="1220" w:bottom="116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91"/>
        <w:gridCol w:w="4233"/>
        <w:gridCol w:w="3547"/>
      </w:tblGrid>
      <w:tr>
        <w:trPr>
          <w:trHeight w:val="3044" w:hRule="atLeast"/>
        </w:trPr>
        <w:tc>
          <w:tcPr>
            <w:tcW w:w="9071" w:type="dxa"/>
            <w:gridSpan w:val="3"/>
            <w:tcBorders>
              <w:bottom w:val="single" w:sz="12" w:space="0" w:color="000000"/>
            </w:tcBorders>
          </w:tcPr>
          <w:p>
            <w:pPr>
              <w:pStyle w:val="TableParagraph"/>
              <w:spacing w:before="99"/>
              <w:ind w:left="2514"/>
              <w:jc w:val="left"/>
              <w:rPr>
                <w:sz w:val="21"/>
              </w:rPr>
            </w:pPr>
            <w:r>
              <w:rPr>
                <w:spacing w:val="-27"/>
                <w:sz w:val="21"/>
              </w:rPr>
              <w:t>表 </w:t>
            </w:r>
            <w:r>
              <w:rPr>
                <w:rFonts w:ascii="Times New Roman" w:eastAsia="Times New Roman"/>
                <w:sz w:val="21"/>
              </w:rPr>
              <w:t>4</w:t>
            </w:r>
            <w:r>
              <w:rPr>
                <w:rFonts w:ascii="Times New Roman" w:eastAsia="Times New Roman"/>
                <w:spacing w:val="51"/>
                <w:sz w:val="21"/>
              </w:rPr>
              <w:t> </w:t>
            </w:r>
            <w:r>
              <w:rPr>
                <w:spacing w:val="-4"/>
                <w:sz w:val="21"/>
              </w:rPr>
              <w:t>个人防护用品和辅助防护设施配置要求</w:t>
            </w: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spacing w:before="7"/>
              <w:jc w:val="left"/>
              <w:rPr>
                <w:sz w:val="30"/>
              </w:rPr>
            </w:pPr>
          </w:p>
          <w:p>
            <w:pPr>
              <w:pStyle w:val="TableParagraph"/>
              <w:spacing w:before="1"/>
              <w:ind w:left="167"/>
              <w:jc w:val="left"/>
              <w:rPr>
                <w:sz w:val="20"/>
              </w:rPr>
            </w:pPr>
            <w:r>
              <w:rPr>
                <w:sz w:val="20"/>
              </w:rPr>
              <w:t>注：</w:t>
            </w:r>
            <w:r>
              <w:rPr>
                <w:rFonts w:ascii="Times New Roman" w:hAnsi="Times New Roman" w:eastAsia="Times New Roman"/>
                <w:sz w:val="20"/>
              </w:rPr>
              <w:t>“—”</w:t>
            </w:r>
            <w:r>
              <w:rPr>
                <w:sz w:val="20"/>
              </w:rPr>
              <w:t>表示不需要求。</w:t>
            </w:r>
          </w:p>
        </w:tc>
      </w:tr>
      <w:tr>
        <w:trPr>
          <w:trHeight w:val="5972" w:hRule="atLeast"/>
        </w:trPr>
        <w:tc>
          <w:tcPr>
            <w:tcW w:w="9071" w:type="dxa"/>
            <w:gridSpan w:val="3"/>
            <w:tcBorders>
              <w:top w:val="single" w:sz="12" w:space="0" w:color="000000"/>
              <w:bottom w:val="single" w:sz="12" w:space="0" w:color="000000"/>
            </w:tcBorders>
          </w:tcPr>
          <w:p>
            <w:pPr>
              <w:pStyle w:val="TableParagraph"/>
              <w:spacing w:before="81"/>
              <w:ind w:left="590"/>
              <w:jc w:val="left"/>
              <w:rPr>
                <w:sz w:val="24"/>
              </w:rPr>
            </w:pPr>
            <w:r>
              <w:rPr>
                <w:sz w:val="24"/>
              </w:rPr>
              <w:t>3、剂量约束</w:t>
            </w:r>
            <w:r>
              <w:rPr>
                <w:w w:val="50"/>
                <w:sz w:val="24"/>
              </w:rPr>
              <w:t> </w:t>
            </w:r>
          </w:p>
          <w:p>
            <w:pPr>
              <w:pStyle w:val="TableParagraph"/>
              <w:spacing w:before="160"/>
              <w:ind w:left="587"/>
              <w:jc w:val="left"/>
              <w:rPr>
                <w:sz w:val="24"/>
              </w:rPr>
            </w:pPr>
            <w:r>
              <w:rPr>
                <w:spacing w:val="-7"/>
                <w:sz w:val="24"/>
              </w:rPr>
              <w:t>（</w:t>
            </w:r>
            <w:r>
              <w:rPr>
                <w:rFonts w:ascii="Times New Roman" w:eastAsia="Times New Roman"/>
                <w:spacing w:val="-7"/>
                <w:sz w:val="24"/>
              </w:rPr>
              <w:t>1</w:t>
            </w:r>
            <w:r>
              <w:rPr>
                <w:spacing w:val="-7"/>
                <w:sz w:val="24"/>
              </w:rPr>
              <w:t>）</w:t>
            </w:r>
            <w:r>
              <w:rPr>
                <w:spacing w:val="-17"/>
                <w:sz w:val="24"/>
              </w:rPr>
              <w:t>职业照射：根据《电离辐射防护与辐射源安全基本标准》</w:t>
            </w:r>
            <w:r>
              <w:rPr>
                <w:spacing w:val="-6"/>
                <w:sz w:val="24"/>
              </w:rPr>
              <w:t>（</w:t>
            </w:r>
            <w:r>
              <w:rPr>
                <w:rFonts w:ascii="Times New Roman" w:eastAsia="Times New Roman"/>
                <w:spacing w:val="-6"/>
                <w:sz w:val="24"/>
              </w:rPr>
              <w:t>GB18871-2002</w:t>
            </w:r>
            <w:r>
              <w:rPr>
                <w:spacing w:val="-6"/>
                <w:sz w:val="24"/>
              </w:rPr>
              <w:t>）</w:t>
            </w:r>
            <w:r>
              <w:rPr>
                <w:sz w:val="24"/>
              </w:rPr>
              <w:t>第</w:t>
            </w:r>
          </w:p>
          <w:p>
            <w:pPr>
              <w:pStyle w:val="TableParagraph"/>
              <w:spacing w:line="364" w:lineRule="auto" w:before="161"/>
              <w:ind w:left="107" w:right="85"/>
              <w:jc w:val="both"/>
              <w:rPr>
                <w:sz w:val="24"/>
              </w:rPr>
            </w:pPr>
            <w:r>
              <w:rPr>
                <w:rFonts w:ascii="Times New Roman" w:eastAsia="Times New Roman"/>
                <w:spacing w:val="-4"/>
                <w:sz w:val="24"/>
              </w:rPr>
              <w:t>4.3.2.1</w:t>
            </w:r>
            <w:r>
              <w:rPr>
                <w:rFonts w:ascii="Times New Roman" w:eastAsia="Times New Roman"/>
                <w:spacing w:val="39"/>
                <w:sz w:val="24"/>
              </w:rPr>
              <w:t> </w:t>
            </w:r>
            <w:r>
              <w:rPr>
                <w:spacing w:val="-10"/>
                <w:sz w:val="24"/>
              </w:rPr>
              <w:t>条的规定，对任何工作人员，由来自各项获准实践的综合照射所致的个人总有效</w:t>
            </w:r>
            <w:r>
              <w:rPr>
                <w:spacing w:val="-6"/>
                <w:sz w:val="24"/>
              </w:rPr>
              <w:t>剂量不超过由审管部门决定的连续 </w:t>
            </w:r>
            <w:r>
              <w:rPr>
                <w:rFonts w:ascii="Times New Roman" w:eastAsia="Times New Roman"/>
                <w:sz w:val="24"/>
              </w:rPr>
              <w:t>5</w:t>
            </w:r>
            <w:r>
              <w:rPr>
                <w:rFonts w:ascii="Times New Roman" w:eastAsia="Times New Roman"/>
                <w:spacing w:val="52"/>
                <w:sz w:val="24"/>
              </w:rPr>
              <w:t> </w:t>
            </w:r>
            <w:r>
              <w:rPr>
                <w:spacing w:val="-5"/>
                <w:sz w:val="24"/>
              </w:rPr>
              <w:t>年的年平均有效剂量</w:t>
            </w:r>
            <w:r>
              <w:rPr>
                <w:spacing w:val="-3"/>
                <w:sz w:val="24"/>
              </w:rPr>
              <w:t>（</w:t>
            </w:r>
            <w:r>
              <w:rPr>
                <w:spacing w:val="-5"/>
                <w:sz w:val="24"/>
              </w:rPr>
              <w:t>但不可作任何追溯平均</w:t>
            </w:r>
            <w:r>
              <w:rPr>
                <w:sz w:val="24"/>
              </w:rPr>
              <w:t>）</w:t>
            </w:r>
          </w:p>
          <w:p>
            <w:pPr>
              <w:pStyle w:val="TableParagraph"/>
              <w:spacing w:line="364" w:lineRule="auto" w:before="1"/>
              <w:ind w:left="107" w:right="95"/>
              <w:jc w:val="both"/>
              <w:rPr>
                <w:sz w:val="24"/>
              </w:rPr>
            </w:pPr>
            <w:r>
              <w:rPr>
                <w:rFonts w:ascii="Times New Roman" w:eastAsia="Times New Roman"/>
                <w:spacing w:val="-9"/>
                <w:sz w:val="24"/>
              </w:rPr>
              <w:t>20mSv</w:t>
            </w:r>
            <w:r>
              <w:rPr>
                <w:spacing w:val="-13"/>
                <w:sz w:val="24"/>
              </w:rPr>
              <w:t>，四肢</w:t>
            </w:r>
            <w:r>
              <w:rPr>
                <w:sz w:val="24"/>
              </w:rPr>
              <w:t>（手和足</w:t>
            </w:r>
            <w:r>
              <w:rPr>
                <w:spacing w:val="-27"/>
                <w:sz w:val="24"/>
              </w:rPr>
              <w:t>）</w:t>
            </w:r>
            <w:r>
              <w:rPr>
                <w:spacing w:val="-5"/>
                <w:sz w:val="24"/>
              </w:rPr>
              <w:t>或皮肤的年当量剂量不超过 </w:t>
            </w:r>
            <w:r>
              <w:rPr>
                <w:rFonts w:ascii="Times New Roman" w:eastAsia="Times New Roman"/>
                <w:sz w:val="24"/>
              </w:rPr>
              <w:t>500mSv</w:t>
            </w:r>
            <w:r>
              <w:rPr>
                <w:spacing w:val="-7"/>
                <w:sz w:val="24"/>
              </w:rPr>
              <w:t>。本项目辐射工作人评价</w:t>
            </w:r>
            <w:r>
              <w:rPr>
                <w:spacing w:val="-3"/>
                <w:sz w:val="24"/>
              </w:rPr>
              <w:t>标准按上述标准中规定的职业照射年有效剂量约束限值的 </w:t>
            </w:r>
            <w:r>
              <w:rPr>
                <w:rFonts w:ascii="Times New Roman" w:eastAsia="Times New Roman"/>
                <w:sz w:val="24"/>
              </w:rPr>
              <w:t>1/4 </w:t>
            </w:r>
            <w:r>
              <w:rPr>
                <w:spacing w:val="-24"/>
                <w:sz w:val="24"/>
              </w:rPr>
              <w:t>执行，即 </w:t>
            </w:r>
            <w:r>
              <w:rPr>
                <w:rFonts w:ascii="Times New Roman" w:eastAsia="Times New Roman"/>
                <w:spacing w:val="-8"/>
                <w:sz w:val="24"/>
              </w:rPr>
              <w:t>5mSv/a</w:t>
            </w:r>
            <w:r>
              <w:rPr>
                <w:spacing w:val="-7"/>
                <w:sz w:val="24"/>
              </w:rPr>
              <w:t>；从事</w:t>
            </w:r>
            <w:r>
              <w:rPr>
                <w:sz w:val="24"/>
              </w:rPr>
              <w:t>介入操作的辐射工作人员四肢（手和足）</w:t>
            </w:r>
            <w:r>
              <w:rPr>
                <w:spacing w:val="-5"/>
                <w:sz w:val="24"/>
              </w:rPr>
              <w:t>或皮肤的年当量剂量约束值为 </w:t>
            </w:r>
            <w:r>
              <w:rPr>
                <w:rFonts w:ascii="Times New Roman" w:eastAsia="Times New Roman"/>
                <w:sz w:val="24"/>
              </w:rPr>
              <w:t>125mSv</w:t>
            </w:r>
            <w:r>
              <w:rPr>
                <w:sz w:val="24"/>
              </w:rPr>
              <w:t>。</w:t>
            </w:r>
          </w:p>
          <w:p>
            <w:pPr>
              <w:pStyle w:val="TableParagraph"/>
              <w:spacing w:line="364" w:lineRule="auto" w:before="2"/>
              <w:ind w:left="107" w:right="87" w:firstLine="463"/>
              <w:jc w:val="both"/>
              <w:rPr>
                <w:sz w:val="24"/>
              </w:rPr>
            </w:pPr>
            <w:r>
              <w:rPr>
                <w:spacing w:val="-20"/>
                <w:sz w:val="24"/>
              </w:rPr>
              <w:t>（</w:t>
            </w:r>
            <w:r>
              <w:rPr>
                <w:rFonts w:ascii="Times New Roman" w:eastAsia="Times New Roman"/>
                <w:spacing w:val="-20"/>
                <w:sz w:val="24"/>
              </w:rPr>
              <w:t>2</w:t>
            </w:r>
            <w:r>
              <w:rPr>
                <w:spacing w:val="-20"/>
                <w:sz w:val="24"/>
              </w:rPr>
              <w:t>）</w:t>
            </w:r>
            <w:r>
              <w:rPr>
                <w:spacing w:val="-24"/>
                <w:sz w:val="24"/>
              </w:rPr>
              <w:t>公众照射：第 </w:t>
            </w:r>
            <w:r>
              <w:rPr>
                <w:rFonts w:ascii="Times New Roman" w:eastAsia="Times New Roman"/>
                <w:spacing w:val="-4"/>
                <w:sz w:val="24"/>
              </w:rPr>
              <w:t>B1.2.1 </w:t>
            </w:r>
            <w:r>
              <w:rPr>
                <w:spacing w:val="-15"/>
                <w:sz w:val="24"/>
              </w:rPr>
              <w:t>条的规定，实践使公众中有关关键人群组的成员所受到的</w:t>
            </w:r>
            <w:r>
              <w:rPr>
                <w:spacing w:val="-14"/>
                <w:sz w:val="24"/>
              </w:rPr>
              <w:t>平均剂量估计值不应超过年有效剂量 </w:t>
            </w:r>
            <w:r>
              <w:rPr>
                <w:rFonts w:ascii="Times New Roman" w:eastAsia="Times New Roman"/>
                <w:spacing w:val="-5"/>
                <w:sz w:val="24"/>
              </w:rPr>
              <w:t>1mSv</w:t>
            </w:r>
            <w:r>
              <w:rPr>
                <w:spacing w:val="-19"/>
                <w:sz w:val="24"/>
              </w:rPr>
              <w:t>。本项目评价标准按上述标准中规定的公众照</w:t>
            </w:r>
            <w:r>
              <w:rPr>
                <w:spacing w:val="-16"/>
                <w:sz w:val="24"/>
              </w:rPr>
              <w:t>射年有效剂量约束限值的 </w:t>
            </w:r>
            <w:r>
              <w:rPr>
                <w:rFonts w:ascii="Times New Roman" w:eastAsia="Times New Roman"/>
                <w:spacing w:val="-3"/>
                <w:sz w:val="24"/>
              </w:rPr>
              <w:t>1/10 </w:t>
            </w:r>
            <w:r>
              <w:rPr>
                <w:spacing w:val="-21"/>
                <w:sz w:val="24"/>
              </w:rPr>
              <w:t>执行，即 </w:t>
            </w:r>
            <w:r>
              <w:rPr>
                <w:rFonts w:ascii="Times New Roman" w:eastAsia="Times New Roman"/>
                <w:spacing w:val="-5"/>
                <w:sz w:val="24"/>
              </w:rPr>
              <w:t>0.1mSv/a</w:t>
            </w:r>
            <w:r>
              <w:rPr>
                <w:sz w:val="24"/>
              </w:rPr>
              <w:t>。</w:t>
            </w:r>
          </w:p>
          <w:p>
            <w:pPr>
              <w:pStyle w:val="TableParagraph"/>
              <w:spacing w:line="364" w:lineRule="auto" w:before="1"/>
              <w:ind w:left="107" w:right="95" w:firstLine="482"/>
              <w:jc w:val="left"/>
              <w:rPr>
                <w:sz w:val="24"/>
              </w:rPr>
            </w:pPr>
            <w:r>
              <w:rPr>
                <w:spacing w:val="-6"/>
                <w:sz w:val="24"/>
              </w:rPr>
              <w:t>综上，根据《电离辐射防护与辐射源安全基本标准》</w:t>
            </w:r>
            <w:r>
              <w:rPr>
                <w:spacing w:val="2"/>
                <w:sz w:val="24"/>
              </w:rPr>
              <w:t>（</w:t>
            </w:r>
            <w:r>
              <w:rPr>
                <w:w w:val="155"/>
                <w:sz w:val="24"/>
              </w:rPr>
              <w:t>G</w:t>
            </w:r>
            <w:r>
              <w:rPr>
                <w:w w:val="133"/>
                <w:sz w:val="24"/>
              </w:rPr>
              <w:t>B</w:t>
            </w:r>
            <w:r>
              <w:rPr>
                <w:spacing w:val="2"/>
                <w:sz w:val="24"/>
              </w:rPr>
              <w:t>1</w:t>
            </w:r>
            <w:r>
              <w:rPr>
                <w:sz w:val="24"/>
              </w:rPr>
              <w:t>8871</w:t>
            </w:r>
            <w:r>
              <w:rPr>
                <w:w w:val="66"/>
                <w:sz w:val="24"/>
              </w:rPr>
              <w:t>-</w:t>
            </w:r>
            <w:r>
              <w:rPr>
                <w:spacing w:val="-3"/>
                <w:sz w:val="24"/>
              </w:rPr>
              <w:t>2</w:t>
            </w:r>
            <w:r>
              <w:rPr>
                <w:sz w:val="24"/>
              </w:rPr>
              <w:t>00</w:t>
            </w:r>
            <w:r>
              <w:rPr>
                <w:spacing w:val="-2"/>
                <w:sz w:val="24"/>
              </w:rPr>
              <w:t>2</w:t>
            </w:r>
            <w:r>
              <w:rPr>
                <w:spacing w:val="2"/>
                <w:sz w:val="24"/>
              </w:rPr>
              <w:t>）</w:t>
            </w:r>
            <w:r>
              <w:rPr>
                <w:spacing w:val="-3"/>
                <w:sz w:val="24"/>
              </w:rPr>
              <w:t>规定，制</w:t>
            </w:r>
            <w:r>
              <w:rPr>
                <w:spacing w:val="-5"/>
                <w:w w:val="105"/>
                <w:sz w:val="24"/>
              </w:rPr>
              <w:t>定本项目管理剂量约束值，见表 </w:t>
            </w:r>
            <w:r>
              <w:rPr>
                <w:w w:val="105"/>
                <w:sz w:val="24"/>
              </w:rPr>
              <w:t>7-2。</w:t>
            </w:r>
            <w:r>
              <w:rPr>
                <w:w w:val="50"/>
                <w:sz w:val="24"/>
              </w:rPr>
              <w:t> </w:t>
            </w:r>
          </w:p>
          <w:p>
            <w:pPr>
              <w:pStyle w:val="TableParagraph"/>
              <w:tabs>
                <w:tab w:pos="3546" w:val="left" w:leader="none"/>
              </w:tabs>
              <w:spacing w:line="233" w:lineRule="exact"/>
              <w:ind w:left="2793"/>
              <w:jc w:val="left"/>
              <w:rPr>
                <w:sz w:val="24"/>
              </w:rPr>
            </w:pPr>
            <w:r>
              <w:rPr>
                <w:sz w:val="21"/>
              </w:rPr>
              <w:t>表</w:t>
            </w:r>
            <w:r>
              <w:rPr>
                <w:spacing w:val="-53"/>
                <w:sz w:val="21"/>
              </w:rPr>
              <w:t> </w:t>
            </w:r>
            <w:r>
              <w:rPr>
                <w:rFonts w:ascii="Times New Roman" w:eastAsia="Times New Roman"/>
                <w:sz w:val="21"/>
              </w:rPr>
              <w:t>7-2</w:t>
              <w:tab/>
            </w:r>
            <w:r>
              <w:rPr>
                <w:sz w:val="21"/>
              </w:rPr>
              <w:t>本</w:t>
            </w:r>
            <w:r>
              <w:rPr>
                <w:spacing w:val="-3"/>
                <w:sz w:val="21"/>
              </w:rPr>
              <w:t>项</w:t>
            </w:r>
            <w:r>
              <w:rPr>
                <w:sz w:val="21"/>
              </w:rPr>
              <w:t>目</w:t>
            </w:r>
            <w:r>
              <w:rPr>
                <w:spacing w:val="-3"/>
                <w:sz w:val="21"/>
              </w:rPr>
              <w:t>辐</w:t>
            </w:r>
            <w:r>
              <w:rPr>
                <w:sz w:val="21"/>
              </w:rPr>
              <w:t>射</w:t>
            </w:r>
            <w:r>
              <w:rPr>
                <w:spacing w:val="-3"/>
                <w:sz w:val="21"/>
              </w:rPr>
              <w:t>环</w:t>
            </w:r>
            <w:r>
              <w:rPr>
                <w:sz w:val="21"/>
              </w:rPr>
              <w:t>境</w:t>
            </w:r>
            <w:r>
              <w:rPr>
                <w:spacing w:val="-5"/>
                <w:sz w:val="21"/>
              </w:rPr>
              <w:t>影</w:t>
            </w:r>
            <w:r>
              <w:rPr>
                <w:sz w:val="21"/>
              </w:rPr>
              <w:t>响评</w:t>
            </w:r>
            <w:r>
              <w:rPr>
                <w:spacing w:val="-3"/>
                <w:sz w:val="21"/>
              </w:rPr>
              <w:t>价</w:t>
            </w:r>
            <w:r>
              <w:rPr>
                <w:sz w:val="21"/>
              </w:rPr>
              <w:t>标准</w:t>
            </w:r>
            <w:r>
              <w:rPr>
                <w:w w:val="50"/>
                <w:sz w:val="24"/>
              </w:rPr>
              <w:t> </w:t>
            </w:r>
          </w:p>
        </w:tc>
      </w:tr>
      <w:tr>
        <w:trPr>
          <w:trHeight w:val="397" w:hRule="atLeast"/>
        </w:trPr>
        <w:tc>
          <w:tcPr>
            <w:tcW w:w="1291" w:type="dxa"/>
            <w:tcBorders>
              <w:top w:val="single" w:sz="12" w:space="0" w:color="000000"/>
              <w:bottom w:val="single" w:sz="12" w:space="0" w:color="000000"/>
              <w:right w:val="single" w:sz="6" w:space="0" w:color="000000"/>
            </w:tcBorders>
          </w:tcPr>
          <w:p>
            <w:pPr>
              <w:pStyle w:val="TableParagraph"/>
              <w:spacing w:before="65"/>
              <w:ind w:left="232" w:right="163"/>
              <w:rPr>
                <w:sz w:val="21"/>
              </w:rPr>
            </w:pPr>
            <w:r>
              <w:rPr>
                <w:sz w:val="21"/>
              </w:rPr>
              <w:t>分类</w:t>
            </w:r>
          </w:p>
        </w:tc>
        <w:tc>
          <w:tcPr>
            <w:tcW w:w="4233" w:type="dxa"/>
            <w:tcBorders>
              <w:top w:val="single" w:sz="12" w:space="0" w:color="000000"/>
              <w:left w:val="single" w:sz="6" w:space="0" w:color="000000"/>
              <w:bottom w:val="single" w:sz="12" w:space="0" w:color="000000"/>
              <w:right w:val="single" w:sz="6" w:space="0" w:color="000000"/>
            </w:tcBorders>
          </w:tcPr>
          <w:p>
            <w:pPr>
              <w:pStyle w:val="TableParagraph"/>
              <w:spacing w:before="65"/>
              <w:ind w:left="174" w:right="164"/>
              <w:rPr>
                <w:sz w:val="21"/>
              </w:rPr>
            </w:pPr>
            <w:r>
              <w:rPr>
                <w:sz w:val="21"/>
              </w:rPr>
              <w:t>基本标准限值（</w:t>
            </w:r>
            <w:r>
              <w:rPr>
                <w:rFonts w:ascii="Times New Roman" w:eastAsia="Times New Roman"/>
                <w:sz w:val="21"/>
              </w:rPr>
              <w:t>GB18871-2002</w:t>
            </w:r>
            <w:r>
              <w:rPr>
                <w:sz w:val="21"/>
              </w:rPr>
              <w:t>） (</w:t>
            </w:r>
            <w:r>
              <w:rPr>
                <w:rFonts w:ascii="Times New Roman" w:eastAsia="Times New Roman"/>
                <w:sz w:val="21"/>
              </w:rPr>
              <w:t>mSv/a</w:t>
            </w:r>
            <w:r>
              <w:rPr>
                <w:sz w:val="21"/>
              </w:rPr>
              <w:t>)</w:t>
            </w:r>
          </w:p>
        </w:tc>
        <w:tc>
          <w:tcPr>
            <w:tcW w:w="3547" w:type="dxa"/>
            <w:tcBorders>
              <w:top w:val="single" w:sz="12" w:space="0" w:color="000000"/>
              <w:left w:val="single" w:sz="6" w:space="0" w:color="000000"/>
              <w:bottom w:val="single" w:sz="12" w:space="0" w:color="000000"/>
            </w:tcBorders>
          </w:tcPr>
          <w:p>
            <w:pPr>
              <w:pStyle w:val="TableParagraph"/>
              <w:spacing w:before="65"/>
              <w:ind w:left="375" w:right="424"/>
              <w:rPr>
                <w:sz w:val="21"/>
              </w:rPr>
            </w:pPr>
            <w:r>
              <w:rPr>
                <w:sz w:val="21"/>
              </w:rPr>
              <w:t>剂量约束值</w:t>
            </w:r>
            <w:r>
              <w:rPr>
                <w:rFonts w:ascii="Times New Roman" w:eastAsia="Times New Roman"/>
                <w:sz w:val="21"/>
              </w:rPr>
              <w:t>/</w:t>
            </w:r>
            <w:r>
              <w:rPr>
                <w:sz w:val="21"/>
              </w:rPr>
              <w:t>评价标准(</w:t>
            </w:r>
            <w:r>
              <w:rPr>
                <w:rFonts w:ascii="Times New Roman" w:eastAsia="Times New Roman"/>
                <w:sz w:val="21"/>
              </w:rPr>
              <w:t>mSv/a</w:t>
            </w:r>
            <w:r>
              <w:rPr>
                <w:sz w:val="21"/>
              </w:rPr>
              <w:t>)</w:t>
            </w:r>
          </w:p>
        </w:tc>
      </w:tr>
      <w:tr>
        <w:trPr>
          <w:trHeight w:val="397" w:hRule="atLeast"/>
        </w:trPr>
        <w:tc>
          <w:tcPr>
            <w:tcW w:w="1291" w:type="dxa"/>
            <w:tcBorders>
              <w:top w:val="single" w:sz="12" w:space="0" w:color="000000"/>
              <w:bottom w:val="single" w:sz="6" w:space="0" w:color="000000"/>
              <w:right w:val="single" w:sz="6" w:space="0" w:color="000000"/>
            </w:tcBorders>
          </w:tcPr>
          <w:p>
            <w:pPr>
              <w:pStyle w:val="TableParagraph"/>
              <w:spacing w:before="65"/>
              <w:ind w:left="235" w:right="163"/>
              <w:rPr>
                <w:sz w:val="21"/>
              </w:rPr>
            </w:pPr>
            <w:r>
              <w:rPr>
                <w:sz w:val="21"/>
              </w:rPr>
              <w:t>职业照射</w:t>
            </w:r>
          </w:p>
        </w:tc>
        <w:tc>
          <w:tcPr>
            <w:tcW w:w="4233" w:type="dxa"/>
            <w:tcBorders>
              <w:top w:val="single" w:sz="12" w:space="0" w:color="000000"/>
              <w:left w:val="single" w:sz="6" w:space="0" w:color="000000"/>
              <w:bottom w:val="single" w:sz="6" w:space="0" w:color="000000"/>
              <w:right w:val="single" w:sz="6" w:space="0" w:color="000000"/>
            </w:tcBorders>
          </w:tcPr>
          <w:p>
            <w:pPr>
              <w:pStyle w:val="TableParagraph"/>
              <w:spacing w:before="65"/>
              <w:ind w:left="174" w:right="162"/>
              <w:rPr>
                <w:sz w:val="21"/>
              </w:rPr>
            </w:pPr>
            <w:r>
              <w:rPr>
                <w:rFonts w:ascii="Times New Roman" w:eastAsia="Times New Roman"/>
                <w:sz w:val="21"/>
              </w:rPr>
              <w:t>20</w:t>
            </w:r>
            <w:r>
              <w:rPr>
                <w:sz w:val="21"/>
              </w:rPr>
              <w:t>（有效剂量）</w:t>
            </w:r>
          </w:p>
        </w:tc>
        <w:tc>
          <w:tcPr>
            <w:tcW w:w="3547" w:type="dxa"/>
            <w:tcBorders>
              <w:top w:val="single" w:sz="12" w:space="0" w:color="000000"/>
              <w:left w:val="single" w:sz="6" w:space="0" w:color="000000"/>
              <w:bottom w:val="single" w:sz="6" w:space="0" w:color="000000"/>
            </w:tcBorders>
          </w:tcPr>
          <w:p>
            <w:pPr>
              <w:pStyle w:val="TableParagraph"/>
              <w:spacing w:before="65"/>
              <w:ind w:left="375" w:right="420"/>
              <w:rPr>
                <w:sz w:val="21"/>
              </w:rPr>
            </w:pPr>
            <w:r>
              <w:rPr>
                <w:rFonts w:ascii="Times New Roman" w:eastAsia="Times New Roman"/>
                <w:sz w:val="21"/>
              </w:rPr>
              <w:t>5</w:t>
            </w:r>
            <w:r>
              <w:rPr>
                <w:sz w:val="21"/>
              </w:rPr>
              <w:t>（有效剂量）</w:t>
            </w:r>
          </w:p>
        </w:tc>
      </w:tr>
      <w:tr>
        <w:trPr>
          <w:trHeight w:val="397" w:hRule="atLeast"/>
        </w:trPr>
        <w:tc>
          <w:tcPr>
            <w:tcW w:w="1291" w:type="dxa"/>
            <w:tcBorders>
              <w:top w:val="single" w:sz="6" w:space="0" w:color="000000"/>
              <w:bottom w:val="single" w:sz="12" w:space="0" w:color="000000"/>
              <w:right w:val="single" w:sz="6" w:space="0" w:color="000000"/>
            </w:tcBorders>
          </w:tcPr>
          <w:p>
            <w:pPr>
              <w:pStyle w:val="TableParagraph"/>
              <w:spacing w:before="65"/>
              <w:ind w:left="235" w:right="163"/>
              <w:rPr>
                <w:sz w:val="21"/>
              </w:rPr>
            </w:pPr>
            <w:r>
              <w:rPr>
                <w:sz w:val="21"/>
              </w:rPr>
              <w:t>公众照射</w:t>
            </w:r>
          </w:p>
        </w:tc>
        <w:tc>
          <w:tcPr>
            <w:tcW w:w="4233" w:type="dxa"/>
            <w:tcBorders>
              <w:top w:val="single" w:sz="6" w:space="0" w:color="000000"/>
              <w:left w:val="single" w:sz="6" w:space="0" w:color="000000"/>
              <w:bottom w:val="single" w:sz="12" w:space="0" w:color="000000"/>
              <w:right w:val="single" w:sz="6" w:space="0" w:color="000000"/>
            </w:tcBorders>
          </w:tcPr>
          <w:p>
            <w:pPr>
              <w:pStyle w:val="TableParagraph"/>
              <w:spacing w:before="65"/>
              <w:ind w:left="174" w:right="162"/>
              <w:rPr>
                <w:sz w:val="21"/>
              </w:rPr>
            </w:pPr>
            <w:r>
              <w:rPr>
                <w:rFonts w:ascii="Times New Roman" w:eastAsia="Times New Roman"/>
                <w:sz w:val="21"/>
              </w:rPr>
              <w:t>1</w:t>
            </w:r>
            <w:r>
              <w:rPr>
                <w:sz w:val="21"/>
              </w:rPr>
              <w:t>（有效剂量）</w:t>
            </w:r>
          </w:p>
        </w:tc>
        <w:tc>
          <w:tcPr>
            <w:tcW w:w="3547" w:type="dxa"/>
            <w:tcBorders>
              <w:top w:val="single" w:sz="6" w:space="0" w:color="000000"/>
              <w:left w:val="single" w:sz="6" w:space="0" w:color="000000"/>
              <w:bottom w:val="single" w:sz="12" w:space="0" w:color="000000"/>
            </w:tcBorders>
          </w:tcPr>
          <w:p>
            <w:pPr>
              <w:pStyle w:val="TableParagraph"/>
              <w:spacing w:before="65"/>
              <w:ind w:left="375" w:right="423"/>
              <w:rPr>
                <w:sz w:val="21"/>
              </w:rPr>
            </w:pPr>
            <w:r>
              <w:rPr>
                <w:rFonts w:ascii="Times New Roman" w:eastAsia="Times New Roman"/>
                <w:sz w:val="21"/>
              </w:rPr>
              <w:t>0.1</w:t>
            </w:r>
            <w:r>
              <w:rPr>
                <w:sz w:val="21"/>
              </w:rPr>
              <w:t>（有效剂量）</w:t>
            </w:r>
          </w:p>
        </w:tc>
      </w:tr>
      <w:tr>
        <w:trPr>
          <w:trHeight w:val="3743" w:hRule="atLeast"/>
        </w:trPr>
        <w:tc>
          <w:tcPr>
            <w:tcW w:w="9071" w:type="dxa"/>
            <w:gridSpan w:val="3"/>
            <w:tcBorders>
              <w:top w:val="single" w:sz="12" w:space="0" w:color="000000"/>
            </w:tcBorders>
          </w:tcPr>
          <w:p>
            <w:pPr>
              <w:pStyle w:val="TableParagraph"/>
              <w:spacing w:before="81"/>
              <w:ind w:left="590"/>
              <w:jc w:val="left"/>
              <w:rPr>
                <w:sz w:val="24"/>
              </w:rPr>
            </w:pPr>
            <w:r>
              <w:rPr>
                <w:sz w:val="24"/>
              </w:rPr>
              <w:t>4、剂量控制水平</w:t>
            </w:r>
            <w:r>
              <w:rPr>
                <w:w w:val="50"/>
                <w:sz w:val="24"/>
              </w:rPr>
              <w:t> </w:t>
            </w:r>
          </w:p>
          <w:p>
            <w:pPr>
              <w:pStyle w:val="TableParagraph"/>
              <w:spacing w:before="160"/>
              <w:ind w:left="587"/>
              <w:jc w:val="left"/>
              <w:rPr>
                <w:sz w:val="24"/>
              </w:rPr>
            </w:pPr>
            <w:r>
              <w:rPr>
                <w:spacing w:val="3"/>
                <w:sz w:val="24"/>
              </w:rPr>
              <w:t>介入治疗室工作场所边界周围剂量率控制水平参照《放射诊断放射防护要求》</w:t>
            </w:r>
          </w:p>
          <w:p>
            <w:pPr>
              <w:pStyle w:val="TableParagraph"/>
              <w:spacing w:before="161"/>
              <w:ind w:left="107"/>
              <w:jc w:val="left"/>
              <w:rPr>
                <w:sz w:val="24"/>
              </w:rPr>
            </w:pPr>
            <w:r>
              <w:rPr>
                <w:sz w:val="24"/>
              </w:rPr>
              <w:t>（</w:t>
            </w:r>
            <w:r>
              <w:rPr>
                <w:rFonts w:ascii="Times New Roman" w:eastAsia="Times New Roman"/>
                <w:sz w:val="24"/>
              </w:rPr>
              <w:t>GBZ130-2020</w:t>
            </w:r>
            <w:r>
              <w:rPr>
                <w:sz w:val="24"/>
              </w:rPr>
              <w:t>）</w:t>
            </w:r>
            <w:r>
              <w:rPr>
                <w:spacing w:val="6"/>
                <w:sz w:val="24"/>
              </w:rPr>
              <w:t>有关规定，本项目介入治疗室屏蔽体外 </w:t>
            </w:r>
            <w:r>
              <w:rPr>
                <w:rFonts w:ascii="Times New Roman" w:eastAsia="Times New Roman"/>
                <w:sz w:val="24"/>
              </w:rPr>
              <w:t>30cm</w:t>
            </w:r>
            <w:r>
              <w:rPr>
                <w:rFonts w:ascii="Times New Roman" w:eastAsia="Times New Roman"/>
                <w:spacing w:val="7"/>
                <w:sz w:val="24"/>
              </w:rPr>
              <w:t>  </w:t>
            </w:r>
            <w:r>
              <w:rPr>
                <w:spacing w:val="6"/>
                <w:sz w:val="24"/>
              </w:rPr>
              <w:t>处剂量控制水平为</w:t>
            </w:r>
          </w:p>
          <w:p>
            <w:pPr>
              <w:pStyle w:val="TableParagraph"/>
              <w:spacing w:before="160"/>
              <w:ind w:left="107"/>
              <w:jc w:val="left"/>
              <w:rPr>
                <w:sz w:val="24"/>
              </w:rPr>
            </w:pPr>
            <w:r>
              <w:rPr>
                <w:rFonts w:ascii="Times New Roman" w:hAnsi="Times New Roman" w:eastAsia="Times New Roman"/>
                <w:sz w:val="24"/>
              </w:rPr>
              <w:t>2.5μSv/h</w:t>
            </w:r>
            <w:r>
              <w:rPr>
                <w:sz w:val="24"/>
              </w:rPr>
              <w:t>。</w:t>
            </w:r>
          </w:p>
        </w:tc>
      </w:tr>
    </w:tbl>
    <w:p>
      <w:pPr>
        <w:rPr>
          <w:sz w:val="2"/>
          <w:szCs w:val="2"/>
        </w:rPr>
      </w:pPr>
      <w:r>
        <w:rPr/>
        <w:pict>
          <v:shape style="position:absolute;margin-left:84.480003pt;margin-top:86.279945pt;width:449.9pt;height:113.2pt;mso-position-horizontal-relative:page;mso-position-vertical-relative:page;z-index:1192"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05"/>
                    <w:gridCol w:w="1983"/>
                    <w:gridCol w:w="1985"/>
                    <w:gridCol w:w="1983"/>
                    <w:gridCol w:w="1501"/>
                  </w:tblGrid>
                  <w:tr>
                    <w:trPr>
                      <w:trHeight w:val="311" w:hRule="atLeast"/>
                    </w:trPr>
                    <w:tc>
                      <w:tcPr>
                        <w:tcW w:w="1505" w:type="dxa"/>
                        <w:vMerge w:val="restart"/>
                        <w:tcBorders>
                          <w:left w:val="nil"/>
                          <w:bottom w:val="single" w:sz="4" w:space="0" w:color="000000"/>
                          <w:right w:val="single" w:sz="4" w:space="0" w:color="000000"/>
                        </w:tcBorders>
                      </w:tcPr>
                      <w:p>
                        <w:pPr>
                          <w:pStyle w:val="TableParagraph"/>
                          <w:spacing w:before="192"/>
                          <w:ind w:left="136"/>
                          <w:jc w:val="left"/>
                          <w:rPr>
                            <w:sz w:val="21"/>
                          </w:rPr>
                        </w:pPr>
                        <w:r>
                          <w:rPr>
                            <w:sz w:val="21"/>
                          </w:rPr>
                          <w:t>放射检查类型</w:t>
                        </w:r>
                      </w:p>
                    </w:tc>
                    <w:tc>
                      <w:tcPr>
                        <w:tcW w:w="3968" w:type="dxa"/>
                        <w:gridSpan w:val="2"/>
                        <w:tcBorders>
                          <w:left w:val="single" w:sz="4" w:space="0" w:color="000000"/>
                          <w:bottom w:val="single" w:sz="4" w:space="0" w:color="000000"/>
                          <w:right w:val="single" w:sz="4" w:space="0" w:color="000000"/>
                        </w:tcBorders>
                      </w:tcPr>
                      <w:p>
                        <w:pPr>
                          <w:pStyle w:val="TableParagraph"/>
                          <w:spacing w:before="22"/>
                          <w:ind w:left="1552" w:right="1525"/>
                          <w:rPr>
                            <w:sz w:val="21"/>
                          </w:rPr>
                        </w:pPr>
                        <w:r>
                          <w:rPr>
                            <w:sz w:val="21"/>
                          </w:rPr>
                          <w:t>工作人员</w:t>
                        </w:r>
                      </w:p>
                    </w:tc>
                    <w:tc>
                      <w:tcPr>
                        <w:tcW w:w="3484" w:type="dxa"/>
                        <w:gridSpan w:val="2"/>
                        <w:tcBorders>
                          <w:left w:val="single" w:sz="4" w:space="0" w:color="000000"/>
                          <w:bottom w:val="single" w:sz="4" w:space="0" w:color="000000"/>
                          <w:right w:val="nil"/>
                        </w:tcBorders>
                      </w:tcPr>
                      <w:p>
                        <w:pPr>
                          <w:pStyle w:val="TableParagraph"/>
                          <w:spacing w:before="22"/>
                          <w:ind w:left="1415" w:right="1393"/>
                          <w:rPr>
                            <w:sz w:val="21"/>
                          </w:rPr>
                        </w:pPr>
                        <w:r>
                          <w:rPr>
                            <w:sz w:val="21"/>
                          </w:rPr>
                          <w:t>受检者</w:t>
                        </w:r>
                      </w:p>
                    </w:tc>
                  </w:tr>
                  <w:tr>
                    <w:trPr>
                      <w:trHeight w:val="333" w:hRule="atLeast"/>
                    </w:trPr>
                    <w:tc>
                      <w:tcPr>
                        <w:tcW w:w="1505" w:type="dxa"/>
                        <w:vMerge/>
                        <w:tcBorders>
                          <w:top w:val="nil"/>
                          <w:left w:val="nil"/>
                          <w:bottom w:val="single" w:sz="4" w:space="0" w:color="000000"/>
                          <w:right w:val="single" w:sz="4" w:space="0" w:color="000000"/>
                        </w:tcBorders>
                      </w:tcPr>
                      <w:p>
                        <w:pPr>
                          <w:rPr>
                            <w:sz w:val="2"/>
                            <w:szCs w:val="2"/>
                          </w:rPr>
                        </w:pP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44"/>
                          <w:ind w:left="369"/>
                          <w:jc w:val="left"/>
                          <w:rPr>
                            <w:sz w:val="21"/>
                          </w:rPr>
                        </w:pPr>
                        <w:r>
                          <w:rPr>
                            <w:sz w:val="21"/>
                          </w:rPr>
                          <w:t>个人防护用品</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before="44"/>
                          <w:ind w:left="370"/>
                          <w:jc w:val="left"/>
                          <w:rPr>
                            <w:sz w:val="21"/>
                          </w:rPr>
                        </w:pPr>
                        <w:r>
                          <w:rPr>
                            <w:sz w:val="21"/>
                          </w:rPr>
                          <w:t>辅助防护设施</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44"/>
                          <w:ind w:left="368"/>
                          <w:jc w:val="left"/>
                          <w:rPr>
                            <w:sz w:val="21"/>
                          </w:rPr>
                        </w:pPr>
                        <w:r>
                          <w:rPr>
                            <w:sz w:val="21"/>
                          </w:rPr>
                          <w:t>个人防护用品</w:t>
                        </w:r>
                      </w:p>
                    </w:tc>
                    <w:tc>
                      <w:tcPr>
                        <w:tcW w:w="1501" w:type="dxa"/>
                        <w:tcBorders>
                          <w:top w:val="single" w:sz="4" w:space="0" w:color="000000"/>
                          <w:left w:val="single" w:sz="4" w:space="0" w:color="000000"/>
                          <w:bottom w:val="single" w:sz="4" w:space="0" w:color="000000"/>
                          <w:right w:val="nil"/>
                        </w:tcBorders>
                      </w:tcPr>
                      <w:p>
                        <w:pPr>
                          <w:pStyle w:val="TableParagraph"/>
                          <w:spacing w:before="44"/>
                          <w:ind w:left="109" w:right="87"/>
                          <w:rPr>
                            <w:sz w:val="21"/>
                          </w:rPr>
                        </w:pPr>
                        <w:r>
                          <w:rPr>
                            <w:sz w:val="21"/>
                          </w:rPr>
                          <w:t>辅助防护设施</w:t>
                        </w:r>
                      </w:p>
                    </w:tc>
                  </w:tr>
                  <w:tr>
                    <w:trPr>
                      <w:trHeight w:val="1559" w:hRule="atLeast"/>
                    </w:trPr>
                    <w:tc>
                      <w:tcPr>
                        <w:tcW w:w="1505" w:type="dxa"/>
                        <w:tcBorders>
                          <w:top w:val="single" w:sz="4" w:space="0" w:color="000000"/>
                          <w:left w:val="nil"/>
                          <w:bottom w:val="single" w:sz="4" w:space="0" w:color="000000"/>
                          <w:right w:val="single" w:sz="4" w:space="0" w:color="000000"/>
                        </w:tcBorders>
                      </w:tcPr>
                      <w:p>
                        <w:pPr>
                          <w:pStyle w:val="TableParagraph"/>
                          <w:jc w:val="left"/>
                          <w:rPr>
                            <w:sz w:val="24"/>
                          </w:rPr>
                        </w:pPr>
                      </w:p>
                      <w:p>
                        <w:pPr>
                          <w:pStyle w:val="TableParagraph"/>
                          <w:spacing w:before="5"/>
                          <w:jc w:val="left"/>
                          <w:rPr>
                            <w:sz w:val="26"/>
                          </w:rPr>
                        </w:pPr>
                      </w:p>
                      <w:p>
                        <w:pPr>
                          <w:pStyle w:val="TableParagraph"/>
                          <w:spacing w:before="1"/>
                          <w:ind w:left="136"/>
                          <w:jc w:val="left"/>
                          <w:rPr>
                            <w:sz w:val="21"/>
                          </w:rPr>
                        </w:pPr>
                        <w:r>
                          <w:rPr>
                            <w:sz w:val="21"/>
                          </w:rPr>
                          <w:t>介入放射操作</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60" w:right="127"/>
                          <w:jc w:val="both"/>
                          <w:rPr>
                            <w:sz w:val="21"/>
                          </w:rPr>
                        </w:pPr>
                        <w:r>
                          <w:rPr>
                            <w:sz w:val="21"/>
                          </w:rPr>
                          <w:t>铅橡胶围裙、铅橡胶颈套、铅防护眼镜、介入防护手套选配：铅橡胶帽子</w:t>
                        </w:r>
                      </w:p>
                    </w:tc>
                    <w:tc>
                      <w:tcPr>
                        <w:tcW w:w="1985"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22"/>
                          <w:ind w:left="116" w:right="84"/>
                          <w:jc w:val="left"/>
                          <w:rPr>
                            <w:sz w:val="21"/>
                          </w:rPr>
                        </w:pPr>
                        <w:r>
                          <w:rPr>
                            <w:sz w:val="21"/>
                          </w:rPr>
                          <w:t>铅悬挂防护屏</w:t>
                        </w:r>
                        <w:r>
                          <w:rPr>
                            <w:rFonts w:ascii="Times New Roman" w:eastAsia="Times New Roman"/>
                            <w:sz w:val="21"/>
                          </w:rPr>
                          <w:t>/</w:t>
                        </w:r>
                        <w:r>
                          <w:rPr>
                            <w:sz w:val="21"/>
                          </w:rPr>
                          <w:t>铅防护吊帘</w:t>
                        </w:r>
                        <w:r>
                          <w:rPr>
                            <w:rFonts w:ascii="Times New Roman" w:eastAsia="Times New Roman"/>
                            <w:sz w:val="21"/>
                          </w:rPr>
                          <w:t>/</w:t>
                        </w:r>
                        <w:r>
                          <w:rPr>
                            <w:sz w:val="21"/>
                          </w:rPr>
                          <w:t>床侧防护帘</w:t>
                        </w:r>
                      </w:p>
                      <w:p>
                        <w:pPr>
                          <w:pStyle w:val="TableParagraph"/>
                          <w:spacing w:line="269" w:lineRule="exact"/>
                          <w:ind w:left="116"/>
                          <w:jc w:val="left"/>
                          <w:rPr>
                            <w:sz w:val="21"/>
                          </w:rPr>
                        </w:pPr>
                        <w:r>
                          <w:rPr>
                            <w:rFonts w:ascii="Times New Roman" w:eastAsia="Times New Roman"/>
                            <w:sz w:val="21"/>
                          </w:rPr>
                          <w:t>/</w:t>
                        </w:r>
                        <w:r>
                          <w:rPr>
                            <w:sz w:val="21"/>
                          </w:rPr>
                          <w:t>床侧防护屏</w:t>
                        </w:r>
                      </w:p>
                      <w:p>
                        <w:pPr>
                          <w:pStyle w:val="TableParagraph"/>
                          <w:spacing w:line="310" w:lineRule="atLeast" w:before="2"/>
                          <w:ind w:left="116" w:right="84"/>
                          <w:jc w:val="left"/>
                          <w:rPr>
                            <w:sz w:val="21"/>
                          </w:rPr>
                        </w:pPr>
                        <w:r>
                          <w:rPr>
                            <w:sz w:val="21"/>
                          </w:rPr>
                          <w:t>选配：移动铅防护屏风</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78" w:lineRule="auto" w:before="178"/>
                          <w:ind w:left="116" w:right="-29"/>
                          <w:jc w:val="left"/>
                          <w:rPr>
                            <w:sz w:val="21"/>
                          </w:rPr>
                        </w:pPr>
                        <w:r>
                          <w:rPr>
                            <w:spacing w:val="7"/>
                            <w:sz w:val="21"/>
                          </w:rPr>
                          <w:t>铅橡胶性腺防护围</w:t>
                        </w:r>
                        <w:r>
                          <w:rPr>
                            <w:spacing w:val="-11"/>
                            <w:sz w:val="21"/>
                          </w:rPr>
                          <w:t>裙</w:t>
                        </w:r>
                        <w:r>
                          <w:rPr>
                            <w:sz w:val="21"/>
                          </w:rPr>
                          <w:t>（</w:t>
                        </w:r>
                        <w:r>
                          <w:rPr>
                            <w:spacing w:val="-2"/>
                            <w:sz w:val="21"/>
                          </w:rPr>
                          <w:t>方形</w:t>
                        </w:r>
                        <w:r>
                          <w:rPr>
                            <w:spacing w:val="-9"/>
                            <w:sz w:val="21"/>
                          </w:rPr>
                          <w:t>）</w:t>
                        </w:r>
                        <w:r>
                          <w:rPr>
                            <w:spacing w:val="-3"/>
                            <w:sz w:val="21"/>
                          </w:rPr>
                          <w:t>或方巾、铅橡胶颈套</w:t>
                        </w:r>
                      </w:p>
                      <w:p>
                        <w:pPr>
                          <w:pStyle w:val="TableParagraph"/>
                          <w:spacing w:line="269" w:lineRule="exact"/>
                          <w:ind w:left="116"/>
                          <w:jc w:val="left"/>
                          <w:rPr>
                            <w:sz w:val="21"/>
                          </w:rPr>
                        </w:pPr>
                        <w:r>
                          <w:rPr>
                            <w:sz w:val="21"/>
                          </w:rPr>
                          <w:t>选配：铅橡胶帽子</w:t>
                        </w:r>
                      </w:p>
                    </w:tc>
                    <w:tc>
                      <w:tcPr>
                        <w:tcW w:w="1501" w:type="dxa"/>
                        <w:tcBorders>
                          <w:top w:val="single" w:sz="4" w:space="0" w:color="000000"/>
                          <w:left w:val="single" w:sz="4" w:space="0" w:color="000000"/>
                          <w:bottom w:val="single" w:sz="4" w:space="0" w:color="000000"/>
                          <w:right w:val="nil"/>
                        </w:tcBorders>
                      </w:tcPr>
                      <w:p>
                        <w:pPr>
                          <w:pStyle w:val="TableParagraph"/>
                          <w:jc w:val="left"/>
                          <w:rPr>
                            <w:sz w:val="22"/>
                          </w:rPr>
                        </w:pPr>
                      </w:p>
                      <w:p>
                        <w:pPr>
                          <w:pStyle w:val="TableParagraph"/>
                          <w:spacing w:before="7"/>
                          <w:jc w:val="left"/>
                          <w:rPr>
                            <w:sz w:val="29"/>
                          </w:rPr>
                        </w:pPr>
                      </w:p>
                      <w:p>
                        <w:pPr>
                          <w:pStyle w:val="TableParagraph"/>
                          <w:ind w:left="17"/>
                          <w:rPr>
                            <w:rFonts w:ascii="Times New Roman" w:hAnsi="Times New Roman"/>
                            <w:sz w:val="21"/>
                          </w:rPr>
                        </w:pPr>
                        <w:r>
                          <w:rPr>
                            <w:rFonts w:ascii="Times New Roman" w:hAnsi="Times New Roman"/>
                            <w:w w:val="100"/>
                            <w:sz w:val="21"/>
                          </w:rPr>
                          <w:t>—</w:t>
                        </w:r>
                      </w:p>
                    </w:tc>
                  </w:tr>
                </w:tbl>
                <w:p>
                  <w:pPr>
                    <w:pStyle w:val="BodyText"/>
                  </w:pPr>
                </w:p>
              </w:txbxContent>
            </v:textbox>
            <w10:wrap type="none"/>
          </v:shape>
        </w:pict>
      </w:r>
    </w:p>
    <w:p>
      <w:pPr>
        <w:spacing w:after="0"/>
        <w:rPr>
          <w:sz w:val="2"/>
          <w:szCs w:val="2"/>
        </w:rPr>
        <w:sectPr>
          <w:pgSz w:w="11910" w:h="16840"/>
          <w:pgMar w:header="0" w:footer="881" w:top="1220" w:bottom="1080" w:left="1480" w:right="1020"/>
        </w:sectPr>
      </w:pPr>
    </w:p>
    <w:p>
      <w:pPr>
        <w:pStyle w:val="Heading1"/>
      </w:pPr>
      <w:r>
        <w:rPr/>
        <w:pict>
          <v:group style="position:absolute;margin-left:81.959999pt;margin-top:93.599945pt;width:454.1pt;height:664pt;mso-position-horizontal-relative:page;mso-position-vertical-relative:page;z-index:-212032" coordorigin="1639,1872" coordsize="9082,13280">
            <v:line style="position:absolute" from="1639,1877" to="10711,1877" stroked="true" strokeweight=".479999pt" strokecolor="#000000">
              <v:stroke dashstyle="solid"/>
            </v:line>
            <v:line style="position:absolute" from="1644,1882" to="1644,15151" stroked="true" strokeweight=".479999pt" strokecolor="#000000">
              <v:stroke dashstyle="solid"/>
            </v:line>
            <v:line style="position:absolute" from="1639,15146" to="10711,15146" stroked="true" strokeweight=".480011pt" strokecolor="#000000">
              <v:stroke dashstyle="solid"/>
            </v:line>
            <v:line style="position:absolute" from="10716,1872" to="10716,15151" stroked="true" strokeweight=".479966pt" strokecolor="#000000">
              <v:stroke dashstyle="solid"/>
            </v:line>
            <w10:wrap type="none"/>
          </v:group>
        </w:pict>
      </w:r>
      <w:r>
        <w:rPr/>
        <w:t>表 8 环境质量和辐射现状</w:t>
      </w:r>
      <w:r>
        <w:rPr>
          <w:w w:val="50"/>
        </w:rPr>
        <w:t> </w:t>
      </w:r>
    </w:p>
    <w:p>
      <w:pPr>
        <w:spacing w:before="275"/>
        <w:ind w:left="262" w:right="0" w:firstLine="0"/>
        <w:jc w:val="left"/>
        <w:rPr>
          <w:sz w:val="28"/>
        </w:rPr>
      </w:pPr>
      <w:r>
        <w:rPr>
          <w:sz w:val="28"/>
        </w:rPr>
        <w:t>环境质量和辐射现状</w:t>
      </w:r>
      <w:r>
        <w:rPr>
          <w:w w:val="50"/>
          <w:sz w:val="28"/>
        </w:rPr>
        <w:t> </w:t>
      </w:r>
    </w:p>
    <w:p>
      <w:pPr>
        <w:pStyle w:val="BodyText"/>
        <w:spacing w:before="214"/>
        <w:ind w:left="754"/>
      </w:pPr>
      <w:r>
        <w:rPr/>
        <w:t>一、项目位置、布局和周边环境</w:t>
      </w:r>
      <w:r>
        <w:rPr>
          <w:w w:val="50"/>
        </w:rPr>
        <w:t> </w:t>
      </w:r>
    </w:p>
    <w:p>
      <w:pPr>
        <w:pStyle w:val="BodyText"/>
        <w:spacing w:before="160"/>
        <w:ind w:left="754"/>
      </w:pPr>
      <w:r>
        <w:rPr/>
        <w:t>1、三台县中医院外环境关系</w:t>
      </w:r>
      <w:r>
        <w:rPr>
          <w:w w:val="50"/>
        </w:rPr>
        <w:t> </w:t>
      </w:r>
    </w:p>
    <w:p>
      <w:pPr>
        <w:pStyle w:val="BodyText"/>
        <w:spacing w:line="364" w:lineRule="auto" w:before="161"/>
        <w:ind w:left="272" w:right="156" w:firstLine="480"/>
      </w:pPr>
      <w:r>
        <w:rPr>
          <w:spacing w:val="-1"/>
        </w:rPr>
        <w:t>三台县中医院位于四川省绵阳市三台县潼川镇学街 </w:t>
      </w:r>
      <w:r>
        <w:rPr>
          <w:rFonts w:ascii="Times New Roman" w:eastAsia="Times New Roman"/>
        </w:rPr>
        <w:t>31 </w:t>
      </w:r>
      <w:r>
        <w:rPr/>
        <w:t>号。医院东侧院界外紧邻</w:t>
      </w:r>
      <w:r>
        <w:rPr>
          <w:spacing w:val="-7"/>
        </w:rPr>
        <w:t>盛地嘉园小区及东升巷；南侧院界外紧邻广洋楼小区</w:t>
      </w:r>
      <w:r>
        <w:rPr/>
        <w:t>（</w:t>
      </w:r>
      <w:r>
        <w:rPr>
          <w:spacing w:val="-8"/>
        </w:rPr>
        <w:t>距介入治疗室约 </w:t>
      </w:r>
      <w:r>
        <w:rPr>
          <w:rFonts w:ascii="Times New Roman" w:eastAsia="Times New Roman"/>
          <w:spacing w:val="-13"/>
        </w:rPr>
        <w:t>30m</w:t>
      </w:r>
      <w:r>
        <w:rPr>
          <w:spacing w:val="-13"/>
        </w:rPr>
        <w:t>）</w:t>
      </w:r>
      <w:r>
        <w:rPr>
          <w:spacing w:val="-4"/>
        </w:rPr>
        <w:t>及学街； </w:t>
      </w:r>
      <w:r>
        <w:rPr>
          <w:spacing w:val="-1"/>
        </w:rPr>
        <w:t>西侧院界外紧邻百货公司宿舍</w:t>
      </w:r>
      <w:r>
        <w:rPr/>
        <w:t>（</w:t>
      </w:r>
      <w:r>
        <w:rPr>
          <w:spacing w:val="-8"/>
        </w:rPr>
        <w:t>距介入治疗室约 </w:t>
      </w:r>
      <w:r>
        <w:rPr>
          <w:rFonts w:ascii="Times New Roman" w:eastAsia="Times New Roman"/>
          <w:spacing w:val="-3"/>
        </w:rPr>
        <w:t>20m</w:t>
      </w:r>
      <w:r>
        <w:rPr>
          <w:spacing w:val="-3"/>
        </w:rPr>
        <w:t>）</w:t>
      </w:r>
      <w:r>
        <w:rPr>
          <w:spacing w:val="-8"/>
        </w:rPr>
        <w:t>及上南街；北侧院界外约 </w:t>
      </w:r>
      <w:r>
        <w:rPr>
          <w:rFonts w:ascii="Times New Roman" w:eastAsia="Times New Roman"/>
        </w:rPr>
        <w:t>50m </w:t>
      </w:r>
      <w:r>
        <w:rPr/>
        <w:t>为院外道路及上东街。</w:t>
      </w:r>
    </w:p>
    <w:p>
      <w:pPr>
        <w:pStyle w:val="BodyText"/>
        <w:spacing w:before="2"/>
        <w:ind w:left="752"/>
      </w:pPr>
      <w:r>
        <w:rPr/>
        <w:t>地理位置详见附图 </w:t>
      </w:r>
      <w:r>
        <w:rPr>
          <w:rFonts w:ascii="Times New Roman" w:eastAsia="Times New Roman"/>
        </w:rPr>
        <w:t>1</w:t>
      </w:r>
      <w:r>
        <w:rPr/>
        <w:t>，医院周围环境及总平面示意图详见附图 </w:t>
      </w:r>
      <w:r>
        <w:rPr>
          <w:rFonts w:ascii="Times New Roman" w:eastAsia="Times New Roman"/>
        </w:rPr>
        <w:t>2</w:t>
      </w:r>
      <w:r>
        <w:rPr/>
        <w:t>。</w:t>
      </w:r>
    </w:p>
    <w:p>
      <w:pPr>
        <w:pStyle w:val="BodyText"/>
        <w:spacing w:before="161"/>
        <w:ind w:left="754"/>
      </w:pPr>
      <w:r>
        <w:rPr/>
        <w:t>2、行政楼外环境关系</w:t>
      </w:r>
      <w:r>
        <w:rPr>
          <w:w w:val="50"/>
        </w:rPr>
        <w:t> </w:t>
      </w:r>
    </w:p>
    <w:p>
      <w:pPr>
        <w:pStyle w:val="BodyText"/>
        <w:spacing w:line="364" w:lineRule="auto" w:before="160"/>
        <w:ind w:left="272" w:right="156" w:firstLine="480"/>
      </w:pPr>
      <w:r>
        <w:rPr>
          <w:spacing w:val="-7"/>
        </w:rPr>
        <w:t>行政楼位于医院西南部，为地上 </w:t>
      </w:r>
      <w:r>
        <w:rPr>
          <w:rFonts w:ascii="Times New Roman" w:eastAsia="Times New Roman"/>
        </w:rPr>
        <w:t>5 </w:t>
      </w:r>
      <w:r>
        <w:rPr>
          <w:spacing w:val="-11"/>
        </w:rPr>
        <w:t>层建筑</w:t>
      </w:r>
      <w:r>
        <w:rPr/>
        <w:t>（</w:t>
      </w:r>
      <w:r>
        <w:rPr>
          <w:spacing w:val="-15"/>
        </w:rPr>
        <w:t>已建、层高约 </w:t>
      </w:r>
      <w:r>
        <w:rPr>
          <w:rFonts w:ascii="Times New Roman" w:eastAsia="Times New Roman"/>
          <w:spacing w:val="-8"/>
        </w:rPr>
        <w:t>17m</w:t>
      </w:r>
      <w:r>
        <w:rPr>
          <w:spacing w:val="-3"/>
        </w:rPr>
        <w:t>，无地下室</w:t>
      </w:r>
      <w:r>
        <w:rPr>
          <w:spacing w:val="-32"/>
        </w:rPr>
        <w:t>）</w:t>
      </w:r>
      <w:r>
        <w:rPr>
          <w:spacing w:val="-4"/>
        </w:rPr>
        <w:t>建筑， </w:t>
      </w:r>
      <w:r>
        <w:rPr/>
        <w:t>行政楼东侧依次院内道路门诊大楼；南侧依次为药剂大楼</w:t>
      </w:r>
      <w:r>
        <w:rPr>
          <w:spacing w:val="4"/>
        </w:rPr>
        <w:t>（</w:t>
      </w:r>
      <w:r>
        <w:rPr>
          <w:spacing w:val="5"/>
        </w:rPr>
        <w:t>已建 </w:t>
      </w:r>
      <w:r>
        <w:rPr>
          <w:rFonts w:ascii="Times New Roman" w:eastAsia="Times New Roman"/>
        </w:rPr>
        <w:t>5 </w:t>
      </w:r>
      <w:r>
        <w:rPr/>
        <w:t>层建筑、层高约</w:t>
      </w:r>
    </w:p>
    <w:p>
      <w:pPr>
        <w:pStyle w:val="BodyText"/>
        <w:spacing w:line="364" w:lineRule="auto" w:before="2"/>
        <w:ind w:left="272" w:right="156"/>
      </w:pPr>
      <w:r>
        <w:rPr>
          <w:rFonts w:ascii="Times New Roman" w:eastAsia="Times New Roman"/>
          <w:spacing w:val="-5"/>
        </w:rPr>
        <w:t>20m</w:t>
      </w:r>
      <w:r>
        <w:rPr>
          <w:spacing w:val="-5"/>
        </w:rPr>
        <w:t>，无地下室，与行政楼紧邻为主副楼关系</w:t>
      </w:r>
      <w:r>
        <w:rPr>
          <w:spacing w:val="-120"/>
        </w:rPr>
        <w:t>）</w:t>
      </w:r>
      <w:r>
        <w:rPr>
          <w:spacing w:val="-9"/>
        </w:rPr>
        <w:t>、院内道路、污水处理站、危险废物暂</w:t>
      </w:r>
      <w:r>
        <w:rPr>
          <w:spacing w:val="-17"/>
        </w:rPr>
        <w:t>存间及院外广洋楼小区；西侧依次为院内道路及百货公司宿舍；北侧依次为院内道路、</w:t>
      </w:r>
      <w:r>
        <w:rPr/>
        <w:t>发电机房、员工食堂及第一住院部。</w:t>
      </w:r>
    </w:p>
    <w:p>
      <w:pPr>
        <w:pStyle w:val="BodyText"/>
        <w:spacing w:before="1"/>
        <w:ind w:left="754"/>
      </w:pPr>
      <w:r>
        <w:rPr/>
        <w:t>3、介入治疗室外环境关系</w:t>
      </w:r>
      <w:r>
        <w:rPr>
          <w:w w:val="50"/>
        </w:rPr>
        <w:t> </w:t>
      </w:r>
    </w:p>
    <w:p>
      <w:pPr>
        <w:pStyle w:val="BodyText"/>
        <w:spacing w:before="161"/>
        <w:ind w:left="752"/>
        <w:rPr>
          <w:rFonts w:ascii="Times New Roman" w:eastAsia="Times New Roman"/>
        </w:rPr>
      </w:pPr>
      <w:r>
        <w:rPr>
          <w:spacing w:val="-4"/>
        </w:rPr>
        <w:t>本项目新增的介入治疗室位于医院内行政楼 </w:t>
      </w:r>
      <w:r>
        <w:rPr>
          <w:rFonts w:ascii="Times New Roman" w:eastAsia="Times New Roman"/>
        </w:rPr>
        <w:t>1</w:t>
      </w:r>
      <w:r>
        <w:rPr>
          <w:rFonts w:ascii="Times New Roman" w:eastAsia="Times New Roman"/>
          <w:spacing w:val="1"/>
        </w:rPr>
        <w:t> </w:t>
      </w:r>
      <w:r>
        <w:rPr>
          <w:spacing w:val="-18"/>
        </w:rPr>
        <w:t>楼，介入治疗室东侧</w:t>
      </w:r>
      <w:r>
        <w:rPr/>
        <w:t>（行政楼</w:t>
      </w:r>
      <w:r>
        <w:rPr>
          <w:spacing w:val="-18"/>
        </w:rPr>
        <w:t>）</w:t>
      </w:r>
      <w:r>
        <w:rPr>
          <w:rFonts w:ascii="Times New Roman" w:eastAsia="Times New Roman"/>
          <w:spacing w:val="-18"/>
        </w:rPr>
        <w:t>50m</w:t>
      </w:r>
    </w:p>
    <w:p>
      <w:pPr>
        <w:pStyle w:val="BodyText"/>
        <w:spacing w:before="160"/>
        <w:ind w:left="272"/>
      </w:pPr>
      <w:r>
        <w:rPr>
          <w:spacing w:val="-4"/>
        </w:rPr>
        <w:t>范围内依次为污物通道间、家属谈话室、家属等候区、行政楼大厅及院内道路，东侧</w:t>
      </w:r>
    </w:p>
    <w:p>
      <w:pPr>
        <w:pStyle w:val="BodyText"/>
        <w:spacing w:line="364" w:lineRule="auto" w:before="161"/>
        <w:ind w:left="272" w:right="156"/>
      </w:pPr>
      <w:r>
        <w:rPr/>
        <w:t>（药剂楼）</w:t>
      </w:r>
      <w:r>
        <w:rPr>
          <w:rFonts w:ascii="Times New Roman" w:eastAsia="Times New Roman"/>
        </w:rPr>
        <w:t>50m</w:t>
      </w:r>
      <w:r>
        <w:rPr>
          <w:rFonts w:ascii="Times New Roman" w:eastAsia="Times New Roman"/>
          <w:spacing w:val="-2"/>
        </w:rPr>
        <w:t> </w:t>
      </w:r>
      <w:r>
        <w:rPr>
          <w:spacing w:val="-5"/>
        </w:rPr>
        <w:t>范围内依次为：洗瓶净瓶区域、质检区域、原辅材料暂存区域、包装</w:t>
      </w:r>
      <w:r>
        <w:rPr>
          <w:spacing w:val="-6"/>
        </w:rPr>
        <w:t>区域及院内道路；南侧</w:t>
      </w:r>
      <w:r>
        <w:rPr/>
        <w:t>（药剂楼）</w:t>
      </w:r>
      <w:r>
        <w:rPr>
          <w:rFonts w:ascii="Times New Roman" w:eastAsia="Times New Roman"/>
        </w:rPr>
        <w:t>50m</w:t>
      </w:r>
      <w:r>
        <w:rPr>
          <w:rFonts w:ascii="Times New Roman" w:eastAsia="Times New Roman"/>
          <w:spacing w:val="-2"/>
        </w:rPr>
        <w:t> </w:t>
      </w:r>
      <w:r>
        <w:rPr>
          <w:spacing w:val="-2"/>
        </w:rPr>
        <w:t>范围内依次为原辅材料暂存间、备料间、更衣</w:t>
      </w:r>
      <w:r>
        <w:rPr>
          <w:spacing w:val="-5"/>
        </w:rPr>
        <w:t>清洗区域、配电室、空调机房、院内道路、污水处理站、危险废物暂存间及院外广洋楼小区（</w:t>
      </w:r>
      <w:r>
        <w:rPr>
          <w:spacing w:val="-11"/>
        </w:rPr>
        <w:t>距介入治疗室约 </w:t>
      </w:r>
      <w:r>
        <w:rPr>
          <w:rFonts w:ascii="Times New Roman" w:eastAsia="Times New Roman"/>
        </w:rPr>
        <w:t>30</w:t>
      </w:r>
      <w:r>
        <w:rPr>
          <w:rFonts w:ascii="Times New Roman" w:eastAsia="Times New Roman"/>
          <w:w w:val="99"/>
        </w:rPr>
        <w:t>m</w:t>
      </w:r>
      <w:r>
        <w:rPr>
          <w:spacing w:val="-120"/>
        </w:rPr>
        <w:t>）</w:t>
      </w:r>
      <w:r>
        <w:rPr>
          <w:spacing w:val="-14"/>
        </w:rPr>
        <w:t>；西侧 </w:t>
      </w:r>
      <w:r>
        <w:rPr>
          <w:rFonts w:ascii="Times New Roman" w:eastAsia="Times New Roman"/>
        </w:rPr>
        <w:t>50</w:t>
      </w:r>
      <w:r>
        <w:rPr>
          <w:rFonts w:ascii="Times New Roman" w:eastAsia="Times New Roman"/>
          <w:w w:val="99"/>
        </w:rPr>
        <w:t>m</w:t>
      </w:r>
      <w:r>
        <w:rPr>
          <w:rFonts w:ascii="Times New Roman" w:eastAsia="Times New Roman"/>
          <w:spacing w:val="7"/>
        </w:rPr>
        <w:t> </w:t>
      </w:r>
      <w:r>
        <w:rPr/>
        <w:t>范围内依次为控制室、设备间、卫生通过</w:t>
      </w:r>
      <w:r>
        <w:rPr>
          <w:spacing w:val="-5"/>
        </w:rPr>
        <w:t>间、库房、楼梯间、院内道路、百货公司宿舍</w:t>
      </w:r>
      <w:r>
        <w:rPr/>
        <w:t>（</w:t>
      </w:r>
      <w:r>
        <w:rPr>
          <w:spacing w:val="-8"/>
        </w:rPr>
        <w:t>距介入治疗室约 </w:t>
      </w:r>
      <w:r>
        <w:rPr>
          <w:rFonts w:ascii="Times New Roman" w:eastAsia="Times New Roman"/>
        </w:rPr>
        <w:t>20m</w:t>
      </w:r>
      <w:r>
        <w:rPr/>
        <w:t>）</w:t>
      </w:r>
      <w:r>
        <w:rPr>
          <w:spacing w:val="-1"/>
        </w:rPr>
        <w:t>及上南街；北</w:t>
      </w:r>
      <w:r>
        <w:rPr>
          <w:spacing w:val="-30"/>
        </w:rPr>
        <w:t>侧 </w:t>
      </w:r>
      <w:r>
        <w:rPr>
          <w:rFonts w:ascii="Times New Roman" w:eastAsia="Times New Roman"/>
        </w:rPr>
        <w:t>50m</w:t>
      </w:r>
      <w:r>
        <w:rPr>
          <w:rFonts w:ascii="Times New Roman" w:eastAsia="Times New Roman"/>
          <w:spacing w:val="2"/>
        </w:rPr>
        <w:t> </w:t>
      </w:r>
      <w:r>
        <w:rPr>
          <w:spacing w:val="-14"/>
        </w:rPr>
        <w:t>范围内依次为配电室、医生通道、更衣淋浴间、缓冲间、院内道路、发电机房、</w:t>
      </w:r>
      <w:r>
        <w:rPr/>
        <w:t>员工食堂及院外道路。介入治疗室正上方为行政楼天井；正下方为地基无地下室。</w:t>
      </w:r>
    </w:p>
    <w:p>
      <w:pPr>
        <w:pStyle w:val="BodyText"/>
        <w:spacing w:line="364" w:lineRule="auto" w:before="4"/>
        <w:ind w:left="752" w:right="432"/>
      </w:pPr>
      <w:r>
        <w:rPr>
          <w:spacing w:val="-16"/>
        </w:rPr>
        <w:t>本项目 </w:t>
      </w:r>
      <w:r>
        <w:rPr>
          <w:rFonts w:ascii="Times New Roman" w:eastAsia="Times New Roman"/>
        </w:rPr>
        <w:t>DSA </w:t>
      </w:r>
      <w:r>
        <w:rPr>
          <w:spacing w:val="-21"/>
        </w:rPr>
        <w:t>所在 </w:t>
      </w:r>
      <w:r>
        <w:rPr>
          <w:rFonts w:ascii="Times New Roman" w:eastAsia="Times New Roman"/>
        </w:rPr>
        <w:t>1 </w:t>
      </w:r>
      <w:r>
        <w:rPr>
          <w:spacing w:val="-3"/>
        </w:rPr>
        <w:t>楼平面布局图及介入治疗室平面布置图见附图 </w:t>
      </w:r>
      <w:r>
        <w:rPr>
          <w:rFonts w:ascii="Times New Roman" w:eastAsia="Times New Roman"/>
        </w:rPr>
        <w:t>3 </w:t>
      </w:r>
      <w:r>
        <w:rPr>
          <w:spacing w:val="-16"/>
        </w:rPr>
        <w:t>及附图 </w:t>
      </w:r>
      <w:r>
        <w:rPr>
          <w:rFonts w:ascii="Times New Roman" w:eastAsia="Times New Roman"/>
        </w:rPr>
        <w:t>4</w:t>
      </w:r>
      <w:r>
        <w:rPr>
          <w:spacing w:val="-13"/>
        </w:rPr>
        <w:t>。</w:t>
      </w:r>
      <w:r>
        <w:rPr>
          <w:spacing w:val="-4"/>
        </w:rPr>
        <w:t>本项目介入治疗室周围环境示意图见图 </w:t>
      </w:r>
      <w:r>
        <w:rPr>
          <w:rFonts w:ascii="Times New Roman" w:eastAsia="Times New Roman"/>
        </w:rPr>
        <w:t>8-1~</w:t>
      </w:r>
      <w:r>
        <w:rPr>
          <w:spacing w:val="-30"/>
        </w:rPr>
        <w:t>图 </w:t>
      </w:r>
      <w:r>
        <w:rPr>
          <w:rFonts w:ascii="Times New Roman" w:eastAsia="Times New Roman"/>
        </w:rPr>
        <w:t>8-6</w:t>
      </w:r>
      <w:r>
        <w:rPr/>
        <w:t>。</w:t>
      </w:r>
    </w:p>
    <w:p>
      <w:pPr>
        <w:spacing w:after="0" w:line="364" w:lineRule="auto"/>
        <w:sectPr>
          <w:pgSz w:w="11910" w:h="16840"/>
          <w:pgMar w:header="0" w:footer="881" w:top="1320" w:bottom="1080" w:left="148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tabs>
          <w:tab w:pos="5563" w:val="left" w:leader="none"/>
        </w:tabs>
        <w:spacing w:before="78"/>
        <w:ind w:left="456" w:right="0" w:firstLine="0"/>
        <w:jc w:val="left"/>
        <w:rPr>
          <w:sz w:val="21"/>
        </w:rPr>
      </w:pPr>
      <w:r>
        <w:rPr>
          <w:sz w:val="21"/>
        </w:rPr>
        <w:t>图</w:t>
      </w:r>
      <w:r>
        <w:rPr>
          <w:rFonts w:ascii="Times New Roman" w:eastAsia="Times New Roman"/>
          <w:sz w:val="21"/>
        </w:rPr>
        <w:t>8-1</w:t>
      </w:r>
      <w:r>
        <w:rPr>
          <w:spacing w:val="-3"/>
          <w:sz w:val="21"/>
        </w:rPr>
        <w:t>拟</w:t>
      </w:r>
      <w:r>
        <w:rPr>
          <w:sz w:val="21"/>
        </w:rPr>
        <w:t>建</w:t>
      </w:r>
      <w:r>
        <w:rPr>
          <w:spacing w:val="-3"/>
          <w:sz w:val="21"/>
        </w:rPr>
        <w:t>介</w:t>
      </w:r>
      <w:r>
        <w:rPr>
          <w:sz w:val="21"/>
        </w:rPr>
        <w:t>入</w:t>
      </w:r>
      <w:r>
        <w:rPr>
          <w:spacing w:val="-3"/>
          <w:sz w:val="21"/>
        </w:rPr>
        <w:t>治</w:t>
      </w:r>
      <w:r>
        <w:rPr>
          <w:sz w:val="21"/>
        </w:rPr>
        <w:t>疗</w:t>
      </w:r>
      <w:r>
        <w:rPr>
          <w:spacing w:val="-5"/>
          <w:sz w:val="21"/>
        </w:rPr>
        <w:t>室</w:t>
      </w:r>
      <w:r>
        <w:rPr>
          <w:sz w:val="21"/>
        </w:rPr>
        <w:t>（</w:t>
      </w:r>
      <w:r>
        <w:rPr>
          <w:spacing w:val="-3"/>
          <w:sz w:val="21"/>
        </w:rPr>
        <w:t>上</w:t>
      </w:r>
      <w:r>
        <w:rPr>
          <w:sz w:val="21"/>
        </w:rPr>
        <w:t>方为</w:t>
      </w:r>
      <w:r>
        <w:rPr>
          <w:spacing w:val="-3"/>
          <w:sz w:val="21"/>
        </w:rPr>
        <w:t>行</w:t>
      </w:r>
      <w:r>
        <w:rPr>
          <w:sz w:val="21"/>
        </w:rPr>
        <w:t>政</w:t>
      </w:r>
      <w:r>
        <w:rPr>
          <w:spacing w:val="-3"/>
          <w:sz w:val="21"/>
        </w:rPr>
        <w:t>楼</w:t>
      </w:r>
      <w:r>
        <w:rPr>
          <w:sz w:val="21"/>
        </w:rPr>
        <w:t>天</w:t>
      </w:r>
      <w:r>
        <w:rPr>
          <w:spacing w:val="-3"/>
          <w:sz w:val="21"/>
        </w:rPr>
        <w:t>井</w:t>
      </w:r>
      <w:r>
        <w:rPr>
          <w:sz w:val="21"/>
        </w:rPr>
        <w:t>）</w:t>
        <w:tab/>
        <w:t>图</w:t>
      </w:r>
      <w:r>
        <w:rPr>
          <w:rFonts w:ascii="Times New Roman" w:eastAsia="Times New Roman"/>
          <w:sz w:val="21"/>
        </w:rPr>
        <w:t>8-2</w:t>
      </w:r>
      <w:r>
        <w:rPr>
          <w:rFonts w:ascii="Times New Roman" w:eastAsia="Times New Roman"/>
          <w:spacing w:val="50"/>
          <w:sz w:val="21"/>
        </w:rPr>
        <w:t> </w:t>
      </w:r>
      <w:r>
        <w:rPr>
          <w:sz w:val="21"/>
        </w:rPr>
        <w:t>拟</w:t>
      </w:r>
      <w:r>
        <w:rPr>
          <w:spacing w:val="-3"/>
          <w:sz w:val="21"/>
        </w:rPr>
        <w:t>建</w:t>
      </w:r>
      <w:r>
        <w:rPr>
          <w:sz w:val="21"/>
        </w:rPr>
        <w:t>介</w:t>
      </w:r>
      <w:r>
        <w:rPr>
          <w:spacing w:val="-3"/>
          <w:sz w:val="21"/>
        </w:rPr>
        <w:t>入</w:t>
      </w:r>
      <w:r>
        <w:rPr>
          <w:sz w:val="21"/>
        </w:rPr>
        <w:t>治</w:t>
      </w:r>
      <w:r>
        <w:rPr>
          <w:spacing w:val="-3"/>
          <w:sz w:val="21"/>
        </w:rPr>
        <w:t>疗</w:t>
      </w:r>
      <w:r>
        <w:rPr>
          <w:sz w:val="21"/>
        </w:rPr>
        <w:t>室</w:t>
      </w:r>
      <w:r>
        <w:rPr>
          <w:spacing w:val="-5"/>
          <w:sz w:val="21"/>
        </w:rPr>
        <w:t>控</w:t>
      </w:r>
      <w:r>
        <w:rPr>
          <w:sz w:val="21"/>
        </w:rPr>
        <w:t>制室</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spacing w:after="0"/>
        <w:rPr>
          <w:sz w:val="25"/>
        </w:rPr>
        <w:sectPr>
          <w:pgSz w:w="11910" w:h="16840"/>
          <w:pgMar w:header="0" w:footer="881" w:top="1220" w:bottom="1160" w:left="1480" w:right="1020"/>
        </w:sectPr>
      </w:pPr>
    </w:p>
    <w:p>
      <w:pPr>
        <w:spacing w:line="278" w:lineRule="auto" w:before="78"/>
        <w:ind w:left="2067" w:right="38" w:hanging="1611"/>
        <w:jc w:val="left"/>
        <w:rPr>
          <w:sz w:val="21"/>
        </w:rPr>
      </w:pPr>
      <w:r>
        <w:rPr>
          <w:sz w:val="21"/>
        </w:rPr>
        <w:t>图</w:t>
      </w:r>
      <w:r>
        <w:rPr>
          <w:rFonts w:ascii="Times New Roman" w:eastAsia="Times New Roman"/>
          <w:sz w:val="21"/>
        </w:rPr>
        <w:t>8-3</w:t>
      </w:r>
      <w:r>
        <w:rPr>
          <w:sz w:val="21"/>
        </w:rPr>
        <w:t>拟建介入治疗室东侧污物通道间及北侧病员通道</w:t>
      </w:r>
    </w:p>
    <w:p>
      <w:pPr>
        <w:pStyle w:val="BodyText"/>
        <w:spacing w:before="3"/>
        <w:rPr>
          <w:sz w:val="18"/>
        </w:rPr>
      </w:pPr>
      <w:r>
        <w:rPr/>
        <w:br w:type="column"/>
      </w:r>
      <w:r>
        <w:rPr>
          <w:sz w:val="18"/>
        </w:rPr>
      </w:r>
    </w:p>
    <w:p>
      <w:pPr>
        <w:spacing w:before="0"/>
        <w:ind w:left="456" w:right="0" w:firstLine="0"/>
        <w:jc w:val="left"/>
        <w:rPr>
          <w:sz w:val="21"/>
        </w:rPr>
      </w:pPr>
      <w:r>
        <w:rPr>
          <w:sz w:val="21"/>
        </w:rPr>
        <w:t>图</w:t>
      </w:r>
      <w:r>
        <w:rPr>
          <w:rFonts w:ascii="Times New Roman" w:eastAsia="Times New Roman"/>
          <w:sz w:val="21"/>
        </w:rPr>
        <w:t>8-4</w:t>
      </w:r>
      <w:r>
        <w:rPr>
          <w:sz w:val="21"/>
        </w:rPr>
        <w:t>拟建介入治疗室北侧医生通道</w:t>
      </w:r>
    </w:p>
    <w:p>
      <w:pPr>
        <w:spacing w:after="0"/>
        <w:jc w:val="left"/>
        <w:rPr>
          <w:sz w:val="21"/>
        </w:rPr>
        <w:sectPr>
          <w:type w:val="continuous"/>
          <w:pgSz w:w="11910" w:h="16840"/>
          <w:pgMar w:top="1580" w:bottom="280" w:left="1480" w:right="1020"/>
          <w:cols w:num="2" w:equalWidth="0">
            <w:col w:w="4561" w:space="282"/>
            <w:col w:w="456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type w:val="continuous"/>
          <w:pgSz w:w="11910" w:h="16840"/>
          <w:pgMar w:top="1580" w:bottom="280" w:left="1480" w:right="1020"/>
        </w:sectPr>
      </w:pPr>
    </w:p>
    <w:p>
      <w:pPr>
        <w:pStyle w:val="ListParagraph"/>
        <w:numPr>
          <w:ilvl w:val="1"/>
          <w:numId w:val="10"/>
        </w:numPr>
        <w:tabs>
          <w:tab w:pos="896" w:val="left" w:leader="none"/>
        </w:tabs>
        <w:spacing w:line="240" w:lineRule="auto" w:before="79" w:after="0"/>
        <w:ind w:left="896" w:right="0" w:hanging="387"/>
        <w:jc w:val="left"/>
        <w:rPr>
          <w:sz w:val="21"/>
        </w:rPr>
      </w:pPr>
      <w:r>
        <w:rPr>
          <w:spacing w:val="-5"/>
          <w:sz w:val="21"/>
        </w:rPr>
        <w:t>拟建介入治疗室南侧通道及东侧洗瓶室</w:t>
      </w:r>
    </w:p>
    <w:p>
      <w:pPr>
        <w:spacing w:before="43"/>
        <w:ind w:left="1943" w:right="1434" w:firstLine="0"/>
        <w:jc w:val="center"/>
        <w:rPr>
          <w:sz w:val="21"/>
        </w:rPr>
      </w:pPr>
      <w:r>
        <w:rPr>
          <w:sz w:val="21"/>
        </w:rPr>
        <w:t>（药剂楼）</w:t>
      </w:r>
    </w:p>
    <w:p>
      <w:pPr>
        <w:pStyle w:val="BodyText"/>
        <w:spacing w:before="101"/>
        <w:ind w:left="754"/>
      </w:pPr>
      <w:r>
        <w:rPr/>
        <w:t>二、辐射环境现状调查</w:t>
      </w:r>
      <w:r>
        <w:rPr>
          <w:w w:val="50"/>
        </w:rPr>
        <w:t> </w:t>
      </w:r>
    </w:p>
    <w:p>
      <w:pPr>
        <w:pStyle w:val="BodyText"/>
        <w:spacing w:before="4"/>
        <w:rPr>
          <w:sz w:val="18"/>
        </w:rPr>
      </w:pPr>
      <w:r>
        <w:rPr/>
        <w:br w:type="column"/>
      </w:r>
      <w:r>
        <w:rPr>
          <w:sz w:val="18"/>
        </w:rPr>
      </w:r>
    </w:p>
    <w:p>
      <w:pPr>
        <w:spacing w:before="0"/>
        <w:ind w:left="509" w:right="0" w:firstLine="0"/>
        <w:jc w:val="left"/>
        <w:rPr>
          <w:sz w:val="21"/>
        </w:rPr>
      </w:pPr>
      <w:r>
        <w:rPr>
          <w:sz w:val="21"/>
        </w:rPr>
        <w:t>图</w:t>
      </w:r>
      <w:r>
        <w:rPr>
          <w:rFonts w:ascii="Times New Roman" w:eastAsia="Times New Roman"/>
          <w:sz w:val="21"/>
        </w:rPr>
        <w:t>8-6</w:t>
      </w:r>
      <w:r>
        <w:rPr>
          <w:rFonts w:ascii="Times New Roman" w:eastAsia="Times New Roman"/>
          <w:spacing w:val="52"/>
          <w:sz w:val="21"/>
        </w:rPr>
        <w:t> </w:t>
      </w:r>
      <w:r>
        <w:rPr>
          <w:spacing w:val="-4"/>
          <w:sz w:val="21"/>
        </w:rPr>
        <w:t>拟建介入治疗室西侧百货公司宿舍</w:t>
      </w:r>
    </w:p>
    <w:p>
      <w:pPr>
        <w:spacing w:after="0"/>
        <w:jc w:val="left"/>
        <w:rPr>
          <w:sz w:val="21"/>
        </w:rPr>
        <w:sectPr>
          <w:type w:val="continuous"/>
          <w:pgSz w:w="11910" w:h="16840"/>
          <w:pgMar w:top="1580" w:bottom="280" w:left="1480" w:right="1020"/>
          <w:cols w:num="2" w:equalWidth="0">
            <w:col w:w="4468" w:space="61"/>
            <w:col w:w="4881"/>
          </w:cols>
        </w:sectPr>
      </w:pPr>
    </w:p>
    <w:p>
      <w:pPr>
        <w:pStyle w:val="BodyText"/>
        <w:spacing w:before="6"/>
        <w:rPr>
          <w:sz w:val="8"/>
        </w:rPr>
      </w:pPr>
      <w:r>
        <w:rPr/>
        <w:pict>
          <v:group style="position:absolute;margin-left:81.959999pt;margin-top:62.399937pt;width:454.1pt;height:710.8pt;mso-position-horizontal-relative:page;mso-position-vertical-relative:page;z-index:-212008" coordorigin="1639,1248" coordsize="9082,14216">
            <v:line style="position:absolute" from="1639,1253" to="10711,1253" stroked="true" strokeweight=".479999pt" strokecolor="#000000">
              <v:stroke dashstyle="solid"/>
            </v:line>
            <v:line style="position:absolute" from="1644,1258" to="1644,15463" stroked="true" strokeweight=".479999pt" strokecolor="#000000">
              <v:stroke dashstyle="solid"/>
            </v:line>
            <v:line style="position:absolute" from="1639,15458" to="10711,15458" stroked="true" strokeweight=".480011pt" strokecolor="#000000">
              <v:stroke dashstyle="solid"/>
            </v:line>
            <v:line style="position:absolute" from="10716,1248" to="10716,15463" stroked="true" strokeweight=".479966pt" strokecolor="#000000">
              <v:stroke dashstyle="solid"/>
            </v:line>
            <v:shape style="position:absolute;left:1867;top:1394;width:4208;height:3159" type="#_x0000_t75" stroked="false">
              <v:imagedata r:id="rId9" o:title=""/>
            </v:shape>
            <v:shape style="position:absolute;left:6290;top:1394;width:4208;height:3159" type="#_x0000_t75" stroked="false">
              <v:imagedata r:id="rId10" o:title=""/>
            </v:shape>
            <v:shape style="position:absolute;left:1867;top:5138;width:4208;height:3159" type="#_x0000_t75" stroked="false">
              <v:imagedata r:id="rId11" o:title=""/>
            </v:shape>
            <v:shape style="position:absolute;left:6290;top:5138;width:4208;height:3159" type="#_x0000_t75" stroked="false">
              <v:imagedata r:id="rId12" o:title=""/>
            </v:shape>
            <v:shape style="position:absolute;left:1915;top:9194;width:4109;height:3159" type="#_x0000_t75" stroked="false">
              <v:imagedata r:id="rId13" o:title=""/>
            </v:shape>
            <v:shape style="position:absolute;left:6307;top:9199;width:4164;height:3147" type="#_x0000_t75" stroked="false">
              <v:imagedata r:id="rId14" o:title=""/>
            </v:shape>
            <w10:wrap type="none"/>
          </v:group>
        </w:pict>
      </w:r>
    </w:p>
    <w:p>
      <w:pPr>
        <w:pStyle w:val="BodyText"/>
        <w:spacing w:line="364" w:lineRule="auto" w:before="52"/>
        <w:ind w:left="272" w:right="273" w:firstLine="480"/>
        <w:jc w:val="both"/>
      </w:pPr>
      <w:r>
        <w:rPr>
          <w:spacing w:val="-4"/>
        </w:rPr>
        <w:t>本项目主要的污染因子为电离辐射，对环境空气、地表水及地下水影响较小，因</w:t>
      </w:r>
      <w:r>
        <w:rPr>
          <w:spacing w:val="-3"/>
        </w:rPr>
        <w:t>此本次评价没有对区域环境空气质量、地表水和地下水环境质量进行监测评价，重点</w:t>
      </w:r>
      <w:r>
        <w:rPr/>
        <w:t>对评价区域开展了辐射环境现状监测评价。</w:t>
      </w:r>
    </w:p>
    <w:p>
      <w:pPr>
        <w:pStyle w:val="BodyText"/>
        <w:spacing w:line="307" w:lineRule="exact"/>
        <w:ind w:left="754"/>
      </w:pPr>
      <w:r>
        <w:rPr>
          <w:w w:val="50"/>
        </w:rPr>
        <w:t> </w:t>
      </w:r>
    </w:p>
    <w:p>
      <w:pPr>
        <w:spacing w:after="0" w:line="307" w:lineRule="exact"/>
        <w:sectPr>
          <w:type w:val="continuous"/>
          <w:pgSz w:w="11910" w:h="16840"/>
          <w:pgMar w:top="1580" w:bottom="28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0"/>
        <w:gridCol w:w="487"/>
        <w:gridCol w:w="2628"/>
        <w:gridCol w:w="144"/>
        <w:gridCol w:w="1130"/>
        <w:gridCol w:w="849"/>
        <w:gridCol w:w="851"/>
        <w:gridCol w:w="1849"/>
      </w:tblGrid>
      <w:tr>
        <w:trPr>
          <w:trHeight w:val="3119" w:hRule="atLeast"/>
        </w:trPr>
        <w:tc>
          <w:tcPr>
            <w:tcW w:w="9068" w:type="dxa"/>
            <w:gridSpan w:val="8"/>
            <w:tcBorders>
              <w:bottom w:val="single" w:sz="12" w:space="0" w:color="000000"/>
            </w:tcBorders>
          </w:tcPr>
          <w:p>
            <w:pPr>
              <w:pStyle w:val="TableParagraph"/>
              <w:spacing w:before="81"/>
              <w:ind w:left="590"/>
              <w:jc w:val="left"/>
              <w:rPr>
                <w:sz w:val="24"/>
              </w:rPr>
            </w:pPr>
            <w:r>
              <w:rPr>
                <w:sz w:val="24"/>
              </w:rPr>
              <w:t>（一）监测项目和监测方法</w:t>
            </w:r>
          </w:p>
          <w:p>
            <w:pPr>
              <w:pStyle w:val="TableParagraph"/>
              <w:spacing w:before="161"/>
              <w:ind w:left="590"/>
              <w:jc w:val="left"/>
              <w:rPr>
                <w:sz w:val="24"/>
              </w:rPr>
            </w:pPr>
            <w:r>
              <w:rPr>
                <w:sz w:val="24"/>
              </w:rPr>
              <w:t>1、本项目所在地辐射环境现状监测</w:t>
            </w:r>
            <w:r>
              <w:rPr>
                <w:w w:val="50"/>
                <w:sz w:val="24"/>
              </w:rPr>
              <w:t> </w:t>
            </w:r>
          </w:p>
          <w:p>
            <w:pPr>
              <w:pStyle w:val="TableParagraph"/>
              <w:spacing w:before="160"/>
              <w:ind w:left="587" w:right="-29"/>
              <w:jc w:val="left"/>
              <w:rPr>
                <w:sz w:val="24"/>
              </w:rPr>
            </w:pPr>
            <w:r>
              <w:rPr>
                <w:spacing w:val="-8"/>
                <w:sz w:val="24"/>
              </w:rPr>
              <w:t>为掌握项目所在地的辐射环境现状，四川瑞迪森检测技术有限公司</w:t>
            </w:r>
            <w:r>
              <w:rPr>
                <w:sz w:val="24"/>
              </w:rPr>
              <w:t>（</w:t>
            </w:r>
            <w:r>
              <w:rPr>
                <w:spacing w:val="-3"/>
                <w:sz w:val="24"/>
              </w:rPr>
              <w:t>计量认证号：</w:t>
            </w:r>
          </w:p>
          <w:p>
            <w:pPr>
              <w:pStyle w:val="TableParagraph"/>
              <w:spacing w:line="364" w:lineRule="auto" w:before="161"/>
              <w:ind w:left="107" w:right="91"/>
              <w:jc w:val="both"/>
              <w:rPr>
                <w:sz w:val="24"/>
              </w:rPr>
            </w:pPr>
            <w:r>
              <w:rPr>
                <w:rFonts w:ascii="Times New Roman" w:hAnsi="Times New Roman" w:eastAsia="Times New Roman"/>
                <w:sz w:val="24"/>
              </w:rPr>
              <w:t>172312050082</w:t>
            </w:r>
            <w:r>
              <w:rPr>
                <w:sz w:val="24"/>
              </w:rPr>
              <w:t>）</w:t>
            </w:r>
            <w:r>
              <w:rPr>
                <w:spacing w:val="-23"/>
                <w:sz w:val="24"/>
              </w:rPr>
              <w:t>于 </w:t>
            </w:r>
            <w:r>
              <w:rPr>
                <w:rFonts w:ascii="Times New Roman" w:hAnsi="Times New Roman" w:eastAsia="Times New Roman"/>
                <w:sz w:val="24"/>
              </w:rPr>
              <w:t>2021 </w:t>
            </w:r>
            <w:r>
              <w:rPr>
                <w:spacing w:val="-22"/>
                <w:sz w:val="24"/>
              </w:rPr>
              <w:t>年 </w:t>
            </w:r>
            <w:r>
              <w:rPr>
                <w:rFonts w:ascii="Times New Roman" w:hAnsi="Times New Roman" w:eastAsia="Times New Roman"/>
                <w:sz w:val="24"/>
              </w:rPr>
              <w:t>03 </w:t>
            </w:r>
            <w:r>
              <w:rPr>
                <w:spacing w:val="-23"/>
                <w:sz w:val="24"/>
              </w:rPr>
              <w:t>月 </w:t>
            </w:r>
            <w:r>
              <w:rPr>
                <w:rFonts w:ascii="Times New Roman" w:hAnsi="Times New Roman" w:eastAsia="Times New Roman"/>
                <w:sz w:val="24"/>
              </w:rPr>
              <w:t>15 </w:t>
            </w:r>
            <w:r>
              <w:rPr>
                <w:spacing w:val="-1"/>
                <w:sz w:val="24"/>
              </w:rPr>
              <w:t>日按照规范要求对新增数字减影血管造影机使用</w:t>
            </w:r>
            <w:r>
              <w:rPr>
                <w:spacing w:val="-6"/>
                <w:sz w:val="24"/>
              </w:rPr>
              <w:t>项目现场及周边环境进行了 </w:t>
            </w:r>
            <w:r>
              <w:rPr>
                <w:rFonts w:ascii="Times New Roman" w:hAnsi="Times New Roman" w:eastAsia="Times New Roman"/>
                <w:sz w:val="24"/>
              </w:rPr>
              <w:t>γ </w:t>
            </w:r>
            <w:r>
              <w:rPr>
                <w:spacing w:val="-3"/>
                <w:sz w:val="24"/>
              </w:rPr>
              <w:t>辐射剂量率的布点监测。其监测项目、分析方法及来源</w:t>
            </w:r>
            <w:r>
              <w:rPr>
                <w:spacing w:val="-21"/>
                <w:sz w:val="24"/>
              </w:rPr>
              <w:t>见表 </w:t>
            </w:r>
            <w:r>
              <w:rPr>
                <w:rFonts w:ascii="Times New Roman" w:hAnsi="Times New Roman" w:eastAsia="Times New Roman"/>
                <w:sz w:val="24"/>
              </w:rPr>
              <w:t>8-</w:t>
            </w:r>
            <w:r>
              <w:rPr>
                <w:rFonts w:ascii="Times New Roman" w:hAnsi="Times New Roman" w:eastAsia="Times New Roman"/>
                <w:spacing w:val="-1"/>
                <w:sz w:val="24"/>
              </w:rPr>
              <w:t>1</w:t>
            </w:r>
            <w:r>
              <w:rPr>
                <w:sz w:val="24"/>
              </w:rPr>
              <w:t>（</w:t>
            </w:r>
            <w:r>
              <w:rPr>
                <w:spacing w:val="-8"/>
                <w:sz w:val="24"/>
              </w:rPr>
              <w:t>检测报告见附件 </w:t>
            </w:r>
            <w:r>
              <w:rPr>
                <w:rFonts w:ascii="Times New Roman" w:hAnsi="Times New Roman" w:eastAsia="Times New Roman"/>
                <w:sz w:val="24"/>
              </w:rPr>
              <w:t>8</w:t>
            </w:r>
            <w:r>
              <w:rPr>
                <w:spacing w:val="-120"/>
                <w:sz w:val="24"/>
              </w:rPr>
              <w:t>）</w:t>
            </w:r>
            <w:r>
              <w:rPr>
                <w:sz w:val="24"/>
              </w:rPr>
              <w:t>。</w:t>
            </w:r>
          </w:p>
          <w:p>
            <w:pPr>
              <w:pStyle w:val="TableParagraph"/>
              <w:spacing w:line="212" w:lineRule="exact"/>
              <w:ind w:left="2872"/>
              <w:jc w:val="left"/>
              <w:rPr>
                <w:sz w:val="21"/>
              </w:rPr>
            </w:pPr>
            <w:r>
              <w:rPr>
                <w:sz w:val="21"/>
              </w:rPr>
              <w:t>表 </w:t>
            </w:r>
            <w:r>
              <w:rPr>
                <w:rFonts w:ascii="Times New Roman" w:eastAsia="Times New Roman"/>
                <w:sz w:val="21"/>
              </w:rPr>
              <w:t>8-1 </w:t>
            </w:r>
            <w:r>
              <w:rPr>
                <w:sz w:val="21"/>
              </w:rPr>
              <w:t>监测项目、方法及方法来源表</w:t>
            </w:r>
          </w:p>
        </w:tc>
      </w:tr>
      <w:tr>
        <w:trPr>
          <w:trHeight w:val="365" w:hRule="atLeast"/>
        </w:trPr>
        <w:tc>
          <w:tcPr>
            <w:tcW w:w="1130" w:type="dxa"/>
            <w:tcBorders>
              <w:top w:val="single" w:sz="12" w:space="0" w:color="000000"/>
              <w:bottom w:val="single" w:sz="12" w:space="0" w:color="000000"/>
              <w:right w:val="single" w:sz="2" w:space="0" w:color="000000"/>
            </w:tcBorders>
          </w:tcPr>
          <w:p>
            <w:pPr>
              <w:pStyle w:val="TableParagraph"/>
              <w:spacing w:before="48"/>
              <w:ind w:left="172"/>
              <w:jc w:val="left"/>
              <w:rPr>
                <w:sz w:val="21"/>
              </w:rPr>
            </w:pPr>
            <w:r>
              <w:rPr>
                <w:sz w:val="21"/>
              </w:rPr>
              <w:t>监测项目</w:t>
            </w:r>
          </w:p>
        </w:tc>
        <w:tc>
          <w:tcPr>
            <w:tcW w:w="5238" w:type="dxa"/>
            <w:gridSpan w:val="5"/>
            <w:tcBorders>
              <w:top w:val="single" w:sz="12" w:space="0" w:color="000000"/>
              <w:left w:val="single" w:sz="2" w:space="0" w:color="000000"/>
              <w:bottom w:val="single" w:sz="12" w:space="0" w:color="000000"/>
              <w:right w:val="single" w:sz="2" w:space="0" w:color="000000"/>
            </w:tcBorders>
          </w:tcPr>
          <w:p>
            <w:pPr>
              <w:pStyle w:val="TableParagraph"/>
              <w:spacing w:before="48"/>
              <w:ind w:left="2182" w:right="2171"/>
              <w:rPr>
                <w:sz w:val="21"/>
              </w:rPr>
            </w:pPr>
            <w:r>
              <w:rPr>
                <w:sz w:val="21"/>
              </w:rPr>
              <w:t>监测方法</w:t>
            </w:r>
          </w:p>
        </w:tc>
        <w:tc>
          <w:tcPr>
            <w:tcW w:w="851" w:type="dxa"/>
            <w:tcBorders>
              <w:top w:val="single" w:sz="12" w:space="0" w:color="000000"/>
              <w:left w:val="single" w:sz="2" w:space="0" w:color="000000"/>
              <w:bottom w:val="single" w:sz="12" w:space="0" w:color="000000"/>
            </w:tcBorders>
          </w:tcPr>
          <w:p>
            <w:pPr>
              <w:pStyle w:val="TableParagraph"/>
              <w:spacing w:before="48"/>
              <w:ind w:left="114"/>
              <w:jc w:val="left"/>
              <w:rPr>
                <w:sz w:val="21"/>
              </w:rPr>
            </w:pPr>
            <w:r>
              <w:rPr>
                <w:sz w:val="21"/>
              </w:rPr>
              <w:t>探测限</w:t>
            </w:r>
          </w:p>
        </w:tc>
        <w:tc>
          <w:tcPr>
            <w:tcW w:w="1849" w:type="dxa"/>
            <w:tcBorders>
              <w:top w:val="single" w:sz="12" w:space="0" w:color="000000"/>
              <w:bottom w:val="single" w:sz="12" w:space="0" w:color="000000"/>
            </w:tcBorders>
          </w:tcPr>
          <w:p>
            <w:pPr>
              <w:pStyle w:val="TableParagraph"/>
              <w:spacing w:before="48"/>
              <w:ind w:left="671" w:right="707"/>
              <w:rPr>
                <w:sz w:val="21"/>
              </w:rPr>
            </w:pPr>
            <w:r>
              <w:rPr>
                <w:sz w:val="21"/>
              </w:rPr>
              <w:t>备注</w:t>
            </w:r>
          </w:p>
        </w:tc>
      </w:tr>
      <w:tr>
        <w:trPr>
          <w:trHeight w:val="937" w:hRule="atLeast"/>
        </w:trPr>
        <w:tc>
          <w:tcPr>
            <w:tcW w:w="1130" w:type="dxa"/>
            <w:tcBorders>
              <w:top w:val="single" w:sz="12" w:space="0" w:color="000000"/>
              <w:bottom w:val="single" w:sz="12" w:space="0" w:color="000000"/>
              <w:right w:val="single" w:sz="2" w:space="0" w:color="000000"/>
            </w:tcBorders>
          </w:tcPr>
          <w:p>
            <w:pPr>
              <w:pStyle w:val="TableParagraph"/>
              <w:spacing w:line="278" w:lineRule="auto" w:before="178"/>
              <w:ind w:left="275" w:right="211" w:firstLine="33"/>
              <w:jc w:val="left"/>
              <w:rPr>
                <w:sz w:val="21"/>
              </w:rPr>
            </w:pPr>
            <w:r>
              <w:rPr>
                <w:rFonts w:ascii="Times New Roman" w:hAnsi="Times New Roman" w:eastAsia="Times New Roman"/>
                <w:sz w:val="21"/>
              </w:rPr>
              <w:t>γ </w:t>
            </w:r>
            <w:r>
              <w:rPr>
                <w:sz w:val="21"/>
              </w:rPr>
              <w:t>辐射剂量率</w:t>
            </w:r>
          </w:p>
        </w:tc>
        <w:tc>
          <w:tcPr>
            <w:tcW w:w="5238" w:type="dxa"/>
            <w:gridSpan w:val="5"/>
            <w:tcBorders>
              <w:top w:val="single" w:sz="12" w:space="0" w:color="000000"/>
              <w:left w:val="single" w:sz="2" w:space="0" w:color="000000"/>
              <w:bottom w:val="single" w:sz="12" w:space="0" w:color="000000"/>
              <w:right w:val="single" w:sz="2" w:space="0" w:color="000000"/>
            </w:tcBorders>
          </w:tcPr>
          <w:p>
            <w:pPr>
              <w:pStyle w:val="TableParagraph"/>
              <w:numPr>
                <w:ilvl w:val="0"/>
                <w:numId w:val="11"/>
              </w:numPr>
              <w:tabs>
                <w:tab w:pos="213" w:val="left" w:leader="none"/>
              </w:tabs>
              <w:spacing w:line="240" w:lineRule="auto" w:before="180" w:after="0"/>
              <w:ind w:left="212" w:right="0" w:hanging="159"/>
              <w:jc w:val="left"/>
              <w:rPr>
                <w:rFonts w:ascii="Times New Roman" w:hAnsi="Times New Roman" w:eastAsia="Times New Roman"/>
                <w:sz w:val="21"/>
              </w:rPr>
            </w:pPr>
            <w:r>
              <w:rPr>
                <w:spacing w:val="8"/>
                <w:sz w:val="21"/>
              </w:rPr>
              <w:t>《环境地表</w:t>
            </w:r>
            <w:r>
              <w:rPr>
                <w:rFonts w:ascii="Times New Roman" w:hAnsi="Times New Roman" w:eastAsia="Times New Roman"/>
                <w:sz w:val="21"/>
              </w:rPr>
              <w:t>γ</w:t>
            </w:r>
            <w:r>
              <w:rPr>
                <w:rFonts w:ascii="Times New Roman" w:hAnsi="Times New Roman" w:eastAsia="Times New Roman"/>
                <w:spacing w:val="-1"/>
                <w:sz w:val="21"/>
              </w:rPr>
              <w:t> </w:t>
            </w:r>
            <w:r>
              <w:rPr>
                <w:spacing w:val="-4"/>
                <w:sz w:val="21"/>
              </w:rPr>
              <w:t>辐射剂量率测定规范》</w:t>
            </w:r>
            <w:r>
              <w:rPr>
                <w:rFonts w:ascii="Times New Roman" w:hAnsi="Times New Roman" w:eastAsia="Times New Roman"/>
                <w:sz w:val="21"/>
              </w:rPr>
              <w:t>(HJ</w:t>
            </w:r>
            <w:r>
              <w:rPr>
                <w:rFonts w:ascii="Times New Roman" w:hAnsi="Times New Roman" w:eastAsia="Times New Roman"/>
                <w:spacing w:val="-3"/>
                <w:sz w:val="21"/>
              </w:rPr>
              <w:t> </w:t>
            </w:r>
            <w:r>
              <w:rPr>
                <w:rFonts w:ascii="Times New Roman" w:hAnsi="Times New Roman" w:eastAsia="Times New Roman"/>
                <w:sz w:val="21"/>
              </w:rPr>
              <w:t>1157-2021)</w:t>
            </w:r>
          </w:p>
          <w:p>
            <w:pPr>
              <w:pStyle w:val="TableParagraph"/>
              <w:numPr>
                <w:ilvl w:val="0"/>
                <w:numId w:val="11"/>
              </w:numPr>
              <w:tabs>
                <w:tab w:pos="213" w:val="left" w:leader="none"/>
              </w:tabs>
              <w:spacing w:line="240" w:lineRule="auto" w:before="14" w:after="0"/>
              <w:ind w:left="212" w:right="0" w:hanging="159"/>
              <w:jc w:val="left"/>
              <w:rPr>
                <w:sz w:val="21"/>
              </w:rPr>
            </w:pPr>
            <w:r>
              <w:rPr>
                <w:spacing w:val="-4"/>
                <w:sz w:val="21"/>
              </w:rPr>
              <w:t>《辐射环境监测技术规范》(</w:t>
            </w:r>
            <w:r>
              <w:rPr>
                <w:rFonts w:ascii="Times New Roman" w:eastAsia="Times New Roman"/>
                <w:sz w:val="21"/>
              </w:rPr>
              <w:t>HJ</w:t>
            </w:r>
            <w:r>
              <w:rPr>
                <w:rFonts w:ascii="Times New Roman" w:eastAsia="Times New Roman"/>
                <w:spacing w:val="-2"/>
                <w:sz w:val="21"/>
              </w:rPr>
              <w:t> </w:t>
            </w:r>
            <w:r>
              <w:rPr>
                <w:rFonts w:ascii="Times New Roman" w:eastAsia="Times New Roman"/>
                <w:sz w:val="21"/>
              </w:rPr>
              <w:t>61-2021</w:t>
            </w:r>
            <w:r>
              <w:rPr>
                <w:sz w:val="21"/>
              </w:rPr>
              <w:t>)</w:t>
            </w:r>
          </w:p>
        </w:tc>
        <w:tc>
          <w:tcPr>
            <w:tcW w:w="851" w:type="dxa"/>
            <w:tcBorders>
              <w:top w:val="single" w:sz="12" w:space="0" w:color="000000"/>
              <w:left w:val="single" w:sz="2" w:space="0" w:color="000000"/>
              <w:bottom w:val="single" w:sz="12" w:space="0" w:color="000000"/>
            </w:tcBorders>
          </w:tcPr>
          <w:p>
            <w:pPr>
              <w:pStyle w:val="TableParagraph"/>
              <w:spacing w:before="2"/>
              <w:jc w:val="left"/>
              <w:rPr>
                <w:sz w:val="27"/>
              </w:rPr>
            </w:pPr>
          </w:p>
          <w:p>
            <w:pPr>
              <w:pStyle w:val="TableParagraph"/>
              <w:ind w:left="78"/>
              <w:jc w:val="left"/>
              <w:rPr>
                <w:rFonts w:ascii="Times New Roman"/>
                <w:sz w:val="21"/>
              </w:rPr>
            </w:pPr>
            <w:r>
              <w:rPr>
                <w:rFonts w:ascii="Times New Roman"/>
                <w:sz w:val="21"/>
              </w:rPr>
              <w:t>10nSv/h</w:t>
            </w:r>
          </w:p>
        </w:tc>
        <w:tc>
          <w:tcPr>
            <w:tcW w:w="1849" w:type="dxa"/>
            <w:tcBorders>
              <w:top w:val="single" w:sz="12" w:space="0" w:color="000000"/>
              <w:bottom w:val="single" w:sz="12" w:space="0" w:color="000000"/>
            </w:tcBorders>
          </w:tcPr>
          <w:p>
            <w:pPr>
              <w:pStyle w:val="TableParagraph"/>
              <w:spacing w:line="278" w:lineRule="auto" w:before="22"/>
              <w:ind w:left="52" w:right="88"/>
              <w:jc w:val="left"/>
              <w:rPr>
                <w:sz w:val="21"/>
              </w:rPr>
            </w:pPr>
            <w:r>
              <w:rPr>
                <w:sz w:val="21"/>
              </w:rPr>
              <w:t>探测限为本次测量使用方法和仪器的</w:t>
            </w:r>
          </w:p>
          <w:p>
            <w:pPr>
              <w:pStyle w:val="TableParagraph"/>
              <w:spacing w:line="269" w:lineRule="exact"/>
              <w:ind w:left="52"/>
              <w:jc w:val="left"/>
              <w:rPr>
                <w:sz w:val="21"/>
              </w:rPr>
            </w:pPr>
            <w:r>
              <w:rPr>
                <w:sz w:val="21"/>
              </w:rPr>
              <w:t>综合技术指标</w:t>
            </w:r>
          </w:p>
        </w:tc>
      </w:tr>
      <w:tr>
        <w:trPr>
          <w:trHeight w:val="778" w:hRule="atLeast"/>
        </w:trPr>
        <w:tc>
          <w:tcPr>
            <w:tcW w:w="9068" w:type="dxa"/>
            <w:gridSpan w:val="8"/>
            <w:tcBorders>
              <w:top w:val="single" w:sz="12" w:space="0" w:color="000000"/>
              <w:bottom w:val="single" w:sz="12" w:space="0" w:color="000000"/>
            </w:tcBorders>
          </w:tcPr>
          <w:p>
            <w:pPr>
              <w:pStyle w:val="TableParagraph"/>
              <w:spacing w:before="81"/>
              <w:ind w:left="587"/>
              <w:jc w:val="left"/>
              <w:rPr>
                <w:sz w:val="24"/>
              </w:rPr>
            </w:pPr>
            <w:r>
              <w:rPr>
                <w:sz w:val="24"/>
              </w:rPr>
              <w:t>监测使用仪器及环境条件见表 </w:t>
            </w:r>
            <w:r>
              <w:rPr>
                <w:rFonts w:ascii="Times New Roman" w:eastAsia="Times New Roman"/>
                <w:sz w:val="24"/>
              </w:rPr>
              <w:t>8-2</w:t>
            </w:r>
            <w:r>
              <w:rPr>
                <w:sz w:val="24"/>
              </w:rPr>
              <w:t>。</w:t>
            </w:r>
            <w:r>
              <w:rPr>
                <w:w w:val="50"/>
                <w:sz w:val="24"/>
              </w:rPr>
              <w:t> </w:t>
            </w:r>
          </w:p>
          <w:p>
            <w:pPr>
              <w:pStyle w:val="TableParagraph"/>
              <w:spacing w:line="269" w:lineRule="exact" w:before="101"/>
              <w:ind w:left="3188" w:right="3172"/>
              <w:rPr>
                <w:sz w:val="21"/>
              </w:rPr>
            </w:pPr>
            <w:r>
              <w:rPr>
                <w:sz w:val="21"/>
              </w:rPr>
              <w:t>表 </w:t>
            </w:r>
            <w:r>
              <w:rPr>
                <w:rFonts w:ascii="Times New Roman" w:eastAsia="Times New Roman"/>
                <w:sz w:val="21"/>
              </w:rPr>
              <w:t>8-2 </w:t>
            </w:r>
            <w:r>
              <w:rPr>
                <w:sz w:val="21"/>
              </w:rPr>
              <w:t>监测使用仪器表</w:t>
            </w:r>
          </w:p>
        </w:tc>
      </w:tr>
      <w:tr>
        <w:trPr>
          <w:trHeight w:val="325" w:hRule="atLeast"/>
        </w:trPr>
        <w:tc>
          <w:tcPr>
            <w:tcW w:w="1617" w:type="dxa"/>
            <w:gridSpan w:val="2"/>
            <w:vMerge w:val="restart"/>
            <w:tcBorders>
              <w:top w:val="single" w:sz="12" w:space="0" w:color="000000"/>
              <w:bottom w:val="single" w:sz="12" w:space="0" w:color="000000"/>
              <w:right w:val="single" w:sz="2" w:space="0" w:color="000000"/>
            </w:tcBorders>
          </w:tcPr>
          <w:p>
            <w:pPr>
              <w:pStyle w:val="TableParagraph"/>
              <w:spacing w:before="204"/>
              <w:ind w:left="414"/>
              <w:jc w:val="left"/>
              <w:rPr>
                <w:sz w:val="21"/>
              </w:rPr>
            </w:pPr>
            <w:r>
              <w:rPr>
                <w:sz w:val="21"/>
              </w:rPr>
              <w:t>监测项目</w:t>
            </w:r>
          </w:p>
        </w:tc>
        <w:tc>
          <w:tcPr>
            <w:tcW w:w="7451" w:type="dxa"/>
            <w:gridSpan w:val="6"/>
            <w:tcBorders>
              <w:top w:val="single" w:sz="12" w:space="0" w:color="000000"/>
              <w:left w:val="single" w:sz="2" w:space="0" w:color="000000"/>
            </w:tcBorders>
          </w:tcPr>
          <w:p>
            <w:pPr>
              <w:pStyle w:val="TableParagraph"/>
              <w:spacing w:before="34"/>
              <w:ind w:left="3263" w:right="3299"/>
              <w:rPr>
                <w:sz w:val="21"/>
              </w:rPr>
            </w:pPr>
            <w:r>
              <w:rPr>
                <w:sz w:val="21"/>
              </w:rPr>
              <w:t>监测设备</w:t>
            </w:r>
          </w:p>
        </w:tc>
      </w:tr>
      <w:tr>
        <w:trPr>
          <w:trHeight w:val="320" w:hRule="atLeast"/>
        </w:trPr>
        <w:tc>
          <w:tcPr>
            <w:tcW w:w="1617" w:type="dxa"/>
            <w:gridSpan w:val="2"/>
            <w:vMerge/>
            <w:tcBorders>
              <w:top w:val="nil"/>
              <w:bottom w:val="single" w:sz="12" w:space="0" w:color="000000"/>
              <w:right w:val="single" w:sz="2" w:space="0" w:color="000000"/>
            </w:tcBorders>
          </w:tcPr>
          <w:p>
            <w:pPr>
              <w:rPr>
                <w:sz w:val="2"/>
                <w:szCs w:val="2"/>
              </w:rPr>
            </w:pPr>
          </w:p>
        </w:tc>
        <w:tc>
          <w:tcPr>
            <w:tcW w:w="2628" w:type="dxa"/>
            <w:tcBorders>
              <w:left w:val="single" w:sz="2" w:space="0" w:color="000000"/>
              <w:bottom w:val="single" w:sz="12" w:space="0" w:color="000000"/>
              <w:right w:val="single" w:sz="2" w:space="0" w:color="000000"/>
            </w:tcBorders>
          </w:tcPr>
          <w:p>
            <w:pPr>
              <w:pStyle w:val="TableParagraph"/>
              <w:spacing w:line="269" w:lineRule="exact" w:before="31"/>
              <w:ind w:left="135" w:right="124"/>
              <w:rPr>
                <w:sz w:val="21"/>
              </w:rPr>
            </w:pPr>
            <w:r>
              <w:rPr>
                <w:sz w:val="21"/>
              </w:rPr>
              <w:t>仪器名称</w:t>
            </w:r>
          </w:p>
        </w:tc>
        <w:tc>
          <w:tcPr>
            <w:tcW w:w="1274" w:type="dxa"/>
            <w:gridSpan w:val="2"/>
            <w:tcBorders>
              <w:left w:val="single" w:sz="2" w:space="0" w:color="000000"/>
              <w:bottom w:val="single" w:sz="12" w:space="0" w:color="000000"/>
              <w:right w:val="single" w:sz="2" w:space="0" w:color="000000"/>
            </w:tcBorders>
          </w:tcPr>
          <w:p>
            <w:pPr>
              <w:pStyle w:val="TableParagraph"/>
              <w:spacing w:line="269" w:lineRule="exact" w:before="31"/>
              <w:ind w:left="218"/>
              <w:jc w:val="left"/>
              <w:rPr>
                <w:sz w:val="21"/>
              </w:rPr>
            </w:pPr>
            <w:r>
              <w:rPr>
                <w:sz w:val="21"/>
              </w:rPr>
              <w:t>仪器编号</w:t>
            </w:r>
          </w:p>
        </w:tc>
        <w:tc>
          <w:tcPr>
            <w:tcW w:w="3549" w:type="dxa"/>
            <w:gridSpan w:val="3"/>
            <w:tcBorders>
              <w:left w:val="single" w:sz="2" w:space="0" w:color="000000"/>
              <w:bottom w:val="single" w:sz="12" w:space="0" w:color="000000"/>
            </w:tcBorders>
          </w:tcPr>
          <w:p>
            <w:pPr>
              <w:pStyle w:val="TableParagraph"/>
              <w:spacing w:line="269" w:lineRule="exact" w:before="31"/>
              <w:ind w:left="1313" w:right="1348"/>
              <w:rPr>
                <w:sz w:val="21"/>
              </w:rPr>
            </w:pPr>
            <w:r>
              <w:rPr>
                <w:sz w:val="21"/>
              </w:rPr>
              <w:t>检定情况</w:t>
            </w:r>
          </w:p>
        </w:tc>
      </w:tr>
      <w:tr>
        <w:trPr>
          <w:trHeight w:val="546" w:hRule="atLeast"/>
        </w:trPr>
        <w:tc>
          <w:tcPr>
            <w:tcW w:w="1617" w:type="dxa"/>
            <w:gridSpan w:val="2"/>
            <w:tcBorders>
              <w:top w:val="single" w:sz="12" w:space="0" w:color="000000"/>
              <w:bottom w:val="single" w:sz="12" w:space="0" w:color="000000"/>
              <w:right w:val="single" w:sz="2" w:space="0" w:color="000000"/>
            </w:tcBorders>
          </w:tcPr>
          <w:p>
            <w:pPr>
              <w:pStyle w:val="TableParagraph"/>
              <w:spacing w:before="139"/>
              <w:ind w:left="237"/>
              <w:jc w:val="left"/>
              <w:rPr>
                <w:sz w:val="21"/>
              </w:rPr>
            </w:pPr>
            <w:r>
              <w:rPr>
                <w:rFonts w:ascii="Times New Roman" w:hAnsi="Times New Roman" w:eastAsia="Times New Roman"/>
                <w:sz w:val="21"/>
              </w:rPr>
              <w:t>γ </w:t>
            </w:r>
            <w:r>
              <w:rPr>
                <w:sz w:val="21"/>
              </w:rPr>
              <w:t>辐射剂量率</w:t>
            </w:r>
          </w:p>
        </w:tc>
        <w:tc>
          <w:tcPr>
            <w:tcW w:w="2628" w:type="dxa"/>
            <w:tcBorders>
              <w:top w:val="single" w:sz="12" w:space="0" w:color="000000"/>
              <w:left w:val="single" w:sz="2" w:space="0" w:color="000000"/>
              <w:bottom w:val="single" w:sz="12" w:space="0" w:color="000000"/>
              <w:right w:val="single" w:sz="2" w:space="0" w:color="000000"/>
            </w:tcBorders>
          </w:tcPr>
          <w:p>
            <w:pPr>
              <w:pStyle w:val="TableParagraph"/>
              <w:spacing w:before="17"/>
              <w:ind w:left="133" w:right="126"/>
              <w:rPr>
                <w:rFonts w:ascii="Times New Roman"/>
                <w:sz w:val="21"/>
              </w:rPr>
            </w:pPr>
            <w:r>
              <w:rPr>
                <w:rFonts w:ascii="Times New Roman"/>
                <w:sz w:val="21"/>
              </w:rPr>
              <w:t>FH40G+FHZ672E-10</w:t>
            </w:r>
          </w:p>
          <w:p>
            <w:pPr>
              <w:pStyle w:val="TableParagraph"/>
              <w:spacing w:line="266" w:lineRule="exact" w:before="1"/>
              <w:ind w:left="135" w:right="126"/>
              <w:rPr>
                <w:sz w:val="21"/>
              </w:rPr>
            </w:pPr>
            <w:r>
              <w:rPr>
                <w:sz w:val="21"/>
              </w:rPr>
              <w:t>便携式环境</w:t>
            </w:r>
            <w:r>
              <w:rPr>
                <w:rFonts w:ascii="Times New Roman" w:hAnsi="Times New Roman" w:eastAsia="Times New Roman"/>
                <w:sz w:val="21"/>
              </w:rPr>
              <w:t>X-</w:t>
            </w:r>
            <w:r>
              <w:rPr>
                <w:sz w:val="21"/>
              </w:rPr>
              <w:t>γ剂量率仪</w:t>
            </w:r>
          </w:p>
        </w:tc>
        <w:tc>
          <w:tcPr>
            <w:tcW w:w="1274" w:type="dxa"/>
            <w:gridSpan w:val="2"/>
            <w:tcBorders>
              <w:top w:val="single" w:sz="12" w:space="0" w:color="000000"/>
              <w:left w:val="single" w:sz="2" w:space="0" w:color="000000"/>
              <w:bottom w:val="single" w:sz="12" w:space="0" w:color="000000"/>
              <w:right w:val="single" w:sz="2" w:space="0" w:color="000000"/>
            </w:tcBorders>
          </w:tcPr>
          <w:p>
            <w:pPr>
              <w:pStyle w:val="TableParagraph"/>
              <w:spacing w:before="153"/>
              <w:ind w:left="113"/>
              <w:jc w:val="left"/>
              <w:rPr>
                <w:rFonts w:ascii="Times New Roman"/>
                <w:sz w:val="21"/>
              </w:rPr>
            </w:pPr>
            <w:r>
              <w:rPr>
                <w:rFonts w:ascii="Times New Roman"/>
                <w:sz w:val="21"/>
              </w:rPr>
              <w:t>SCRDS-004</w:t>
            </w:r>
          </w:p>
        </w:tc>
        <w:tc>
          <w:tcPr>
            <w:tcW w:w="3549" w:type="dxa"/>
            <w:gridSpan w:val="3"/>
            <w:tcBorders>
              <w:top w:val="single" w:sz="12" w:space="0" w:color="000000"/>
              <w:left w:val="single" w:sz="2" w:space="0" w:color="000000"/>
              <w:bottom w:val="single" w:sz="12" w:space="0" w:color="000000"/>
            </w:tcBorders>
          </w:tcPr>
          <w:p>
            <w:pPr>
              <w:pStyle w:val="TableParagraph"/>
              <w:spacing w:line="270" w:lineRule="atLeast" w:before="2"/>
              <w:ind w:left="53" w:right="198" w:firstLine="225"/>
              <w:jc w:val="left"/>
              <w:rPr>
                <w:rFonts w:ascii="Times New Roman" w:eastAsia="Times New Roman"/>
                <w:sz w:val="21"/>
              </w:rPr>
            </w:pPr>
            <w:r>
              <w:rPr>
                <w:sz w:val="21"/>
              </w:rPr>
              <w:t>检定单位：中国测试技术研究院检定有效期：</w:t>
            </w:r>
            <w:r>
              <w:rPr>
                <w:rFonts w:ascii="Times New Roman" w:eastAsia="Times New Roman"/>
                <w:sz w:val="21"/>
              </w:rPr>
              <w:t>2021.12.01~2022.11.30</w:t>
            </w:r>
          </w:p>
        </w:tc>
      </w:tr>
      <w:tr>
        <w:trPr>
          <w:trHeight w:val="5926" w:hRule="atLeast"/>
        </w:trPr>
        <w:tc>
          <w:tcPr>
            <w:tcW w:w="9068" w:type="dxa"/>
            <w:gridSpan w:val="8"/>
            <w:tcBorders>
              <w:top w:val="single" w:sz="12" w:space="0" w:color="000000"/>
              <w:bottom w:val="single" w:sz="12" w:space="0" w:color="000000"/>
            </w:tcBorders>
          </w:tcPr>
          <w:p>
            <w:pPr>
              <w:pStyle w:val="TableParagraph"/>
              <w:spacing w:before="81"/>
              <w:ind w:left="590"/>
              <w:jc w:val="left"/>
              <w:rPr>
                <w:sz w:val="24"/>
              </w:rPr>
            </w:pPr>
            <w:r>
              <w:rPr>
                <w:sz w:val="24"/>
              </w:rPr>
              <w:t>2、质量保证措施</w:t>
            </w:r>
            <w:r>
              <w:rPr>
                <w:w w:val="50"/>
                <w:sz w:val="24"/>
              </w:rPr>
              <w:t> </w:t>
            </w:r>
          </w:p>
          <w:p>
            <w:pPr>
              <w:pStyle w:val="TableParagraph"/>
              <w:spacing w:line="364" w:lineRule="auto" w:before="160"/>
              <w:ind w:left="107" w:right="91" w:firstLine="480"/>
              <w:jc w:val="left"/>
              <w:rPr>
                <w:sz w:val="24"/>
              </w:rPr>
            </w:pPr>
            <w:r>
              <w:rPr>
                <w:spacing w:val="-6"/>
                <w:sz w:val="24"/>
              </w:rPr>
              <w:t>计量认证：四川瑞迪森检测技术有限公司通过了四川省质量技术监督局的计量认</w:t>
            </w:r>
            <w:r>
              <w:rPr>
                <w:sz w:val="24"/>
              </w:rPr>
              <w:t>证（</w:t>
            </w:r>
            <w:r>
              <w:rPr>
                <w:spacing w:val="-1"/>
                <w:sz w:val="24"/>
              </w:rPr>
              <w:t>计量认证号：</w:t>
            </w:r>
            <w:r>
              <w:rPr>
                <w:rFonts w:ascii="Times New Roman" w:eastAsia="Times New Roman"/>
                <w:sz w:val="24"/>
              </w:rPr>
              <w:t>17231205008</w:t>
            </w:r>
            <w:r>
              <w:rPr>
                <w:rFonts w:ascii="Times New Roman" w:eastAsia="Times New Roman"/>
                <w:spacing w:val="-1"/>
                <w:sz w:val="24"/>
              </w:rPr>
              <w:t>2</w:t>
            </w:r>
            <w:r>
              <w:rPr>
                <w:spacing w:val="-120"/>
                <w:sz w:val="24"/>
              </w:rPr>
              <w:t>）</w:t>
            </w:r>
            <w:r>
              <w:rPr>
                <w:sz w:val="24"/>
              </w:rPr>
              <w:t>。</w:t>
            </w:r>
          </w:p>
          <w:p>
            <w:pPr>
              <w:pStyle w:val="TableParagraph"/>
              <w:spacing w:before="1"/>
              <w:ind w:left="587"/>
              <w:jc w:val="left"/>
              <w:rPr>
                <w:sz w:val="24"/>
              </w:rPr>
            </w:pPr>
            <w:r>
              <w:rPr>
                <w:sz w:val="24"/>
              </w:rPr>
              <w:t>人员培训：监测人员经考核并持有合格证书上岗。</w:t>
            </w:r>
          </w:p>
          <w:p>
            <w:pPr>
              <w:pStyle w:val="TableParagraph"/>
              <w:spacing w:line="364" w:lineRule="auto" w:before="161"/>
              <w:ind w:left="587" w:right="1507"/>
              <w:jc w:val="left"/>
              <w:rPr>
                <w:sz w:val="24"/>
              </w:rPr>
            </w:pPr>
            <w:r>
              <w:rPr>
                <w:sz w:val="24"/>
              </w:rPr>
              <w:t>仪器刻度：监测仪器定期经计量部门检定，监测期间在有效期内。自检：每次测量前、后均检查仪器的工作状态。</w:t>
            </w:r>
          </w:p>
          <w:p>
            <w:pPr>
              <w:pStyle w:val="TableParagraph"/>
              <w:spacing w:before="1"/>
              <w:ind w:left="587"/>
              <w:jc w:val="left"/>
              <w:rPr>
                <w:sz w:val="24"/>
              </w:rPr>
            </w:pPr>
            <w:r>
              <w:rPr>
                <w:sz w:val="24"/>
              </w:rPr>
              <w:t>监测记录：现场监测过程，专业人员按操作规程操作仪器，并做好记录。</w:t>
            </w:r>
          </w:p>
          <w:p>
            <w:pPr>
              <w:pStyle w:val="TableParagraph"/>
              <w:spacing w:line="364" w:lineRule="auto" w:before="161"/>
              <w:ind w:left="107" w:right="41" w:firstLine="480"/>
              <w:jc w:val="left"/>
              <w:rPr>
                <w:sz w:val="24"/>
              </w:rPr>
            </w:pPr>
            <w:r>
              <w:rPr>
                <w:sz w:val="24"/>
              </w:rPr>
              <w:t>数据处理与复核：监测报告实行三级审核制度，经校对审核，最后由授权签字人审定签发。</w:t>
            </w:r>
          </w:p>
          <w:p>
            <w:pPr>
              <w:pStyle w:val="TableParagraph"/>
              <w:spacing w:before="1"/>
              <w:ind w:left="590"/>
              <w:jc w:val="left"/>
              <w:rPr>
                <w:sz w:val="24"/>
              </w:rPr>
            </w:pPr>
            <w:r>
              <w:rPr>
                <w:sz w:val="24"/>
              </w:rPr>
              <w:t>3、比较标准</w:t>
            </w:r>
            <w:r>
              <w:rPr>
                <w:w w:val="50"/>
                <w:sz w:val="24"/>
              </w:rPr>
              <w:t> </w:t>
            </w:r>
          </w:p>
          <w:p>
            <w:pPr>
              <w:pStyle w:val="TableParagraph"/>
              <w:spacing w:line="364" w:lineRule="auto" w:before="160"/>
              <w:ind w:left="107" w:right="92" w:firstLine="480"/>
              <w:jc w:val="left"/>
              <w:rPr>
                <w:sz w:val="24"/>
              </w:rPr>
            </w:pPr>
            <w:r>
              <w:rPr>
                <w:spacing w:val="-4"/>
                <w:sz w:val="24"/>
              </w:rPr>
              <w:t>项目所在地环境天然贯穿辐射水平参考四川省生态环境厅《</w:t>
            </w:r>
            <w:r>
              <w:rPr>
                <w:rFonts w:ascii="Times New Roman" w:hAnsi="Times New Roman" w:eastAsia="Times New Roman"/>
                <w:sz w:val="24"/>
              </w:rPr>
              <w:t>2020 </w:t>
            </w:r>
            <w:r>
              <w:rPr>
                <w:spacing w:val="-3"/>
                <w:sz w:val="24"/>
              </w:rPr>
              <w:t>年四川省生态环</w:t>
            </w:r>
            <w:r>
              <w:rPr>
                <w:spacing w:val="-6"/>
                <w:sz w:val="24"/>
              </w:rPr>
              <w:t>境状况公报》中四川省 </w:t>
            </w:r>
            <w:r>
              <w:rPr>
                <w:rFonts w:ascii="Times New Roman" w:hAnsi="Times New Roman" w:eastAsia="Times New Roman"/>
                <w:sz w:val="24"/>
              </w:rPr>
              <w:t>γ </w:t>
            </w:r>
            <w:r>
              <w:rPr>
                <w:sz w:val="24"/>
              </w:rPr>
              <w:t>辐射空气吸收剂量率范围。</w:t>
            </w:r>
          </w:p>
          <w:p>
            <w:pPr>
              <w:pStyle w:val="TableParagraph"/>
              <w:spacing w:line="211" w:lineRule="exact"/>
              <w:ind w:left="3188" w:right="3176"/>
              <w:rPr>
                <w:sz w:val="21"/>
              </w:rPr>
            </w:pPr>
            <w:r>
              <w:rPr>
                <w:spacing w:val="-27"/>
                <w:sz w:val="21"/>
              </w:rPr>
              <w:t>表 </w:t>
            </w:r>
            <w:r>
              <w:rPr>
                <w:rFonts w:ascii="Times New Roman" w:eastAsia="Times New Roman"/>
                <w:sz w:val="21"/>
              </w:rPr>
              <w:t>8-3 </w:t>
            </w:r>
            <w:r>
              <w:rPr>
                <w:spacing w:val="-4"/>
                <w:sz w:val="21"/>
              </w:rPr>
              <w:t>四川省空气吸收剂量率</w:t>
            </w:r>
          </w:p>
        </w:tc>
      </w:tr>
      <w:tr>
        <w:trPr>
          <w:trHeight w:val="339" w:hRule="atLeast"/>
        </w:trPr>
        <w:tc>
          <w:tcPr>
            <w:tcW w:w="4389" w:type="dxa"/>
            <w:gridSpan w:val="4"/>
            <w:tcBorders>
              <w:top w:val="single" w:sz="12" w:space="0" w:color="000000"/>
              <w:bottom w:val="single" w:sz="12" w:space="0" w:color="000000"/>
              <w:right w:val="single" w:sz="2" w:space="0" w:color="000000"/>
            </w:tcBorders>
          </w:tcPr>
          <w:p>
            <w:pPr>
              <w:pStyle w:val="TableParagraph"/>
              <w:spacing w:before="39"/>
              <w:ind w:left="1889" w:right="1822"/>
              <w:rPr>
                <w:sz w:val="21"/>
              </w:rPr>
            </w:pPr>
            <w:r>
              <w:rPr>
                <w:sz w:val="21"/>
              </w:rPr>
              <w:t>地点</w:t>
            </w:r>
          </w:p>
        </w:tc>
        <w:tc>
          <w:tcPr>
            <w:tcW w:w="4679" w:type="dxa"/>
            <w:gridSpan w:val="4"/>
            <w:tcBorders>
              <w:top w:val="single" w:sz="12" w:space="0" w:color="000000"/>
              <w:left w:val="single" w:sz="2" w:space="0" w:color="000000"/>
              <w:bottom w:val="single" w:sz="12" w:space="0" w:color="000000"/>
            </w:tcBorders>
          </w:tcPr>
          <w:p>
            <w:pPr>
              <w:pStyle w:val="TableParagraph"/>
              <w:spacing w:before="39"/>
              <w:ind w:left="615"/>
              <w:jc w:val="left"/>
              <w:rPr>
                <w:sz w:val="21"/>
              </w:rPr>
            </w:pPr>
            <w:r>
              <w:rPr>
                <w:rFonts w:ascii="Times New Roman" w:hAnsi="Times New Roman" w:eastAsia="Times New Roman"/>
                <w:sz w:val="21"/>
              </w:rPr>
              <w:t>γ </w:t>
            </w:r>
            <w:r>
              <w:rPr>
                <w:sz w:val="21"/>
              </w:rPr>
              <w:t>辐射空气吸收剂量率范围（</w:t>
            </w:r>
            <w:r>
              <w:rPr>
                <w:rFonts w:ascii="Times New Roman" w:hAnsi="Times New Roman" w:eastAsia="Times New Roman"/>
                <w:sz w:val="21"/>
              </w:rPr>
              <w:t>nGy/h</w:t>
            </w:r>
            <w:r>
              <w:rPr>
                <w:sz w:val="21"/>
              </w:rPr>
              <w:t>）</w:t>
            </w:r>
          </w:p>
        </w:tc>
      </w:tr>
      <w:tr>
        <w:trPr>
          <w:trHeight w:val="341" w:hRule="atLeast"/>
        </w:trPr>
        <w:tc>
          <w:tcPr>
            <w:tcW w:w="4389" w:type="dxa"/>
            <w:gridSpan w:val="4"/>
            <w:tcBorders>
              <w:top w:val="single" w:sz="12" w:space="0" w:color="000000"/>
              <w:bottom w:val="single" w:sz="12" w:space="0" w:color="000000"/>
              <w:right w:val="single" w:sz="2" w:space="0" w:color="000000"/>
            </w:tcBorders>
          </w:tcPr>
          <w:p>
            <w:pPr>
              <w:pStyle w:val="TableParagraph"/>
              <w:spacing w:before="39"/>
              <w:ind w:left="1889" w:right="1822"/>
              <w:rPr>
                <w:sz w:val="21"/>
              </w:rPr>
            </w:pPr>
            <w:r>
              <w:rPr>
                <w:sz w:val="21"/>
              </w:rPr>
              <w:t>四川省</w:t>
            </w:r>
          </w:p>
        </w:tc>
        <w:tc>
          <w:tcPr>
            <w:tcW w:w="4679" w:type="dxa"/>
            <w:gridSpan w:val="4"/>
            <w:tcBorders>
              <w:top w:val="single" w:sz="12" w:space="0" w:color="000000"/>
              <w:left w:val="single" w:sz="2" w:space="0" w:color="000000"/>
              <w:bottom w:val="single" w:sz="12" w:space="0" w:color="000000"/>
            </w:tcBorders>
          </w:tcPr>
          <w:p>
            <w:pPr>
              <w:pStyle w:val="TableParagraph"/>
              <w:spacing w:before="53"/>
              <w:ind w:left="1981" w:right="1809"/>
              <w:rPr>
                <w:rFonts w:ascii="Times New Roman"/>
                <w:sz w:val="21"/>
              </w:rPr>
            </w:pPr>
            <w:r>
              <w:rPr>
                <w:rFonts w:ascii="Times New Roman"/>
                <w:sz w:val="21"/>
              </w:rPr>
              <w:t>130nGy/h</w:t>
            </w:r>
          </w:p>
        </w:tc>
      </w:tr>
      <w:tr>
        <w:trPr>
          <w:trHeight w:val="935" w:hRule="atLeast"/>
        </w:trPr>
        <w:tc>
          <w:tcPr>
            <w:tcW w:w="9068" w:type="dxa"/>
            <w:gridSpan w:val="8"/>
            <w:tcBorders>
              <w:top w:val="single" w:sz="12" w:space="0" w:color="000000"/>
            </w:tcBorders>
          </w:tcPr>
          <w:p>
            <w:pPr>
              <w:pStyle w:val="TableParagraph"/>
              <w:spacing w:before="78"/>
              <w:ind w:left="590"/>
              <w:jc w:val="left"/>
              <w:rPr>
                <w:sz w:val="24"/>
              </w:rPr>
            </w:pPr>
            <w:r>
              <w:rPr>
                <w:w w:val="50"/>
                <w:sz w:val="24"/>
              </w:rPr>
              <w:t> </w:t>
            </w:r>
          </w:p>
          <w:p>
            <w:pPr>
              <w:pStyle w:val="TableParagraph"/>
              <w:spacing w:before="161"/>
              <w:ind w:left="590"/>
              <w:jc w:val="left"/>
              <w:rPr>
                <w:sz w:val="24"/>
              </w:rPr>
            </w:pPr>
            <w:r>
              <w:rPr>
                <w:w w:val="50"/>
                <w:sz w:val="24"/>
              </w:rPr>
              <w:t> </w:t>
            </w:r>
          </w:p>
        </w:tc>
      </w:tr>
    </w:tbl>
    <w:p>
      <w:pPr>
        <w:spacing w:after="0"/>
        <w:jc w:val="left"/>
        <w:rPr>
          <w:sz w:val="24"/>
        </w:rPr>
        <w:sectPr>
          <w:footerReference w:type="default" r:id="rId15"/>
          <w:pgSz w:w="11910" w:h="16840"/>
          <w:pgMar w:footer="881" w:header="0" w:top="1220" w:bottom="1080" w:left="1480" w:right="1020"/>
          <w:pgNumType w:start="20"/>
        </w:sectPr>
      </w:pPr>
    </w:p>
    <w:p>
      <w:pPr>
        <w:pStyle w:val="BodyText"/>
        <w:spacing w:before="100"/>
        <w:ind w:left="754"/>
      </w:pPr>
      <w:r>
        <w:rPr/>
        <w:pict>
          <v:group style="position:absolute;margin-left:81.959999pt;margin-top:62.399937pt;width:454.1pt;height:712.8pt;mso-position-horizontal-relative:page;mso-position-vertical-relative:page;z-index:-211984" coordorigin="1639,1248" coordsize="9082,14256">
            <v:line style="position:absolute" from="1639,1253" to="10711,1253" stroked="true" strokeweight=".479999pt" strokecolor="#000000">
              <v:stroke dashstyle="solid"/>
            </v:line>
            <v:line style="position:absolute" from="1644,1258" to="1644,15504" stroked="true" strokeweight=".479999pt" strokecolor="#000000">
              <v:stroke dashstyle="solid"/>
            </v:line>
            <v:line style="position:absolute" from="1639,15499" to="10711,15499" stroked="true" strokeweight=".480011pt" strokecolor="#000000">
              <v:stroke dashstyle="solid"/>
            </v:line>
            <v:line style="position:absolute" from="10716,1248" to="10716,15504" stroked="true" strokeweight=".479966pt" strokecolor="#000000">
              <v:stroke dashstyle="solid"/>
            </v:line>
            <v:shape style="position:absolute;left:2616;top:9931;width:7028;height:5184" type="#_x0000_t75" stroked="false">
              <v:imagedata r:id="rId16" o:title=""/>
            </v:shape>
            <w10:wrap type="none"/>
          </v:group>
        </w:pict>
      </w:r>
      <w:r>
        <w:rPr/>
        <w:t>4、环境现状监测与评价</w:t>
      </w:r>
    </w:p>
    <w:p>
      <w:pPr>
        <w:pStyle w:val="BodyText"/>
        <w:spacing w:line="364" w:lineRule="auto" w:before="161"/>
        <w:ind w:left="272" w:right="156" w:firstLine="480"/>
      </w:pPr>
      <w:r>
        <w:rPr>
          <w:spacing w:val="-10"/>
        </w:rPr>
        <w:t>监测所用仪器已由计量部门年检，且在有效期内；测量方法按国家标准方法实施； </w:t>
      </w:r>
      <w:r>
        <w:rPr>
          <w:spacing w:val="-4"/>
        </w:rPr>
        <w:t>测量不确定度符合统计学要求；布点合理，结果可信，能够反映出辐射工作场所的客观辐射水平，可以作为本次评价的科学依据。</w:t>
      </w:r>
    </w:p>
    <w:p>
      <w:pPr>
        <w:pStyle w:val="BodyText"/>
        <w:spacing w:before="2"/>
        <w:ind w:left="752"/>
      </w:pPr>
      <w:r>
        <w:rPr/>
        <w:t>具体监测结果如下：</w:t>
      </w:r>
    </w:p>
    <w:p>
      <w:pPr>
        <w:tabs>
          <w:tab w:pos="6749" w:val="left" w:leader="none"/>
        </w:tabs>
        <w:spacing w:before="101" w:after="21"/>
        <w:ind w:left="1493" w:right="0" w:firstLine="0"/>
        <w:jc w:val="left"/>
        <w:rPr>
          <w:rFonts w:ascii="Times New Roman" w:hAnsi="Times New Roman" w:eastAsia="Times New Roman"/>
          <w:sz w:val="21"/>
        </w:rPr>
      </w:pPr>
      <w:r>
        <w:rPr>
          <w:sz w:val="21"/>
        </w:rPr>
        <w:t>表</w:t>
      </w:r>
      <w:r>
        <w:rPr>
          <w:spacing w:val="-50"/>
          <w:sz w:val="21"/>
        </w:rPr>
        <w:t> </w:t>
      </w:r>
      <w:r>
        <w:rPr>
          <w:rFonts w:ascii="Times New Roman" w:hAnsi="Times New Roman" w:eastAsia="Times New Roman"/>
          <w:sz w:val="21"/>
        </w:rPr>
        <w:t>8-4 </w:t>
      </w:r>
      <w:r>
        <w:rPr>
          <w:rFonts w:ascii="Times New Roman" w:hAnsi="Times New Roman" w:eastAsia="Times New Roman"/>
          <w:spacing w:val="4"/>
          <w:sz w:val="21"/>
        </w:rPr>
        <w:t> </w:t>
      </w:r>
      <w:r>
        <w:rPr>
          <w:sz w:val="21"/>
        </w:rPr>
        <w:t>介</w:t>
      </w:r>
      <w:r>
        <w:rPr>
          <w:spacing w:val="-3"/>
          <w:sz w:val="21"/>
        </w:rPr>
        <w:t>入</w:t>
      </w:r>
      <w:r>
        <w:rPr>
          <w:sz w:val="21"/>
        </w:rPr>
        <w:t>治</w:t>
      </w:r>
      <w:r>
        <w:rPr>
          <w:spacing w:val="-3"/>
          <w:sz w:val="21"/>
        </w:rPr>
        <w:t>疗</w:t>
      </w:r>
      <w:r>
        <w:rPr>
          <w:sz w:val="21"/>
        </w:rPr>
        <w:t>室</w:t>
      </w:r>
      <w:r>
        <w:rPr>
          <w:spacing w:val="-3"/>
          <w:sz w:val="21"/>
        </w:rPr>
        <w:t>及</w:t>
      </w:r>
      <w:r>
        <w:rPr>
          <w:sz w:val="21"/>
        </w:rPr>
        <w:t>其</w:t>
      </w:r>
      <w:r>
        <w:rPr>
          <w:spacing w:val="-5"/>
          <w:sz w:val="21"/>
        </w:rPr>
        <w:t>周</w:t>
      </w:r>
      <w:r>
        <w:rPr>
          <w:sz w:val="21"/>
        </w:rPr>
        <w:t>围</w:t>
      </w:r>
      <w:r>
        <w:rPr>
          <w:spacing w:val="-3"/>
          <w:sz w:val="21"/>
        </w:rPr>
        <w:t>环</w:t>
      </w:r>
      <w:r>
        <w:rPr>
          <w:sz w:val="21"/>
        </w:rPr>
        <w:t>境</w:t>
      </w:r>
      <w:r>
        <w:rPr>
          <w:spacing w:val="-48"/>
          <w:sz w:val="21"/>
        </w:rPr>
        <w:t> </w:t>
      </w:r>
      <w:r>
        <w:rPr>
          <w:rFonts w:ascii="Times New Roman" w:hAnsi="Times New Roman" w:eastAsia="Times New Roman"/>
          <w:sz w:val="21"/>
        </w:rPr>
        <w:t>γ</w:t>
      </w:r>
      <w:r>
        <w:rPr>
          <w:rFonts w:ascii="Times New Roman" w:hAnsi="Times New Roman" w:eastAsia="Times New Roman"/>
          <w:spacing w:val="1"/>
          <w:sz w:val="21"/>
        </w:rPr>
        <w:t> </w:t>
      </w:r>
      <w:r>
        <w:rPr>
          <w:sz w:val="21"/>
        </w:rPr>
        <w:t>辐</w:t>
      </w:r>
      <w:r>
        <w:rPr>
          <w:spacing w:val="-3"/>
          <w:sz w:val="21"/>
        </w:rPr>
        <w:t>射</w:t>
      </w:r>
      <w:r>
        <w:rPr>
          <w:sz w:val="21"/>
        </w:rPr>
        <w:t>剂</w:t>
      </w:r>
      <w:r>
        <w:rPr>
          <w:spacing w:val="-3"/>
          <w:sz w:val="21"/>
        </w:rPr>
        <w:t>量</w:t>
      </w:r>
      <w:r>
        <w:rPr>
          <w:sz w:val="21"/>
        </w:rPr>
        <w:t>率</w:t>
      </w:r>
      <w:r>
        <w:rPr>
          <w:spacing w:val="-3"/>
          <w:sz w:val="21"/>
        </w:rPr>
        <w:t>检</w:t>
      </w:r>
      <w:r>
        <w:rPr>
          <w:spacing w:val="-5"/>
          <w:sz w:val="21"/>
        </w:rPr>
        <w:t>测</w:t>
      </w:r>
      <w:r>
        <w:rPr>
          <w:sz w:val="21"/>
        </w:rPr>
        <w:t>结果</w:t>
        <w:tab/>
        <w:t>单</w:t>
      </w:r>
      <w:r>
        <w:rPr>
          <w:spacing w:val="-3"/>
          <w:sz w:val="21"/>
        </w:rPr>
        <w:t>位</w:t>
      </w:r>
      <w:r>
        <w:rPr>
          <w:sz w:val="21"/>
        </w:rPr>
        <w:t>：</w:t>
      </w:r>
      <w:r>
        <w:rPr>
          <w:rFonts w:ascii="Times New Roman" w:hAnsi="Times New Roman" w:eastAsia="Times New Roman"/>
          <w:sz w:val="21"/>
        </w:rPr>
        <w:t>nGy/h</w:t>
      </w:r>
    </w:p>
    <w:tbl>
      <w:tblPr>
        <w:tblW w:w="0" w:type="auto"/>
        <w:jc w:val="left"/>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07"/>
        <w:gridCol w:w="4680"/>
        <w:gridCol w:w="1901"/>
        <w:gridCol w:w="1155"/>
      </w:tblGrid>
      <w:tr>
        <w:trPr>
          <w:trHeight w:val="310" w:hRule="atLeast"/>
        </w:trPr>
        <w:tc>
          <w:tcPr>
            <w:tcW w:w="1207" w:type="dxa"/>
            <w:tcBorders>
              <w:left w:val="nil"/>
              <w:right w:val="single" w:sz="4" w:space="0" w:color="000000"/>
            </w:tcBorders>
          </w:tcPr>
          <w:p>
            <w:pPr>
              <w:pStyle w:val="TableParagraph"/>
              <w:spacing w:line="266" w:lineRule="exact" w:before="24"/>
              <w:ind w:left="178" w:right="144"/>
              <w:rPr>
                <w:sz w:val="21"/>
              </w:rPr>
            </w:pPr>
            <w:r>
              <w:rPr>
                <w:sz w:val="21"/>
              </w:rPr>
              <w:t>测点编号</w:t>
            </w:r>
          </w:p>
        </w:tc>
        <w:tc>
          <w:tcPr>
            <w:tcW w:w="4680" w:type="dxa"/>
            <w:tcBorders>
              <w:left w:val="single" w:sz="4" w:space="0" w:color="000000"/>
              <w:right w:val="single" w:sz="4" w:space="0" w:color="000000"/>
            </w:tcBorders>
          </w:tcPr>
          <w:p>
            <w:pPr>
              <w:pStyle w:val="TableParagraph"/>
              <w:spacing w:line="266" w:lineRule="exact" w:before="24"/>
              <w:ind w:left="333" w:right="305"/>
              <w:rPr>
                <w:sz w:val="21"/>
              </w:rPr>
            </w:pPr>
            <w:r>
              <w:rPr>
                <w:sz w:val="21"/>
              </w:rPr>
              <w:t>检测点位描述</w:t>
            </w:r>
          </w:p>
        </w:tc>
        <w:tc>
          <w:tcPr>
            <w:tcW w:w="1901" w:type="dxa"/>
            <w:tcBorders>
              <w:left w:val="single" w:sz="4" w:space="0" w:color="000000"/>
              <w:right w:val="single" w:sz="4" w:space="0" w:color="000000"/>
            </w:tcBorders>
          </w:tcPr>
          <w:p>
            <w:pPr>
              <w:pStyle w:val="TableParagraph"/>
              <w:spacing w:line="266" w:lineRule="exact" w:before="24"/>
              <w:ind w:left="189" w:right="156"/>
              <w:rPr>
                <w:rFonts w:ascii="Times New Roman" w:eastAsia="Times New Roman"/>
                <w:sz w:val="21"/>
              </w:rPr>
            </w:pPr>
            <w:r>
              <w:rPr>
                <w:sz w:val="21"/>
              </w:rPr>
              <w:t>测量结果</w:t>
            </w:r>
            <w:r>
              <w:rPr>
                <w:rFonts w:ascii="Times New Roman" w:eastAsia="Times New Roman"/>
                <w:sz w:val="21"/>
              </w:rPr>
              <w:t>(nGy/h)</w:t>
            </w:r>
          </w:p>
        </w:tc>
        <w:tc>
          <w:tcPr>
            <w:tcW w:w="1155" w:type="dxa"/>
            <w:tcBorders>
              <w:left w:val="single" w:sz="4" w:space="0" w:color="000000"/>
              <w:right w:val="nil"/>
            </w:tcBorders>
          </w:tcPr>
          <w:p>
            <w:pPr>
              <w:pStyle w:val="TableParagraph"/>
              <w:spacing w:line="269" w:lineRule="exact" w:before="22"/>
              <w:ind w:left="376"/>
              <w:jc w:val="left"/>
              <w:rPr>
                <w:sz w:val="21"/>
              </w:rPr>
            </w:pPr>
            <w:r>
              <w:rPr>
                <w:sz w:val="21"/>
              </w:rPr>
              <w:t>备注</w:t>
            </w:r>
          </w:p>
        </w:tc>
      </w:tr>
      <w:tr>
        <w:trPr>
          <w:trHeight w:val="303" w:hRule="atLeast"/>
        </w:trPr>
        <w:tc>
          <w:tcPr>
            <w:tcW w:w="1207" w:type="dxa"/>
            <w:tcBorders>
              <w:left w:val="nil"/>
              <w:bottom w:val="single" w:sz="4" w:space="0" w:color="000000"/>
              <w:right w:val="single" w:sz="4" w:space="0" w:color="000000"/>
            </w:tcBorders>
          </w:tcPr>
          <w:p>
            <w:pPr>
              <w:pStyle w:val="TableParagraph"/>
              <w:spacing w:before="38"/>
              <w:ind w:left="31"/>
              <w:rPr>
                <w:rFonts w:ascii="Times New Roman"/>
                <w:sz w:val="21"/>
              </w:rPr>
            </w:pPr>
            <w:r>
              <w:rPr>
                <w:rFonts w:ascii="Times New Roman"/>
                <w:w w:val="100"/>
                <w:sz w:val="21"/>
              </w:rPr>
              <w:t>1</w:t>
            </w:r>
          </w:p>
        </w:tc>
        <w:tc>
          <w:tcPr>
            <w:tcW w:w="4680" w:type="dxa"/>
            <w:tcBorders>
              <w:left w:val="single" w:sz="4" w:space="0" w:color="000000"/>
              <w:bottom w:val="single" w:sz="4" w:space="0" w:color="000000"/>
              <w:right w:val="single" w:sz="4" w:space="0" w:color="000000"/>
            </w:tcBorders>
          </w:tcPr>
          <w:p>
            <w:pPr>
              <w:pStyle w:val="TableParagraph"/>
              <w:ind w:left="332" w:right="305"/>
              <w:rPr>
                <w:sz w:val="21"/>
              </w:rPr>
            </w:pPr>
            <w:r>
              <w:rPr>
                <w:sz w:val="21"/>
              </w:rPr>
              <w:t>介入治疗室拟建址内</w:t>
            </w:r>
          </w:p>
        </w:tc>
        <w:tc>
          <w:tcPr>
            <w:tcW w:w="1901" w:type="dxa"/>
            <w:tcBorders>
              <w:left w:val="single" w:sz="4" w:space="0" w:color="000000"/>
              <w:bottom w:val="single" w:sz="4" w:space="0" w:color="000000"/>
              <w:right w:val="single" w:sz="4" w:space="0" w:color="000000"/>
            </w:tcBorders>
          </w:tcPr>
          <w:p>
            <w:pPr>
              <w:pStyle w:val="TableParagraph"/>
              <w:spacing w:before="14"/>
              <w:ind w:left="189" w:right="156"/>
              <w:rPr>
                <w:rFonts w:ascii="Times New Roman"/>
                <w:sz w:val="21"/>
              </w:rPr>
            </w:pPr>
            <w:r>
              <w:rPr>
                <w:rFonts w:ascii="Times New Roman"/>
                <w:sz w:val="21"/>
              </w:rPr>
              <w:t>108</w:t>
            </w:r>
          </w:p>
        </w:tc>
        <w:tc>
          <w:tcPr>
            <w:tcW w:w="1155" w:type="dxa"/>
            <w:vMerge w:val="restart"/>
            <w:tcBorders>
              <w:left w:val="single" w:sz="4" w:space="0" w:color="000000"/>
              <w:right w:val="nil"/>
            </w:tcBorders>
          </w:tcPr>
          <w:p>
            <w:pPr>
              <w:pStyle w:val="TableParagraph"/>
              <w:jc w:val="left"/>
              <w:rPr>
                <w:rFonts w:ascii="Times New Roman"/>
                <w:sz w:val="24"/>
              </w:rPr>
            </w:pPr>
          </w:p>
          <w:p>
            <w:pPr>
              <w:pStyle w:val="TableParagraph"/>
              <w:jc w:val="left"/>
              <w:rPr>
                <w:rFonts w:ascii="Times New Roman"/>
                <w:sz w:val="24"/>
              </w:rPr>
            </w:pPr>
          </w:p>
          <w:p>
            <w:pPr>
              <w:pStyle w:val="TableParagraph"/>
              <w:jc w:val="left"/>
              <w:rPr>
                <w:rFonts w:ascii="Times New Roman"/>
                <w:sz w:val="24"/>
              </w:rPr>
            </w:pPr>
          </w:p>
          <w:p>
            <w:pPr>
              <w:pStyle w:val="TableParagraph"/>
              <w:jc w:val="left"/>
              <w:rPr>
                <w:rFonts w:ascii="Times New Roman"/>
                <w:sz w:val="24"/>
              </w:rPr>
            </w:pPr>
          </w:p>
          <w:p>
            <w:pPr>
              <w:pStyle w:val="TableParagraph"/>
              <w:spacing w:before="9"/>
              <w:jc w:val="left"/>
              <w:rPr>
                <w:rFonts w:ascii="Times New Roman"/>
                <w:sz w:val="32"/>
              </w:rPr>
            </w:pPr>
          </w:p>
          <w:p>
            <w:pPr>
              <w:pStyle w:val="TableParagraph"/>
              <w:ind w:left="165"/>
              <w:jc w:val="left"/>
              <w:rPr>
                <w:sz w:val="21"/>
              </w:rPr>
            </w:pPr>
            <w:r>
              <w:rPr>
                <w:sz w:val="21"/>
              </w:rPr>
              <w:t>本底检测</w:t>
            </w:r>
          </w:p>
        </w:tc>
      </w:tr>
      <w:tr>
        <w:trPr>
          <w:trHeight w:val="291" w:hRule="atLeast"/>
        </w:trPr>
        <w:tc>
          <w:tcPr>
            <w:tcW w:w="1207" w:type="dxa"/>
            <w:tcBorders>
              <w:top w:val="single" w:sz="4" w:space="0" w:color="000000"/>
              <w:left w:val="nil"/>
              <w:bottom w:val="single" w:sz="4" w:space="0" w:color="000000"/>
              <w:right w:val="single" w:sz="4" w:space="0" w:color="000000"/>
            </w:tcBorders>
          </w:tcPr>
          <w:p>
            <w:pPr>
              <w:pStyle w:val="TableParagraph"/>
              <w:spacing w:before="26"/>
              <w:ind w:left="31"/>
              <w:rPr>
                <w:rFonts w:ascii="Times New Roman"/>
                <w:sz w:val="21"/>
              </w:rPr>
            </w:pPr>
            <w:r>
              <w:rPr>
                <w:rFonts w:ascii="Times New Roman"/>
                <w:w w:val="100"/>
                <w:sz w:val="21"/>
              </w:rPr>
              <w:t>2</w:t>
            </w:r>
          </w:p>
        </w:tc>
        <w:tc>
          <w:tcPr>
            <w:tcW w:w="4680"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333" w:right="305"/>
              <w:rPr>
                <w:sz w:val="21"/>
              </w:rPr>
            </w:pPr>
            <w:r>
              <w:rPr>
                <w:sz w:val="21"/>
              </w:rPr>
              <w:t>介入治疗室拟建址东侧（洗瓶室）</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2"/>
              <w:ind w:left="188" w:right="156"/>
              <w:rPr>
                <w:rFonts w:ascii="Times New Roman"/>
                <w:sz w:val="21"/>
              </w:rPr>
            </w:pPr>
            <w:r>
              <w:rPr>
                <w:rFonts w:ascii="Times New Roman"/>
                <w:sz w:val="21"/>
              </w:rPr>
              <w:t>115</w:t>
            </w:r>
          </w:p>
        </w:tc>
        <w:tc>
          <w:tcPr>
            <w:tcW w:w="1155" w:type="dxa"/>
            <w:vMerge/>
            <w:tcBorders>
              <w:top w:val="nil"/>
              <w:left w:val="single" w:sz="4" w:space="0" w:color="000000"/>
              <w:right w:val="nil"/>
            </w:tcBorders>
          </w:tcPr>
          <w:p>
            <w:pPr>
              <w:rPr>
                <w:sz w:val="2"/>
                <w:szCs w:val="2"/>
              </w:rPr>
            </w:pPr>
          </w:p>
        </w:tc>
      </w:tr>
      <w:tr>
        <w:trPr>
          <w:trHeight w:val="291" w:hRule="atLeast"/>
        </w:trPr>
        <w:tc>
          <w:tcPr>
            <w:tcW w:w="1207" w:type="dxa"/>
            <w:tcBorders>
              <w:top w:val="single" w:sz="4" w:space="0" w:color="000000"/>
              <w:left w:val="nil"/>
              <w:bottom w:val="single" w:sz="4" w:space="0" w:color="000000"/>
              <w:right w:val="single" w:sz="4" w:space="0" w:color="000000"/>
            </w:tcBorders>
          </w:tcPr>
          <w:p>
            <w:pPr>
              <w:pStyle w:val="TableParagraph"/>
              <w:spacing w:before="26"/>
              <w:ind w:left="31"/>
              <w:rPr>
                <w:rFonts w:ascii="Times New Roman"/>
                <w:sz w:val="21"/>
              </w:rPr>
            </w:pPr>
            <w:r>
              <w:rPr>
                <w:rFonts w:ascii="Times New Roman"/>
                <w:w w:val="100"/>
                <w:sz w:val="21"/>
              </w:rPr>
              <w:t>3</w:t>
            </w:r>
          </w:p>
        </w:tc>
        <w:tc>
          <w:tcPr>
            <w:tcW w:w="4680" w:type="dxa"/>
            <w:tcBorders>
              <w:top w:val="single" w:sz="4" w:space="0" w:color="000000"/>
              <w:left w:val="single" w:sz="4" w:space="0" w:color="000000"/>
              <w:bottom w:val="single" w:sz="4" w:space="0" w:color="000000"/>
              <w:right w:val="single" w:sz="4" w:space="0" w:color="000000"/>
            </w:tcBorders>
          </w:tcPr>
          <w:p>
            <w:pPr>
              <w:pStyle w:val="TableParagraph"/>
              <w:spacing w:line="258" w:lineRule="exact"/>
              <w:ind w:left="331" w:right="305"/>
              <w:rPr>
                <w:sz w:val="21"/>
              </w:rPr>
            </w:pPr>
            <w:r>
              <w:rPr>
                <w:sz w:val="21"/>
              </w:rPr>
              <w:t>介入治疗室拟建址东侧（污物通道通道）</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2"/>
              <w:ind w:left="189" w:right="156"/>
              <w:rPr>
                <w:rFonts w:ascii="Times New Roman"/>
                <w:sz w:val="21"/>
              </w:rPr>
            </w:pPr>
            <w:r>
              <w:rPr>
                <w:rFonts w:ascii="Times New Roman"/>
                <w:sz w:val="21"/>
              </w:rPr>
              <w:t>126</w:t>
            </w:r>
          </w:p>
        </w:tc>
        <w:tc>
          <w:tcPr>
            <w:tcW w:w="1155" w:type="dxa"/>
            <w:vMerge/>
            <w:tcBorders>
              <w:top w:val="nil"/>
              <w:left w:val="single" w:sz="4" w:space="0" w:color="000000"/>
              <w:right w:val="nil"/>
            </w:tcBorders>
          </w:tcPr>
          <w:p>
            <w:pPr>
              <w:rPr>
                <w:sz w:val="2"/>
                <w:szCs w:val="2"/>
              </w:rPr>
            </w:pPr>
          </w:p>
        </w:tc>
      </w:tr>
      <w:tr>
        <w:trPr>
          <w:trHeight w:val="289" w:hRule="atLeast"/>
        </w:trPr>
        <w:tc>
          <w:tcPr>
            <w:tcW w:w="1207" w:type="dxa"/>
            <w:tcBorders>
              <w:top w:val="single" w:sz="4" w:space="0" w:color="000000"/>
              <w:left w:val="nil"/>
              <w:bottom w:val="single" w:sz="2" w:space="0" w:color="000000"/>
              <w:right w:val="single" w:sz="4" w:space="0" w:color="000000"/>
            </w:tcBorders>
          </w:tcPr>
          <w:p>
            <w:pPr>
              <w:pStyle w:val="TableParagraph"/>
              <w:spacing w:before="26"/>
              <w:ind w:left="31"/>
              <w:rPr>
                <w:rFonts w:ascii="Times New Roman"/>
                <w:sz w:val="21"/>
              </w:rPr>
            </w:pPr>
            <w:r>
              <w:rPr>
                <w:rFonts w:ascii="Times New Roman"/>
                <w:w w:val="100"/>
                <w:sz w:val="21"/>
              </w:rPr>
              <w:t>4</w:t>
            </w:r>
          </w:p>
        </w:tc>
        <w:tc>
          <w:tcPr>
            <w:tcW w:w="4680" w:type="dxa"/>
            <w:tcBorders>
              <w:top w:val="single" w:sz="4" w:space="0" w:color="000000"/>
              <w:left w:val="single" w:sz="4" w:space="0" w:color="000000"/>
              <w:bottom w:val="single" w:sz="2" w:space="0" w:color="000000"/>
              <w:right w:val="single" w:sz="4" w:space="0" w:color="000000"/>
            </w:tcBorders>
          </w:tcPr>
          <w:p>
            <w:pPr>
              <w:pStyle w:val="TableParagraph"/>
              <w:spacing w:line="258" w:lineRule="exact"/>
              <w:ind w:left="331" w:right="305"/>
              <w:rPr>
                <w:sz w:val="21"/>
              </w:rPr>
            </w:pPr>
            <w:r>
              <w:rPr>
                <w:sz w:val="21"/>
              </w:rPr>
              <w:t>介入治疗室拟建址南侧（通道）</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2"/>
              <w:ind w:left="189" w:right="156"/>
              <w:rPr>
                <w:rFonts w:ascii="Times New Roman"/>
                <w:sz w:val="21"/>
              </w:rPr>
            </w:pPr>
            <w:r>
              <w:rPr>
                <w:rFonts w:ascii="Times New Roman"/>
                <w:sz w:val="21"/>
              </w:rPr>
              <w:t>120</w:t>
            </w:r>
          </w:p>
        </w:tc>
        <w:tc>
          <w:tcPr>
            <w:tcW w:w="1155" w:type="dxa"/>
            <w:vMerge/>
            <w:tcBorders>
              <w:top w:val="nil"/>
              <w:left w:val="single" w:sz="4" w:space="0" w:color="000000"/>
              <w:right w:val="nil"/>
            </w:tcBorders>
          </w:tcPr>
          <w:p>
            <w:pPr>
              <w:rPr>
                <w:sz w:val="2"/>
                <w:szCs w:val="2"/>
              </w:rPr>
            </w:pPr>
          </w:p>
        </w:tc>
      </w:tr>
      <w:tr>
        <w:trPr>
          <w:trHeight w:val="291" w:hRule="atLeast"/>
        </w:trPr>
        <w:tc>
          <w:tcPr>
            <w:tcW w:w="1207" w:type="dxa"/>
            <w:tcBorders>
              <w:top w:val="single" w:sz="2" w:space="0" w:color="000000"/>
              <w:left w:val="nil"/>
              <w:bottom w:val="single" w:sz="2" w:space="0" w:color="000000"/>
              <w:right w:val="single" w:sz="4" w:space="0" w:color="000000"/>
            </w:tcBorders>
          </w:tcPr>
          <w:p>
            <w:pPr>
              <w:pStyle w:val="TableParagraph"/>
              <w:spacing w:before="29"/>
              <w:ind w:left="31"/>
              <w:rPr>
                <w:rFonts w:ascii="Times New Roman"/>
                <w:sz w:val="21"/>
              </w:rPr>
            </w:pPr>
            <w:r>
              <w:rPr>
                <w:rFonts w:ascii="Times New Roman"/>
                <w:w w:val="100"/>
                <w:sz w:val="21"/>
              </w:rPr>
              <w:t>5</w:t>
            </w:r>
          </w:p>
        </w:tc>
        <w:tc>
          <w:tcPr>
            <w:tcW w:w="4680" w:type="dxa"/>
            <w:tcBorders>
              <w:top w:val="single" w:sz="2" w:space="0" w:color="000000"/>
              <w:left w:val="single" w:sz="4" w:space="0" w:color="000000"/>
              <w:bottom w:val="single" w:sz="2" w:space="0" w:color="000000"/>
              <w:right w:val="single" w:sz="4" w:space="0" w:color="000000"/>
            </w:tcBorders>
          </w:tcPr>
          <w:p>
            <w:pPr>
              <w:pStyle w:val="TableParagraph"/>
              <w:spacing w:line="260" w:lineRule="exact"/>
              <w:ind w:left="333" w:right="305"/>
              <w:rPr>
                <w:sz w:val="21"/>
              </w:rPr>
            </w:pPr>
            <w:r>
              <w:rPr>
                <w:sz w:val="21"/>
              </w:rPr>
              <w:t>介入治疗室拟建址西侧（控制室）</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5"/>
              <w:ind w:left="188" w:right="156"/>
              <w:rPr>
                <w:rFonts w:ascii="Times New Roman"/>
                <w:sz w:val="21"/>
              </w:rPr>
            </w:pPr>
            <w:r>
              <w:rPr>
                <w:rFonts w:ascii="Times New Roman"/>
                <w:sz w:val="21"/>
              </w:rPr>
              <w:t>113</w:t>
            </w:r>
          </w:p>
        </w:tc>
        <w:tc>
          <w:tcPr>
            <w:tcW w:w="1155" w:type="dxa"/>
            <w:vMerge/>
            <w:tcBorders>
              <w:top w:val="nil"/>
              <w:left w:val="single" w:sz="4" w:space="0" w:color="000000"/>
              <w:right w:val="nil"/>
            </w:tcBorders>
          </w:tcPr>
          <w:p>
            <w:pPr>
              <w:rPr>
                <w:sz w:val="2"/>
                <w:szCs w:val="2"/>
              </w:rPr>
            </w:pPr>
          </w:p>
        </w:tc>
      </w:tr>
      <w:tr>
        <w:trPr>
          <w:trHeight w:val="310" w:hRule="atLeast"/>
        </w:trPr>
        <w:tc>
          <w:tcPr>
            <w:tcW w:w="1207" w:type="dxa"/>
            <w:tcBorders>
              <w:top w:val="single" w:sz="2" w:space="0" w:color="000000"/>
              <w:left w:val="nil"/>
              <w:bottom w:val="single" w:sz="2" w:space="0" w:color="000000"/>
              <w:right w:val="single" w:sz="4" w:space="0" w:color="000000"/>
            </w:tcBorders>
          </w:tcPr>
          <w:p>
            <w:pPr>
              <w:pStyle w:val="TableParagraph"/>
              <w:spacing w:before="38"/>
              <w:ind w:left="31"/>
              <w:rPr>
                <w:rFonts w:ascii="Times New Roman"/>
                <w:sz w:val="21"/>
              </w:rPr>
            </w:pPr>
            <w:r>
              <w:rPr>
                <w:rFonts w:ascii="Times New Roman"/>
                <w:w w:val="100"/>
                <w:sz w:val="21"/>
              </w:rPr>
              <w:t>6</w:t>
            </w:r>
          </w:p>
        </w:tc>
        <w:tc>
          <w:tcPr>
            <w:tcW w:w="4680" w:type="dxa"/>
            <w:tcBorders>
              <w:top w:val="single" w:sz="2" w:space="0" w:color="000000"/>
              <w:left w:val="single" w:sz="4" w:space="0" w:color="000000"/>
              <w:bottom w:val="single" w:sz="2" w:space="0" w:color="000000"/>
              <w:right w:val="single" w:sz="4" w:space="0" w:color="000000"/>
            </w:tcBorders>
          </w:tcPr>
          <w:p>
            <w:pPr>
              <w:pStyle w:val="TableParagraph"/>
              <w:spacing w:line="262" w:lineRule="exact"/>
              <w:ind w:left="334" w:right="305"/>
              <w:rPr>
                <w:sz w:val="21"/>
              </w:rPr>
            </w:pPr>
            <w:r>
              <w:rPr>
                <w:sz w:val="21"/>
              </w:rPr>
              <w:t>介入治疗室拟建址北侧（医生及病人通道）</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7"/>
              <w:ind w:left="189" w:right="156"/>
              <w:rPr>
                <w:rFonts w:ascii="Times New Roman"/>
                <w:sz w:val="21"/>
              </w:rPr>
            </w:pPr>
            <w:r>
              <w:rPr>
                <w:rFonts w:ascii="Times New Roman"/>
                <w:sz w:val="21"/>
              </w:rPr>
              <w:t>129</w:t>
            </w:r>
          </w:p>
        </w:tc>
        <w:tc>
          <w:tcPr>
            <w:tcW w:w="1155" w:type="dxa"/>
            <w:vMerge/>
            <w:tcBorders>
              <w:top w:val="nil"/>
              <w:left w:val="single" w:sz="4" w:space="0" w:color="000000"/>
              <w:right w:val="nil"/>
            </w:tcBorders>
          </w:tcPr>
          <w:p>
            <w:pPr>
              <w:rPr>
                <w:sz w:val="2"/>
                <w:szCs w:val="2"/>
              </w:rPr>
            </w:pPr>
          </w:p>
        </w:tc>
      </w:tr>
      <w:tr>
        <w:trPr>
          <w:trHeight w:val="291" w:hRule="atLeast"/>
        </w:trPr>
        <w:tc>
          <w:tcPr>
            <w:tcW w:w="1207" w:type="dxa"/>
            <w:tcBorders>
              <w:top w:val="single" w:sz="2" w:space="0" w:color="000000"/>
              <w:left w:val="nil"/>
              <w:bottom w:val="single" w:sz="2" w:space="0" w:color="000000"/>
              <w:right w:val="single" w:sz="4" w:space="0" w:color="000000"/>
            </w:tcBorders>
          </w:tcPr>
          <w:p>
            <w:pPr>
              <w:pStyle w:val="TableParagraph"/>
              <w:spacing w:before="29"/>
              <w:ind w:left="31"/>
              <w:rPr>
                <w:rFonts w:ascii="Times New Roman"/>
                <w:sz w:val="21"/>
              </w:rPr>
            </w:pPr>
            <w:r>
              <w:rPr>
                <w:rFonts w:ascii="Times New Roman"/>
                <w:w w:val="100"/>
                <w:sz w:val="21"/>
              </w:rPr>
              <w:t>7</w:t>
            </w:r>
          </w:p>
        </w:tc>
        <w:tc>
          <w:tcPr>
            <w:tcW w:w="4680" w:type="dxa"/>
            <w:tcBorders>
              <w:top w:val="single" w:sz="2" w:space="0" w:color="000000"/>
              <w:left w:val="single" w:sz="4" w:space="0" w:color="000000"/>
              <w:bottom w:val="single" w:sz="2" w:space="0" w:color="000000"/>
              <w:right w:val="single" w:sz="4" w:space="0" w:color="000000"/>
            </w:tcBorders>
          </w:tcPr>
          <w:p>
            <w:pPr>
              <w:pStyle w:val="TableParagraph"/>
              <w:spacing w:line="260" w:lineRule="exact"/>
              <w:ind w:left="332" w:right="305"/>
              <w:rPr>
                <w:sz w:val="21"/>
              </w:rPr>
            </w:pPr>
            <w:r>
              <w:rPr>
                <w:sz w:val="21"/>
              </w:rPr>
              <w:t>空置房间</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5"/>
              <w:ind w:left="189" w:right="156"/>
              <w:rPr>
                <w:rFonts w:ascii="Times New Roman"/>
                <w:sz w:val="21"/>
              </w:rPr>
            </w:pPr>
            <w:r>
              <w:rPr>
                <w:rFonts w:ascii="Times New Roman"/>
                <w:sz w:val="21"/>
              </w:rPr>
              <w:t>108</w:t>
            </w:r>
          </w:p>
        </w:tc>
        <w:tc>
          <w:tcPr>
            <w:tcW w:w="1155" w:type="dxa"/>
            <w:vMerge/>
            <w:tcBorders>
              <w:top w:val="nil"/>
              <w:left w:val="single" w:sz="4" w:space="0" w:color="000000"/>
              <w:right w:val="nil"/>
            </w:tcBorders>
          </w:tcPr>
          <w:p>
            <w:pPr>
              <w:rPr>
                <w:sz w:val="2"/>
                <w:szCs w:val="2"/>
              </w:rPr>
            </w:pPr>
          </w:p>
        </w:tc>
      </w:tr>
      <w:tr>
        <w:trPr>
          <w:trHeight w:val="291" w:hRule="atLeast"/>
        </w:trPr>
        <w:tc>
          <w:tcPr>
            <w:tcW w:w="1207" w:type="dxa"/>
            <w:tcBorders>
              <w:top w:val="single" w:sz="2" w:space="0" w:color="000000"/>
              <w:left w:val="nil"/>
              <w:bottom w:val="single" w:sz="2" w:space="0" w:color="000000"/>
              <w:right w:val="single" w:sz="4" w:space="0" w:color="000000"/>
            </w:tcBorders>
          </w:tcPr>
          <w:p>
            <w:pPr>
              <w:pStyle w:val="TableParagraph"/>
              <w:spacing w:before="29"/>
              <w:ind w:left="31"/>
              <w:rPr>
                <w:rFonts w:ascii="Times New Roman"/>
                <w:sz w:val="21"/>
              </w:rPr>
            </w:pPr>
            <w:r>
              <w:rPr>
                <w:rFonts w:ascii="Times New Roman"/>
                <w:w w:val="100"/>
                <w:sz w:val="21"/>
              </w:rPr>
              <w:t>8</w:t>
            </w:r>
          </w:p>
        </w:tc>
        <w:tc>
          <w:tcPr>
            <w:tcW w:w="4680" w:type="dxa"/>
            <w:tcBorders>
              <w:top w:val="single" w:sz="2" w:space="0" w:color="000000"/>
              <w:left w:val="single" w:sz="4" w:space="0" w:color="000000"/>
              <w:bottom w:val="single" w:sz="2" w:space="0" w:color="000000"/>
              <w:right w:val="single" w:sz="4" w:space="0" w:color="000000"/>
            </w:tcBorders>
          </w:tcPr>
          <w:p>
            <w:pPr>
              <w:pStyle w:val="TableParagraph"/>
              <w:spacing w:line="260" w:lineRule="exact"/>
              <w:ind w:left="332" w:right="305"/>
              <w:rPr>
                <w:sz w:val="21"/>
              </w:rPr>
            </w:pPr>
            <w:r>
              <w:rPr>
                <w:sz w:val="21"/>
              </w:rPr>
              <w:t>员工食堂</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5"/>
              <w:ind w:left="189" w:right="156"/>
              <w:rPr>
                <w:rFonts w:ascii="Times New Roman"/>
                <w:sz w:val="21"/>
              </w:rPr>
            </w:pPr>
            <w:r>
              <w:rPr>
                <w:rFonts w:ascii="Times New Roman"/>
                <w:sz w:val="21"/>
              </w:rPr>
              <w:t>78.7</w:t>
            </w:r>
          </w:p>
        </w:tc>
        <w:tc>
          <w:tcPr>
            <w:tcW w:w="1155" w:type="dxa"/>
            <w:vMerge/>
            <w:tcBorders>
              <w:top w:val="nil"/>
              <w:left w:val="single" w:sz="4" w:space="0" w:color="000000"/>
              <w:right w:val="nil"/>
            </w:tcBorders>
          </w:tcPr>
          <w:p>
            <w:pPr>
              <w:rPr>
                <w:sz w:val="2"/>
                <w:szCs w:val="2"/>
              </w:rPr>
            </w:pPr>
          </w:p>
        </w:tc>
      </w:tr>
      <w:tr>
        <w:trPr>
          <w:trHeight w:val="296" w:hRule="atLeast"/>
        </w:trPr>
        <w:tc>
          <w:tcPr>
            <w:tcW w:w="1207" w:type="dxa"/>
            <w:tcBorders>
              <w:top w:val="single" w:sz="2" w:space="0" w:color="000000"/>
              <w:left w:val="nil"/>
              <w:bottom w:val="single" w:sz="4" w:space="0" w:color="000000"/>
              <w:right w:val="single" w:sz="4" w:space="0" w:color="000000"/>
            </w:tcBorders>
          </w:tcPr>
          <w:p>
            <w:pPr>
              <w:pStyle w:val="TableParagraph"/>
              <w:spacing w:before="31"/>
              <w:ind w:left="31"/>
              <w:rPr>
                <w:rFonts w:ascii="Times New Roman"/>
                <w:sz w:val="21"/>
              </w:rPr>
            </w:pPr>
            <w:r>
              <w:rPr>
                <w:rFonts w:ascii="Times New Roman"/>
                <w:w w:val="100"/>
                <w:sz w:val="21"/>
              </w:rPr>
              <w:t>9</w:t>
            </w:r>
          </w:p>
        </w:tc>
        <w:tc>
          <w:tcPr>
            <w:tcW w:w="4680" w:type="dxa"/>
            <w:tcBorders>
              <w:top w:val="single" w:sz="2" w:space="0" w:color="000000"/>
              <w:left w:val="single" w:sz="4" w:space="0" w:color="000000"/>
              <w:bottom w:val="single" w:sz="4" w:space="0" w:color="000000"/>
              <w:right w:val="single" w:sz="4" w:space="0" w:color="000000"/>
            </w:tcBorders>
          </w:tcPr>
          <w:p>
            <w:pPr>
              <w:pStyle w:val="TableParagraph"/>
              <w:spacing w:line="262" w:lineRule="exact"/>
              <w:ind w:left="334" w:right="305"/>
              <w:rPr>
                <w:sz w:val="21"/>
              </w:rPr>
            </w:pPr>
            <w:r>
              <w:rPr>
                <w:sz w:val="21"/>
              </w:rPr>
              <w:t>百货公司宿舍</w:t>
            </w:r>
          </w:p>
        </w:tc>
        <w:tc>
          <w:tcPr>
            <w:tcW w:w="1901" w:type="dxa"/>
            <w:tcBorders>
              <w:top w:val="single" w:sz="4" w:space="0" w:color="000000"/>
              <w:left w:val="single" w:sz="4" w:space="0" w:color="000000"/>
              <w:bottom w:val="single" w:sz="4" w:space="0" w:color="000000"/>
              <w:right w:val="single" w:sz="4" w:space="0" w:color="000000"/>
            </w:tcBorders>
          </w:tcPr>
          <w:p>
            <w:pPr>
              <w:pStyle w:val="TableParagraph"/>
              <w:spacing w:before="7"/>
              <w:ind w:left="189" w:right="156"/>
              <w:rPr>
                <w:rFonts w:ascii="Times New Roman"/>
                <w:sz w:val="21"/>
              </w:rPr>
            </w:pPr>
            <w:r>
              <w:rPr>
                <w:rFonts w:ascii="Times New Roman"/>
                <w:sz w:val="21"/>
              </w:rPr>
              <w:t>68.5</w:t>
            </w:r>
          </w:p>
        </w:tc>
        <w:tc>
          <w:tcPr>
            <w:tcW w:w="1155" w:type="dxa"/>
            <w:vMerge/>
            <w:tcBorders>
              <w:top w:val="nil"/>
              <w:left w:val="single" w:sz="4" w:space="0" w:color="000000"/>
              <w:right w:val="nil"/>
            </w:tcBorders>
          </w:tcPr>
          <w:p>
            <w:pPr>
              <w:rPr>
                <w:sz w:val="2"/>
                <w:szCs w:val="2"/>
              </w:rPr>
            </w:pPr>
          </w:p>
        </w:tc>
      </w:tr>
      <w:tr>
        <w:trPr>
          <w:trHeight w:val="301" w:hRule="atLeast"/>
        </w:trPr>
        <w:tc>
          <w:tcPr>
            <w:tcW w:w="1207" w:type="dxa"/>
            <w:tcBorders>
              <w:top w:val="single" w:sz="4" w:space="0" w:color="000000"/>
              <w:left w:val="nil"/>
              <w:right w:val="single" w:sz="4" w:space="0" w:color="000000"/>
            </w:tcBorders>
          </w:tcPr>
          <w:p>
            <w:pPr>
              <w:pStyle w:val="TableParagraph"/>
              <w:spacing w:before="26"/>
              <w:ind w:left="175" w:right="144"/>
              <w:rPr>
                <w:rFonts w:ascii="Times New Roman"/>
                <w:sz w:val="21"/>
              </w:rPr>
            </w:pPr>
            <w:r>
              <w:rPr>
                <w:rFonts w:ascii="Times New Roman"/>
                <w:sz w:val="21"/>
              </w:rPr>
              <w:t>10</w:t>
            </w:r>
          </w:p>
        </w:tc>
        <w:tc>
          <w:tcPr>
            <w:tcW w:w="4680" w:type="dxa"/>
            <w:tcBorders>
              <w:top w:val="single" w:sz="4" w:space="0" w:color="000000"/>
              <w:left w:val="single" w:sz="4" w:space="0" w:color="000000"/>
              <w:right w:val="single" w:sz="4" w:space="0" w:color="000000"/>
            </w:tcBorders>
          </w:tcPr>
          <w:p>
            <w:pPr>
              <w:pStyle w:val="TableParagraph"/>
              <w:spacing w:line="258" w:lineRule="exact"/>
              <w:ind w:left="332" w:right="305"/>
              <w:rPr>
                <w:sz w:val="21"/>
              </w:rPr>
            </w:pPr>
            <w:r>
              <w:rPr>
                <w:sz w:val="21"/>
              </w:rPr>
              <w:t>广洋楼小区</w:t>
            </w:r>
          </w:p>
        </w:tc>
        <w:tc>
          <w:tcPr>
            <w:tcW w:w="1901" w:type="dxa"/>
            <w:tcBorders>
              <w:top w:val="single" w:sz="4" w:space="0" w:color="000000"/>
              <w:left w:val="single" w:sz="4" w:space="0" w:color="000000"/>
              <w:right w:val="single" w:sz="4" w:space="0" w:color="000000"/>
            </w:tcBorders>
          </w:tcPr>
          <w:p>
            <w:pPr>
              <w:pStyle w:val="TableParagraph"/>
              <w:spacing w:before="2"/>
              <w:ind w:left="189" w:right="156"/>
              <w:rPr>
                <w:rFonts w:ascii="Times New Roman"/>
                <w:sz w:val="21"/>
              </w:rPr>
            </w:pPr>
            <w:r>
              <w:rPr>
                <w:rFonts w:ascii="Times New Roman"/>
                <w:sz w:val="21"/>
              </w:rPr>
              <w:t>65.7</w:t>
            </w:r>
          </w:p>
        </w:tc>
        <w:tc>
          <w:tcPr>
            <w:tcW w:w="1155" w:type="dxa"/>
            <w:vMerge/>
            <w:tcBorders>
              <w:top w:val="nil"/>
              <w:left w:val="single" w:sz="4" w:space="0" w:color="000000"/>
              <w:right w:val="nil"/>
            </w:tcBorders>
          </w:tcPr>
          <w:p>
            <w:pPr>
              <w:rPr>
                <w:sz w:val="2"/>
                <w:szCs w:val="2"/>
              </w:rPr>
            </w:pPr>
          </w:p>
        </w:tc>
      </w:tr>
    </w:tbl>
    <w:p>
      <w:pPr>
        <w:pStyle w:val="BodyText"/>
        <w:spacing w:before="81"/>
        <w:ind w:left="752"/>
      </w:pPr>
      <w:r>
        <w:rPr/>
        <w:t>由监测结果可知，本项目介入治疗室周边环境的空气吸收剂量率为（</w:t>
      </w:r>
      <w:r>
        <w:rPr>
          <w:rFonts w:ascii="Times New Roman" w:eastAsia="Times New Roman"/>
        </w:rPr>
        <w:t>65.7~129</w:t>
      </w:r>
      <w:r>
        <w:rPr/>
        <w:t>）</w:t>
      </w:r>
    </w:p>
    <w:p>
      <w:pPr>
        <w:pStyle w:val="BodyText"/>
        <w:tabs>
          <w:tab w:pos="1471" w:val="left" w:leader="none"/>
        </w:tabs>
        <w:spacing w:line="364" w:lineRule="auto" w:before="161"/>
        <w:ind w:left="272" w:right="276"/>
      </w:pPr>
      <w:r>
        <w:rPr>
          <w:rFonts w:ascii="Times New Roman" w:eastAsia="Times New Roman"/>
        </w:rPr>
        <w:t>nGy/h</w:t>
      </w:r>
      <w:r>
        <w:rPr/>
        <w:t>，与四川省生态环境厅《</w:t>
      </w:r>
      <w:r>
        <w:rPr>
          <w:rFonts w:ascii="Times New Roman" w:eastAsia="Times New Roman"/>
        </w:rPr>
        <w:t>2020</w:t>
      </w:r>
      <w:r>
        <w:rPr>
          <w:rFonts w:ascii="Times New Roman" w:eastAsia="Times New Roman"/>
          <w:spacing w:val="33"/>
        </w:rPr>
        <w:t> </w:t>
      </w:r>
      <w:r>
        <w:rPr/>
        <w:t>年四川省生态环境状况公报》中全省环境电离</w:t>
      </w:r>
      <w:r>
        <w:rPr>
          <w:spacing w:val="-15"/>
        </w:rPr>
        <w:t>辐</w:t>
      </w:r>
      <w:r>
        <w:rPr/>
        <w:t>射水平（</w:t>
        <w:tab/>
      </w:r>
      <w:r>
        <w:rPr>
          <w:rFonts w:ascii="Times New Roman" w:eastAsia="Times New Roman"/>
        </w:rPr>
        <w:t>130nGy/h</w:t>
      </w:r>
      <w:r>
        <w:rPr/>
        <w:t>）基本一致，属于当地正常天然本底辐射水平。</w:t>
      </w:r>
    </w:p>
    <w:p>
      <w:pPr>
        <w:pStyle w:val="BodyText"/>
        <w:spacing w:line="364" w:lineRule="auto" w:before="1"/>
        <w:ind w:left="752" w:right="2172"/>
      </w:pPr>
      <w:r>
        <w:rPr/>
        <w:t>综上所述，本项目区域辐射环境质量现状属于正常本底水平。检测点位示意图见图 </w:t>
      </w:r>
      <w:r>
        <w:rPr>
          <w:rFonts w:ascii="Times New Roman" w:eastAsia="Times New Roman"/>
        </w:rPr>
        <w:t>8-7</w:t>
      </w:r>
      <w:r>
        <w:rPr/>
        <w:t>：</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before="250"/>
        <w:ind w:left="0" w:right="1" w:firstLine="0"/>
        <w:jc w:val="center"/>
        <w:rPr>
          <w:sz w:val="21"/>
        </w:rPr>
      </w:pPr>
      <w:r>
        <w:rPr>
          <w:spacing w:val="-27"/>
          <w:sz w:val="21"/>
        </w:rPr>
        <w:t>图 </w:t>
      </w:r>
      <w:r>
        <w:rPr>
          <w:rFonts w:ascii="Times New Roman" w:eastAsia="Times New Roman"/>
          <w:sz w:val="21"/>
        </w:rPr>
        <w:t>8-1 </w:t>
      </w:r>
      <w:r>
        <w:rPr>
          <w:spacing w:val="-3"/>
          <w:sz w:val="21"/>
        </w:rPr>
        <w:t>检测点位示意图</w:t>
      </w:r>
    </w:p>
    <w:p>
      <w:pPr>
        <w:spacing w:after="0"/>
        <w:jc w:val="center"/>
        <w:rPr>
          <w:sz w:val="21"/>
        </w:rPr>
        <w:sectPr>
          <w:pgSz w:w="11910" w:h="16840"/>
          <w:pgMar w:header="0" w:footer="881" w:top="1220" w:bottom="1080" w:left="1480" w:right="1020"/>
        </w:sectPr>
      </w:pPr>
    </w:p>
    <w:p>
      <w:pPr>
        <w:pStyle w:val="Heading1"/>
      </w:pPr>
      <w:r>
        <w:rPr/>
        <w:t>表 9 项目工程分析与源项</w:t>
      </w:r>
      <w:r>
        <w:rPr>
          <w:w w:val="50"/>
        </w:rPr>
        <w:t> </w:t>
      </w:r>
    </w:p>
    <w:p>
      <w:pPr>
        <w:spacing w:before="275"/>
        <w:ind w:left="214" w:right="0" w:firstLine="0"/>
        <w:jc w:val="left"/>
        <w:rPr>
          <w:sz w:val="28"/>
        </w:rPr>
      </w:pPr>
      <w:r>
        <w:rPr>
          <w:sz w:val="28"/>
        </w:rPr>
        <w:t>工程设备与工艺分析</w:t>
      </w:r>
      <w:r>
        <w:rPr>
          <w:w w:val="50"/>
          <w:sz w:val="28"/>
        </w:rPr>
        <w:t> </w:t>
      </w:r>
    </w:p>
    <w:p>
      <w:pPr>
        <w:pStyle w:val="BodyText"/>
        <w:spacing w:before="214"/>
        <w:ind w:left="696"/>
      </w:pPr>
      <w:r>
        <w:rPr/>
        <w:t>一、施工期工艺分析</w:t>
      </w:r>
      <w:r>
        <w:rPr>
          <w:w w:val="50"/>
        </w:rPr>
        <w:t> </w:t>
      </w:r>
    </w:p>
    <w:p>
      <w:pPr>
        <w:pStyle w:val="BodyText"/>
        <w:spacing w:before="160"/>
        <w:ind w:left="696"/>
      </w:pPr>
      <w:r>
        <w:rPr/>
        <w:t>1、土建、装修施工的工艺分析</w:t>
      </w:r>
      <w:r>
        <w:rPr>
          <w:w w:val="50"/>
        </w:rPr>
        <w:t> </w:t>
      </w:r>
    </w:p>
    <w:p>
      <w:pPr>
        <w:pStyle w:val="BodyText"/>
        <w:spacing w:line="364" w:lineRule="auto" w:before="161"/>
        <w:ind w:left="214" w:right="218" w:firstLine="480"/>
        <w:jc w:val="both"/>
      </w:pPr>
      <w:r>
        <w:rPr>
          <w:spacing w:val="-9"/>
        </w:rPr>
        <w:t>本项目对原有房间进行改造及室内装饰，基本不会造成原有房间的面积变化，工程</w:t>
      </w:r>
      <w:r>
        <w:rPr>
          <w:spacing w:val="-12"/>
        </w:rPr>
        <w:t>量较小。主体施工期和设备安装过程中将会产生一定扬尘、废水、废气、噪声和一定的</w:t>
      </w:r>
      <w:r>
        <w:rPr/>
        <w:t>固体废物。</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0" w:footer="881" w:top="1320" w:bottom="1160" w:left="1480" w:right="1020"/>
        </w:sectPr>
      </w:pPr>
    </w:p>
    <w:p>
      <w:pPr>
        <w:pStyle w:val="BodyText"/>
        <w:rPr>
          <w:sz w:val="30"/>
        </w:rPr>
      </w:pPr>
    </w:p>
    <w:p>
      <w:pPr>
        <w:pStyle w:val="BodyText"/>
        <w:spacing w:before="6"/>
        <w:rPr>
          <w:sz w:val="21"/>
        </w:rPr>
      </w:pPr>
    </w:p>
    <w:p>
      <w:pPr>
        <w:pStyle w:val="ListParagraph"/>
        <w:numPr>
          <w:ilvl w:val="2"/>
          <w:numId w:val="10"/>
        </w:numPr>
        <w:tabs>
          <w:tab w:pos="1296" w:val="left" w:leader="none"/>
        </w:tabs>
        <w:spacing w:line="240" w:lineRule="auto" w:before="0" w:after="0"/>
        <w:ind w:left="1295" w:right="0" w:hanging="601"/>
        <w:jc w:val="left"/>
        <w:rPr>
          <w:sz w:val="24"/>
        </w:rPr>
      </w:pPr>
      <w:r>
        <w:rPr>
          <w:sz w:val="24"/>
        </w:rPr>
        <w:t>扬尘</w:t>
      </w:r>
    </w:p>
    <w:p>
      <w:pPr>
        <w:spacing w:before="210"/>
        <w:ind w:left="694" w:right="0" w:firstLine="0"/>
        <w:jc w:val="left"/>
        <w:rPr>
          <w:sz w:val="21"/>
        </w:rPr>
      </w:pPr>
      <w:r>
        <w:rPr/>
        <w:br w:type="column"/>
      </w:r>
      <w:r>
        <w:rPr>
          <w:spacing w:val="-27"/>
          <w:sz w:val="21"/>
        </w:rPr>
        <w:t>图 </w:t>
      </w:r>
      <w:r>
        <w:rPr>
          <w:rFonts w:ascii="Times New Roman" w:eastAsia="Times New Roman"/>
          <w:sz w:val="21"/>
        </w:rPr>
        <w:t>9-1 </w:t>
      </w:r>
      <w:r>
        <w:rPr>
          <w:spacing w:val="-4"/>
          <w:sz w:val="21"/>
        </w:rPr>
        <w:t>施工期工艺流程及污染物产生环节图</w:t>
      </w:r>
    </w:p>
    <w:p>
      <w:pPr>
        <w:spacing w:after="0"/>
        <w:jc w:val="left"/>
        <w:rPr>
          <w:sz w:val="21"/>
        </w:rPr>
        <w:sectPr>
          <w:type w:val="continuous"/>
          <w:pgSz w:w="11910" w:h="16840"/>
          <w:pgMar w:top="1580" w:bottom="280" w:left="1480" w:right="1020"/>
          <w:cols w:num="2" w:equalWidth="0">
            <w:col w:w="1815" w:space="395"/>
            <w:col w:w="7200"/>
          </w:cols>
        </w:sectPr>
      </w:pPr>
    </w:p>
    <w:p>
      <w:pPr>
        <w:pStyle w:val="BodyText"/>
        <w:spacing w:before="6"/>
        <w:rPr>
          <w:sz w:val="8"/>
        </w:rPr>
      </w:pPr>
      <w:r>
        <w:rPr/>
        <w:pict>
          <v:group style="position:absolute;margin-left:79.080002pt;margin-top:93.599945pt;width:459.85pt;height:671.8pt;mso-position-horizontal-relative:page;mso-position-vertical-relative:page;z-index:-211960" coordorigin="1582,1872" coordsize="9197,13436">
            <v:line style="position:absolute" from="1582,1877" to="10769,1877" stroked="true" strokeweight=".479999pt" strokecolor="#000000">
              <v:stroke dashstyle="solid"/>
            </v:line>
            <v:line style="position:absolute" from="1586,1882" to="1586,15307" stroked="true" strokeweight=".48pt" strokecolor="#000000">
              <v:stroke dashstyle="solid"/>
            </v:line>
            <v:line style="position:absolute" from="1582,15302" to="10769,15302" stroked="true" strokeweight=".479965pt" strokecolor="#000000">
              <v:stroke dashstyle="solid"/>
            </v:line>
            <v:line style="position:absolute" from="10774,1872" to="10774,15307" stroked="true" strokeweight=".480011pt" strokecolor="#000000">
              <v:stroke dashstyle="solid"/>
            </v:line>
            <v:shape style="position:absolute;left:1891;top:5208;width:8536;height:1942" type="#_x0000_t75" stroked="false">
              <v:imagedata r:id="rId17" o:title=""/>
            </v:shape>
            <w10:wrap type="none"/>
          </v:group>
        </w:pict>
      </w:r>
    </w:p>
    <w:p>
      <w:pPr>
        <w:pStyle w:val="BodyText"/>
        <w:spacing w:line="364" w:lineRule="auto" w:before="52"/>
        <w:ind w:left="214" w:right="218" w:firstLine="480"/>
      </w:pPr>
      <w:r>
        <w:rPr>
          <w:spacing w:val="-12"/>
        </w:rPr>
        <w:t>施工过程中产生的扬尘，属于无组织排放，主要通过施工管理和封闭操作等的措施</w:t>
      </w:r>
      <w:r>
        <w:rPr/>
        <w:t>来进行控制。</w:t>
      </w:r>
    </w:p>
    <w:p>
      <w:pPr>
        <w:pStyle w:val="ListParagraph"/>
        <w:numPr>
          <w:ilvl w:val="2"/>
          <w:numId w:val="10"/>
        </w:numPr>
        <w:tabs>
          <w:tab w:pos="1296" w:val="left" w:leader="none"/>
        </w:tabs>
        <w:spacing w:line="240" w:lineRule="auto" w:before="1" w:after="0"/>
        <w:ind w:left="1295" w:right="0" w:hanging="601"/>
        <w:jc w:val="left"/>
        <w:rPr>
          <w:sz w:val="24"/>
        </w:rPr>
      </w:pPr>
      <w:r>
        <w:rPr>
          <w:sz w:val="24"/>
        </w:rPr>
        <w:t>废水</w:t>
      </w:r>
    </w:p>
    <w:p>
      <w:pPr>
        <w:pStyle w:val="BodyText"/>
        <w:spacing w:line="364" w:lineRule="auto" w:before="161"/>
        <w:ind w:left="214" w:right="220" w:firstLine="480"/>
      </w:pPr>
      <w:r>
        <w:rPr/>
        <w:t>施工期较短产生的废水主要包括施工废水及施工人员的生活污水，可依托医院已有污水处理设施处理后进入市政管网。</w:t>
      </w:r>
    </w:p>
    <w:p>
      <w:pPr>
        <w:pStyle w:val="ListParagraph"/>
        <w:numPr>
          <w:ilvl w:val="2"/>
          <w:numId w:val="10"/>
        </w:numPr>
        <w:tabs>
          <w:tab w:pos="1296" w:val="left" w:leader="none"/>
        </w:tabs>
        <w:spacing w:line="240" w:lineRule="auto" w:before="1" w:after="0"/>
        <w:ind w:left="1295" w:right="0" w:hanging="601"/>
        <w:jc w:val="left"/>
        <w:rPr>
          <w:sz w:val="24"/>
        </w:rPr>
      </w:pPr>
      <w:r>
        <w:rPr>
          <w:sz w:val="24"/>
        </w:rPr>
        <w:t>废气</w:t>
      </w:r>
    </w:p>
    <w:p>
      <w:pPr>
        <w:pStyle w:val="BodyText"/>
        <w:spacing w:line="364" w:lineRule="auto" w:before="161"/>
        <w:ind w:left="214" w:right="220" w:firstLine="480"/>
        <w:jc w:val="both"/>
      </w:pPr>
      <w:r>
        <w:rPr/>
        <w:t>施工期的废气主要产生在装修过程中，在装修时喷涂等工序产生的废气和装修材料中释放的废气，影响装修人员的身体健康，该废气的排放属无组织排放。在装修期</w:t>
      </w:r>
      <w:r>
        <w:rPr>
          <w:spacing w:val="-15"/>
        </w:rPr>
        <w:t>间，应加强室内的通风换气，装修结束后，也应每天进行通风换气一段时间后才能投入</w:t>
      </w:r>
      <w:r>
        <w:rPr/>
        <w:t>使用。</w:t>
      </w:r>
    </w:p>
    <w:p>
      <w:pPr>
        <w:pStyle w:val="ListParagraph"/>
        <w:numPr>
          <w:ilvl w:val="2"/>
          <w:numId w:val="10"/>
        </w:numPr>
        <w:tabs>
          <w:tab w:pos="1296" w:val="left" w:leader="none"/>
        </w:tabs>
        <w:spacing w:line="240" w:lineRule="auto" w:before="2" w:after="0"/>
        <w:ind w:left="1295" w:right="0" w:hanging="601"/>
        <w:jc w:val="left"/>
        <w:rPr>
          <w:sz w:val="24"/>
        </w:rPr>
      </w:pPr>
      <w:r>
        <w:rPr>
          <w:sz w:val="24"/>
        </w:rPr>
        <w:t>噪声</w:t>
      </w:r>
    </w:p>
    <w:p>
      <w:pPr>
        <w:pStyle w:val="BodyText"/>
        <w:spacing w:line="364" w:lineRule="auto" w:before="160"/>
        <w:ind w:left="214" w:right="218" w:firstLine="480"/>
      </w:pPr>
      <w:r>
        <w:rPr>
          <w:spacing w:val="-11"/>
        </w:rPr>
        <w:t>施工期噪声包括各类施工、装修产生的噪声和设备安装期间产生的噪声，由于施工</w:t>
      </w:r>
      <w:r>
        <w:rPr/>
        <w:t>范围小，施工期较短，施工噪声对周围环境的影响较小。</w:t>
      </w:r>
    </w:p>
    <w:p>
      <w:pPr>
        <w:pStyle w:val="ListParagraph"/>
        <w:numPr>
          <w:ilvl w:val="2"/>
          <w:numId w:val="10"/>
        </w:numPr>
        <w:tabs>
          <w:tab w:pos="1296" w:val="left" w:leader="none"/>
        </w:tabs>
        <w:spacing w:line="240" w:lineRule="auto" w:before="2" w:after="0"/>
        <w:ind w:left="1295" w:right="0" w:hanging="601"/>
        <w:jc w:val="left"/>
        <w:rPr>
          <w:sz w:val="24"/>
        </w:rPr>
      </w:pPr>
      <w:r>
        <w:rPr>
          <w:sz w:val="24"/>
        </w:rPr>
        <w:t>固体废物</w:t>
      </w:r>
    </w:p>
    <w:p>
      <w:pPr>
        <w:pStyle w:val="BodyText"/>
        <w:spacing w:before="160"/>
        <w:ind w:left="694"/>
      </w:pPr>
      <w:r>
        <w:rPr/>
        <w:t>施工过程中固体废物主要为房间改造过程中产生的建筑垃圾以及施工人员产生的</w:t>
      </w:r>
    </w:p>
    <w:p>
      <w:pPr>
        <w:spacing w:after="0"/>
        <w:sectPr>
          <w:type w:val="continuous"/>
          <w:pgSz w:w="11910" w:h="16840"/>
          <w:pgMar w:top="1580" w:bottom="280" w:left="1480" w:right="1020"/>
        </w:sectPr>
      </w:pPr>
    </w:p>
    <w:p>
      <w:pPr>
        <w:pStyle w:val="BodyText"/>
        <w:spacing w:line="364" w:lineRule="auto" w:before="100"/>
        <w:ind w:left="214" w:right="218"/>
      </w:pPr>
      <w:r>
        <w:rPr/>
        <w:pict>
          <v:group style="position:absolute;margin-left:79.080002pt;margin-top:62.399937pt;width:459.85pt;height:703pt;mso-position-horizontal-relative:page;mso-position-vertical-relative:page;z-index:-211936" coordorigin="1582,1248" coordsize="9197,14060">
            <v:line style="position:absolute" from="1582,1253" to="10769,1253" stroked="true" strokeweight=".479999pt" strokecolor="#000000">
              <v:stroke dashstyle="solid"/>
            </v:line>
            <v:line style="position:absolute" from="1586,1258" to="1586,15307" stroked="true" strokeweight=".48pt" strokecolor="#000000">
              <v:stroke dashstyle="solid"/>
            </v:line>
            <v:line style="position:absolute" from="1582,15302" to="10769,15302" stroked="true" strokeweight=".479965pt" strokecolor="#000000">
              <v:stroke dashstyle="solid"/>
            </v:line>
            <v:line style="position:absolute" from="10774,1248" to="10774,15307" stroked="true" strokeweight=".480011pt" strokecolor="#000000">
              <v:stroke dashstyle="solid"/>
            </v:line>
            <w10:wrap type="none"/>
          </v:group>
        </w:pict>
      </w:r>
      <w:r>
        <w:rPr>
          <w:spacing w:val="-13"/>
        </w:rPr>
        <w:t>生活垃圾，施工垃圾由施工单位集中收集到指定地点进行处理；生活垃圾依托市政垃圾</w:t>
      </w:r>
      <w:r>
        <w:rPr/>
        <w:t>收运系统收集处理。因施工量较小，施工周期较短，对周围环境的影响较小。</w:t>
      </w:r>
    </w:p>
    <w:p>
      <w:pPr>
        <w:pStyle w:val="BodyText"/>
        <w:spacing w:before="2"/>
        <w:ind w:left="696"/>
      </w:pPr>
      <w:r>
        <w:rPr/>
        <w:t>2、设备安装调试阶段</w:t>
      </w:r>
      <w:r>
        <w:rPr>
          <w:w w:val="50"/>
        </w:rPr>
        <w:t> </w:t>
      </w:r>
    </w:p>
    <w:p>
      <w:pPr>
        <w:pStyle w:val="BodyText"/>
        <w:spacing w:line="364" w:lineRule="auto" w:before="160"/>
        <w:ind w:left="214" w:right="218" w:firstLine="480"/>
        <w:jc w:val="both"/>
      </w:pPr>
      <w:r>
        <w:rPr>
          <w:spacing w:val="-16"/>
        </w:rPr>
        <w:t>本项目 </w:t>
      </w:r>
      <w:r>
        <w:rPr>
          <w:rFonts w:ascii="Times New Roman" w:eastAsia="Times New Roman"/>
        </w:rPr>
        <w:t>DSA </w:t>
      </w:r>
      <w:r>
        <w:rPr>
          <w:spacing w:val="-6"/>
        </w:rPr>
        <w:t>的安装调试阶段会产生 </w:t>
      </w:r>
      <w:r>
        <w:rPr>
          <w:rFonts w:ascii="Times New Roman" w:eastAsia="Times New Roman"/>
        </w:rPr>
        <w:t>X </w:t>
      </w:r>
      <w:r>
        <w:rPr>
          <w:spacing w:val="-11"/>
        </w:rPr>
        <w:t>射线，造成一定的辐射影响。另外设备安装</w:t>
      </w:r>
      <w:r>
        <w:rPr/>
        <w:t>完成后，会有少量的废包装材料产生。设备安装和调试均由销售单位专业人员进行操</w:t>
      </w:r>
      <w:r>
        <w:rPr>
          <w:spacing w:val="-13"/>
        </w:rPr>
        <w:t>作。在安装和调试阶段，医院应配合销售单位加强现场的辐射防护管理。调试时应保证</w:t>
      </w:r>
      <w:r>
        <w:rPr/>
        <w:t>各屏蔽体屏蔽到位，在机房门外设立当心电离辐射警告标示，禁止无关人员靠近。</w:t>
      </w:r>
    </w:p>
    <w:p>
      <w:pPr>
        <w:pStyle w:val="BodyText"/>
        <w:spacing w:before="3"/>
        <w:ind w:left="696"/>
      </w:pPr>
      <w:r>
        <w:rPr/>
        <w:t>二、营运期工艺分析</w:t>
      </w:r>
    </w:p>
    <w:p>
      <w:pPr>
        <w:pStyle w:val="BodyText"/>
        <w:spacing w:before="160"/>
        <w:ind w:left="694"/>
      </w:pPr>
      <w:r>
        <w:rPr/>
        <w:t>数字减影血管造影（</w:t>
      </w:r>
      <w:r>
        <w:rPr>
          <w:rFonts w:ascii="Times New Roman" w:eastAsia="Times New Roman"/>
        </w:rPr>
        <w:t>Digital Subtraction Angiography</w:t>
      </w:r>
      <w:r>
        <w:rPr/>
        <w:t>，</w:t>
      </w:r>
      <w:r>
        <w:rPr>
          <w:rFonts w:ascii="Times New Roman" w:eastAsia="Times New Roman"/>
        </w:rPr>
        <w:t>DSA</w:t>
      </w:r>
      <w:r>
        <w:rPr/>
        <w:t>）是 </w:t>
      </w:r>
      <w:r>
        <w:rPr>
          <w:rFonts w:ascii="Times New Roman" w:eastAsia="Times New Roman"/>
        </w:rPr>
        <w:t>20 </w:t>
      </w:r>
      <w:r>
        <w:rPr/>
        <w:t>世纪 </w:t>
      </w:r>
      <w:r>
        <w:rPr>
          <w:rFonts w:ascii="Times New Roman" w:eastAsia="Times New Roman"/>
        </w:rPr>
        <w:t>80 </w:t>
      </w:r>
      <w:r>
        <w:rPr/>
        <w:t>年代继</w:t>
      </w:r>
    </w:p>
    <w:p>
      <w:pPr>
        <w:pStyle w:val="BodyText"/>
        <w:spacing w:line="364" w:lineRule="auto" w:before="161"/>
        <w:ind w:left="214" w:right="98"/>
      </w:pPr>
      <w:r>
        <w:rPr>
          <w:rFonts w:ascii="Times New Roman" w:eastAsia="Times New Roman"/>
        </w:rPr>
        <w:t>CT </w:t>
      </w:r>
      <w:r>
        <w:rPr>
          <w:spacing w:val="-8"/>
        </w:rPr>
        <w:t>之后出现的一项医学影像学新技术，是电子计算机图像处理技术与传统 </w:t>
      </w:r>
      <w:r>
        <w:rPr>
          <w:rFonts w:ascii="Times New Roman" w:eastAsia="Times New Roman"/>
        </w:rPr>
        <w:t>X </w:t>
      </w:r>
      <w:r>
        <w:rPr/>
        <w:t>射线血管</w:t>
      </w:r>
      <w:r>
        <w:rPr>
          <w:spacing w:val="-3"/>
        </w:rPr>
        <w:t>造影技术相结合的一种新的检查方法。可以满足心血管、外周血管的介入检查和治疗， </w:t>
      </w:r>
      <w:r>
        <w:rPr>
          <w:spacing w:val="2"/>
        </w:rPr>
        <w:t>以及各部位非血管介入检查与治疗。介入诊断与治疗是指医生在</w:t>
      </w:r>
      <w:r>
        <w:rPr>
          <w:rFonts w:ascii="Times New Roman" w:eastAsia="Times New Roman"/>
        </w:rPr>
        <w:t>DSA </w:t>
      </w:r>
      <w:r>
        <w:rPr/>
        <w:t>图像的引导下， 通过皮穿刺途径或通过人体原有孔道将导管或器械插入病变部位或注射造影剂，进行诊断和治疗。</w:t>
      </w:r>
    </w:p>
    <w:p>
      <w:pPr>
        <w:pStyle w:val="BodyText"/>
        <w:spacing w:before="3"/>
        <w:ind w:left="696"/>
      </w:pPr>
      <w:r>
        <w:rPr/>
        <w:t>1、工作原理</w:t>
      </w:r>
      <w:r>
        <w:rPr>
          <w:w w:val="50"/>
        </w:rPr>
        <w:t> </w:t>
      </w:r>
    </w:p>
    <w:p>
      <w:pPr>
        <w:pStyle w:val="BodyText"/>
        <w:spacing w:line="364" w:lineRule="auto" w:before="160"/>
        <w:ind w:left="214" w:right="218" w:firstLine="480"/>
        <w:jc w:val="both"/>
      </w:pPr>
      <w:r>
        <w:rPr>
          <w:rFonts w:ascii="Times New Roman" w:eastAsia="Times New Roman"/>
        </w:rPr>
        <w:t>DSA </w:t>
      </w:r>
      <w:r>
        <w:rPr>
          <w:spacing w:val="-1"/>
        </w:rPr>
        <w:t>是影像增强器技术、电视技术和计算机科学技术相结合的产物，是应用最多</w:t>
      </w:r>
      <w:r>
        <w:rPr>
          <w:spacing w:val="-13"/>
        </w:rPr>
        <w:t>的数字化 </w:t>
      </w:r>
      <w:r>
        <w:rPr>
          <w:rFonts w:ascii="Times New Roman" w:eastAsia="Times New Roman"/>
        </w:rPr>
        <w:t>X </w:t>
      </w:r>
      <w:r>
        <w:rPr>
          <w:spacing w:val="-6"/>
        </w:rPr>
        <w:t>射线透视设备。</w:t>
      </w:r>
      <w:r>
        <w:rPr>
          <w:rFonts w:ascii="Times New Roman" w:eastAsia="Times New Roman"/>
        </w:rPr>
        <w:t>DSA </w:t>
      </w:r>
      <w:r>
        <w:rPr>
          <w:spacing w:val="-4"/>
        </w:rPr>
        <w:t>主要由带有影像增强器电视系统的 </w:t>
      </w:r>
      <w:r>
        <w:rPr>
          <w:rFonts w:ascii="Times New Roman" w:eastAsia="Times New Roman"/>
        </w:rPr>
        <w:t>X </w:t>
      </w:r>
      <w:r>
        <w:rPr>
          <w:spacing w:val="-6"/>
        </w:rPr>
        <w:t>射线诊断机、高压注射器、电子计算机图像处理系统、治疗床、操作台和多幅照相机组成。</w:t>
      </w:r>
    </w:p>
    <w:p>
      <w:pPr>
        <w:pStyle w:val="BodyText"/>
        <w:spacing w:line="364" w:lineRule="auto" w:before="2"/>
        <w:ind w:left="214" w:right="98" w:firstLine="480"/>
      </w:pPr>
      <w:r>
        <w:rPr>
          <w:rFonts w:ascii="Times New Roman" w:eastAsia="Times New Roman"/>
        </w:rPr>
        <w:t>DSA </w:t>
      </w:r>
      <w:r>
        <w:rPr/>
        <w:t>是通过电子计算机进行辅助成像的血管造影方法，它是应用计算机程序进行</w:t>
      </w:r>
      <w:r>
        <w:rPr>
          <w:spacing w:val="-12"/>
        </w:rPr>
        <w:t>两次成像完成的。在注入造影剂之前，首先进行第一次成像，并用计算机将图像转换成</w:t>
      </w:r>
      <w:r>
        <w:rPr>
          <w:spacing w:val="-16"/>
        </w:rPr>
        <w:t>数字信号储存起来。注入造影剂后，再次成像并转换成数字信号。两次数字相减，消除</w:t>
      </w:r>
      <w:r>
        <w:rPr>
          <w:spacing w:val="-17"/>
        </w:rPr>
        <w:t>相同的信号，得知一个只有造影剂的血管图像。这种图像较以往所用的常规脑血管造影</w:t>
      </w:r>
      <w:r>
        <w:rPr>
          <w:spacing w:val="-16"/>
        </w:rPr>
        <w:t>所显示的图像更清晰和直观，一些精细的血管结构亦能显示出来。且对比度分辨率高， </w:t>
      </w:r>
      <w:r>
        <w:rPr>
          <w:spacing w:val="-9"/>
        </w:rPr>
        <w:t>减去了血管以外的背景，尤其使与骨骼重叠的血管能清楚显示；由于造影剂用量少，浓</w:t>
      </w:r>
      <w:r>
        <w:rPr>
          <w:spacing w:val="-14"/>
        </w:rPr>
        <w:t>度低，损伤小、较安全。通过数字减影血管造影系统处理的图像，使血管的影像更为清晰，在进行介入手术时更为安全。</w:t>
      </w:r>
    </w:p>
    <w:p>
      <w:pPr>
        <w:pStyle w:val="BodyText"/>
        <w:spacing w:before="5"/>
        <w:ind w:left="696"/>
      </w:pPr>
      <w:r>
        <w:rPr/>
        <w:t>2、设备组成</w:t>
      </w:r>
      <w:r>
        <w:rPr>
          <w:w w:val="50"/>
        </w:rPr>
        <w:t> </w:t>
      </w:r>
    </w:p>
    <w:p>
      <w:pPr>
        <w:pStyle w:val="BodyText"/>
        <w:spacing w:line="364" w:lineRule="auto" w:before="160"/>
        <w:ind w:left="214" w:right="141" w:firstLine="480"/>
      </w:pPr>
      <w:r>
        <w:rPr>
          <w:rFonts w:ascii="Times New Roman" w:eastAsia="Times New Roman"/>
        </w:rPr>
        <w:t>DSA </w:t>
      </w:r>
      <w:r>
        <w:rPr/>
        <w:t>主要由带有影像增强器电视系统的 </w:t>
      </w:r>
      <w:r>
        <w:rPr>
          <w:rFonts w:ascii="Times New Roman" w:eastAsia="Times New Roman"/>
        </w:rPr>
        <w:t>X </w:t>
      </w:r>
      <w:r>
        <w:rPr/>
        <w:t>射线诊断机、高压注射器、电子计算机图像处理系统、治疗床、操作台和多幅照相机组成。</w:t>
      </w:r>
    </w:p>
    <w:p>
      <w:pPr>
        <w:pStyle w:val="BodyText"/>
        <w:spacing w:line="306" w:lineRule="exact"/>
        <w:ind w:left="696"/>
      </w:pPr>
      <w:r>
        <w:rPr>
          <w:w w:val="50"/>
        </w:rPr>
        <w:t> </w:t>
      </w:r>
    </w:p>
    <w:p>
      <w:pPr>
        <w:spacing w:after="0" w:line="306" w:lineRule="exact"/>
        <w:sectPr>
          <w:pgSz w:w="11910" w:h="16840"/>
          <w:pgMar w:header="0" w:footer="881" w:top="1220" w:bottom="1160" w:left="1480" w:right="1020"/>
        </w:sectPr>
      </w:pPr>
    </w:p>
    <w:p>
      <w:pPr>
        <w:pStyle w:val="BodyText"/>
        <w:spacing w:before="100"/>
        <w:ind w:left="696"/>
      </w:pPr>
      <w:r>
        <w:rPr/>
        <w:t>3、操作流程</w:t>
      </w:r>
      <w:r>
        <w:rPr>
          <w:w w:val="50"/>
        </w:rPr>
        <w:t> </w:t>
      </w:r>
    </w:p>
    <w:p>
      <w:pPr>
        <w:pStyle w:val="BodyText"/>
        <w:spacing w:before="161"/>
        <w:ind w:left="694"/>
      </w:pPr>
      <w:r>
        <w:rPr>
          <w:rFonts w:ascii="Times New Roman" w:eastAsia="Times New Roman"/>
        </w:rPr>
        <w:t>DSA </w:t>
      </w:r>
      <w:r>
        <w:rPr/>
        <w:t>在进行曝光时分为检查和介入治疗两种情况，对应的治疗流程及产污图见图</w:t>
      </w:r>
    </w:p>
    <w:p>
      <w:pPr>
        <w:pStyle w:val="BodyText"/>
        <w:spacing w:before="160"/>
        <w:ind w:left="214"/>
      </w:pPr>
      <w:r>
        <w:rPr>
          <w:rFonts w:ascii="Times New Roman" w:eastAsia="Times New Roman"/>
        </w:rPr>
        <w:t>9-2</w:t>
      </w:r>
      <w:r>
        <w:rPr/>
        <w:t>：</w:t>
      </w:r>
    </w:p>
    <w:p>
      <w:pPr>
        <w:pStyle w:val="BodyText"/>
        <w:spacing w:before="5"/>
        <w:rPr>
          <w:sz w:val="20"/>
        </w:rPr>
      </w:pPr>
      <w:r>
        <w:rPr/>
        <w:pict>
          <v:group style="position:absolute;margin-left:102.720001pt;margin-top:15.024953pt;width:410.2pt;height:295.350pt;mso-position-horizontal-relative:page;mso-position-vertical-relative:paragraph;z-index:-712;mso-wrap-distance-left:0;mso-wrap-distance-right:0" coordorigin="2054,300" coordsize="8204,5907">
            <v:rect style="position:absolute;left:4968;top:305;width:2199;height:356" filled="false" stroked="true" strokeweight=".48pt" strokecolor="#000000">
              <v:stroke dashstyle="solid"/>
            </v:rect>
            <v:shape style="position:absolute;left:5414;top:386;width:814;height:180" type="#_x0000_t75" stroked="false">
              <v:imagedata r:id="rId18" o:title=""/>
            </v:shape>
            <v:shape style="position:absolute;left:6360;top:389;width:358;height:180" type="#_x0000_t75" stroked="false">
              <v:imagedata r:id="rId19" o:title=""/>
            </v:shape>
            <v:rect style="position:absolute;left:4500;top:967;width:3135;height:358" filled="false" stroked="true" strokeweight=".48pt" strokecolor="#000000">
              <v:stroke dashstyle="solid"/>
            </v:rect>
            <v:shape style="position:absolute;left:4773;top:1049;width:2600;height:183" type="#_x0000_t75" stroked="false">
              <v:imagedata r:id="rId20" o:title=""/>
            </v:shape>
            <v:rect style="position:absolute;left:4968;top:1630;width:2247;height:358" filled="false" stroked="true" strokeweight=".48pt" strokecolor="#000000">
              <v:stroke dashstyle="solid"/>
            </v:rect>
            <v:shape style="position:absolute;left:5152;top:1711;width:1380;height:180" type="#_x0000_t75" stroked="false">
              <v:imagedata r:id="rId21" o:title=""/>
            </v:shape>
            <v:shape style="position:absolute;left:6662;top:1711;width:360;height:183" type="#_x0000_t75" stroked="false">
              <v:imagedata r:id="rId22" o:title=""/>
            </v:shape>
            <v:line style="position:absolute" from="6067,1325" to="6067,1563" stroked="true" strokeweight=".375pt" strokecolor="#000000">
              <v:stroke dashstyle="solid"/>
            </v:line>
            <v:shape style="position:absolute;left:6026;top:1553;width:82;height:77" coordorigin="6026,1553" coordsize="82,77" path="m6067,1630l6026,1553,6108,1553,6067,1630xe" filled="true" fillcolor="#000000" stroked="false">
              <v:path arrowok="t"/>
              <v:fill type="solid"/>
            </v:shape>
            <v:line style="position:absolute" from="6067,660" to="6067,900" stroked="true" strokeweight=".375pt" strokecolor="#000000">
              <v:stroke dashstyle="solid"/>
            </v:line>
            <v:shape style="position:absolute;left:6026;top:890;width:82;height:77" coordorigin="6026,891" coordsize="82,77" path="m6067,968l6026,891,6108,891,6067,968xe" filled="true" fillcolor="#000000" stroked="false">
              <v:path arrowok="t"/>
              <v:fill type="solid"/>
            </v:shape>
            <v:rect style="position:absolute;left:2916;top:2954;width:2926;height:358" filled="true" fillcolor="#959595" stroked="false">
              <v:fill type="solid"/>
            </v:rect>
            <v:rect style="position:absolute;left:2916;top:2954;width:2926;height:358" filled="false" stroked="true" strokeweight=".48pt" strokecolor="#000000">
              <v:stroke dashstyle="solid"/>
            </v:rect>
            <v:shape style="position:absolute;left:2992;top:3067;width:135;height:137" type="#_x0000_t75" stroked="false">
              <v:imagedata r:id="rId23" o:title=""/>
            </v:shape>
            <v:shape style="position:absolute;left:3136;top:3036;width:924;height:188" type="#_x0000_t75" stroked="false">
              <v:imagedata r:id="rId24" o:title=""/>
            </v:shape>
            <v:shape style="position:absolute;left:4173;top:3048;width:56;height:159" type="#_x0000_t75" stroked="false">
              <v:imagedata r:id="rId25" o:title=""/>
            </v:shape>
            <v:shape style="position:absolute;left:4267;top:3036;width:353;height:188" type="#_x0000_t75" stroked="false">
              <v:imagedata r:id="rId26" o:title=""/>
            </v:shape>
            <v:shape style="position:absolute;left:4660;top:3046;width:214;height:166" type="#_x0000_t75" stroked="false">
              <v:imagedata r:id="rId27" o:title=""/>
            </v:shape>
            <v:shape style="position:absolute;left:5018;top:3036;width:742;height:188" type="#_x0000_t75" stroked="false">
              <v:imagedata r:id="rId28" o:title=""/>
            </v:shape>
            <v:line style="position:absolute" from="4920,3312" to="4920,3567" stroked="true" strokeweight=".375pt" strokecolor="#000000">
              <v:stroke dashstyle="solid"/>
            </v:line>
            <v:line style="position:absolute" from="4920,4035" to="4920,4289" stroked="true" strokeweight=".375pt" strokecolor="#000000">
              <v:stroke dashstyle="solid"/>
            </v:line>
            <v:shape style="position:absolute;left:4888;top:4282;width:72;height:118" coordorigin="4889,4282" coordsize="72,118" path="m4920,4400l4889,4282,4961,4282,4920,4400xe" filled="true" fillcolor="#000000" stroked="false">
              <v:path arrowok="t"/>
              <v:fill type="solid"/>
            </v:shape>
            <v:rect style="position:absolute;left:3974;top:3677;width:1892;height:358" filled="false" stroked="true" strokeweight=".48pt" strokecolor="#000000">
              <v:stroke dashstyle="solid"/>
            </v:rect>
            <v:shape style="position:absolute;left:4082;top:3758;width:1678;height:185" type="#_x0000_t75" stroked="false">
              <v:imagedata r:id="rId29" o:title=""/>
            </v:shape>
            <v:line style="position:absolute" from="4920,4757" to="4920,5012" stroked="true" strokeweight=".375pt" strokecolor="#000000">
              <v:stroke dashstyle="solid"/>
            </v:line>
            <v:shape style="position:absolute;left:4888;top:5004;width:72;height:118" coordorigin="4889,5004" coordsize="72,118" path="m4920,5122l4889,5004,4961,5004,4920,5122xe" filled="true" fillcolor="#000000" stroked="false">
              <v:path arrowok="t"/>
              <v:fill type="solid"/>
            </v:shape>
            <v:rect style="position:absolute;left:2916;top:4399;width:2926;height:358" filled="true" fillcolor="#959595" stroked="false">
              <v:fill type="solid"/>
            </v:rect>
            <v:rect style="position:absolute;left:2916;top:4399;width:2926;height:358" filled="false" stroked="true" strokeweight=".48pt" strokecolor="#000000">
              <v:stroke dashstyle="solid"/>
            </v:rect>
            <v:shape style="position:absolute;left:2992;top:4512;width:135;height:137" type="#_x0000_t75" stroked="false">
              <v:imagedata r:id="rId23" o:title=""/>
            </v:shape>
            <v:shape style="position:absolute;left:3136;top:4481;width:924;height:188" type="#_x0000_t75" stroked="false">
              <v:imagedata r:id="rId24" o:title=""/>
            </v:shape>
            <v:shape style="position:absolute;left:4173;top:4493;width:56;height:159" type="#_x0000_t75" stroked="false">
              <v:imagedata r:id="rId25" o:title=""/>
            </v:shape>
            <v:shape style="position:absolute;left:4267;top:4481;width:353;height:188" type="#_x0000_t75" stroked="false">
              <v:imagedata r:id="rId26" o:title=""/>
            </v:shape>
            <v:shape style="position:absolute;left:4660;top:4490;width:214;height:166" type="#_x0000_t75" stroked="false">
              <v:imagedata r:id="rId27" o:title=""/>
            </v:shape>
            <v:shape style="position:absolute;left:5018;top:4481;width:742;height:188" type="#_x0000_t75" stroked="false">
              <v:imagedata r:id="rId28" o:title=""/>
            </v:shape>
            <v:rect style="position:absolute;left:4022;top:5122;width:1803;height:358" filled="false" stroked="true" strokeweight=".48pt" strokecolor="#000000">
              <v:stroke dashstyle="solid"/>
            </v:rect>
            <v:shape style="position:absolute;left:4358;top:5232;width:370;height:137" type="#_x0000_t75" stroked="false">
              <v:imagedata r:id="rId30" o:title=""/>
            </v:shape>
            <v:shape style="position:absolute;left:4740;top:5203;width:740;height:183" type="#_x0000_t75" stroked="false">
              <v:imagedata r:id="rId31" o:title=""/>
            </v:shape>
            <v:shape style="position:absolute;left:4888;top:3559;width:72;height:118" coordorigin="4889,3560" coordsize="72,118" path="m4920,3677l4889,3560,4961,3560,4920,3677xe" filled="true" fillcolor="#000000" stroked="false">
              <v:path arrowok="t"/>
              <v:fill type="solid"/>
            </v:shape>
            <v:rect style="position:absolute;left:6292;top:2954;width:2926;height:358" filled="true" fillcolor="#959595" stroked="false">
              <v:fill type="solid"/>
            </v:rect>
            <v:rect style="position:absolute;left:6292;top:2954;width:2926;height:358" filled="false" stroked="true" strokeweight=".48pt" strokecolor="#000000">
              <v:stroke dashstyle="solid"/>
            </v:rect>
            <v:shape style="position:absolute;left:6369;top:3067;width:135;height:137" type="#_x0000_t75" stroked="false">
              <v:imagedata r:id="rId23" o:title=""/>
            </v:shape>
            <v:shape style="position:absolute;left:6513;top:3036;width:924;height:188" type="#_x0000_t75" stroked="false">
              <v:imagedata r:id="rId32" o:title=""/>
            </v:shape>
            <v:shape style="position:absolute;left:7552;top:3048;width:56;height:159" type="#_x0000_t75" stroked="false">
              <v:imagedata r:id="rId25" o:title=""/>
            </v:shape>
            <v:shape style="position:absolute;left:7644;top:3036;width:356;height:188" type="#_x0000_t75" stroked="false">
              <v:imagedata r:id="rId33" o:title=""/>
            </v:shape>
            <v:shape style="position:absolute;left:8037;top:3046;width:216;height:166" type="#_x0000_t75" stroked="false">
              <v:imagedata r:id="rId34" o:title=""/>
            </v:shape>
            <v:shape style="position:absolute;left:8397;top:3036;width:740;height:188" type="#_x0000_t75" stroked="false">
              <v:imagedata r:id="rId35" o:title=""/>
            </v:shape>
            <v:line style="position:absolute" from="7214,3312" to="7214,3567" stroked="true" strokeweight=".375pt" strokecolor="#000000">
              <v:stroke dashstyle="solid"/>
            </v:line>
            <v:rect style="position:absolute;left:6292;top:3677;width:1892;height:358" filled="false" stroked="true" strokeweight=".48pt" strokecolor="#000000">
              <v:stroke dashstyle="solid"/>
            </v:rect>
            <v:shape style="position:absolute;left:6400;top:3758;width:1678;height:185" type="#_x0000_t75" stroked="false">
              <v:imagedata r:id="rId36" o:title=""/>
            </v:shape>
            <v:shape style="position:absolute;left:7173;top:3559;width:75;height:118" coordorigin="7174,3560" coordsize="75,118" path="m7214,3677l7174,3560,7248,3560,7214,3677xe" filled="true" fillcolor="#000000" stroked="false">
              <v:path arrowok="t"/>
              <v:fill type="solid"/>
            </v:shape>
            <v:line style="position:absolute" from="7214,4035" to="7214,4289" stroked="true" strokeweight=".375pt" strokecolor="#000000">
              <v:stroke dashstyle="solid"/>
            </v:line>
            <v:rect style="position:absolute;left:6292;top:4399;width:2926;height:358" filled="true" fillcolor="#959595" stroked="false">
              <v:fill type="solid"/>
            </v:rect>
            <v:rect style="position:absolute;left:6292;top:4399;width:2926;height:358" filled="false" stroked="true" strokeweight=".48pt" strokecolor="#000000">
              <v:stroke dashstyle="solid"/>
            </v:rect>
            <v:shape style="position:absolute;left:6369;top:4512;width:135;height:137" type="#_x0000_t75" stroked="false">
              <v:imagedata r:id="rId23" o:title=""/>
            </v:shape>
            <v:shape style="position:absolute;left:6513;top:4481;width:924;height:188" type="#_x0000_t75" stroked="false">
              <v:imagedata r:id="rId32" o:title=""/>
            </v:shape>
            <v:shape style="position:absolute;left:7552;top:4493;width:56;height:159" type="#_x0000_t75" stroked="false">
              <v:imagedata r:id="rId25" o:title=""/>
            </v:shape>
            <v:shape style="position:absolute;left:7644;top:4481;width:356;height:188" type="#_x0000_t75" stroked="false">
              <v:imagedata r:id="rId33" o:title=""/>
            </v:shape>
            <v:shape style="position:absolute;left:8037;top:4490;width:216;height:166" type="#_x0000_t75" stroked="false">
              <v:imagedata r:id="rId34" o:title=""/>
            </v:shape>
            <v:shape style="position:absolute;left:8397;top:4481;width:740;height:188" type="#_x0000_t75" stroked="false">
              <v:imagedata r:id="rId35" o:title=""/>
            </v:shape>
            <v:shape style="position:absolute;left:7173;top:4282;width:75;height:118" coordorigin="7174,4282" coordsize="75,118" path="m7214,4400l7174,4282,7248,4282,7214,4400xe" filled="true" fillcolor="#000000" stroked="false">
              <v:path arrowok="t"/>
              <v:fill type="solid"/>
            </v:shape>
            <v:line style="position:absolute" from="7214,4757" to="7214,5012" stroked="true" strokeweight=".375pt" strokecolor="#000000">
              <v:stroke dashstyle="solid"/>
            </v:line>
            <v:rect style="position:absolute;left:6309;top:5122;width:2045;height:358" filled="true" fillcolor="#959595" stroked="false">
              <v:fill type="solid"/>
            </v:rect>
            <v:rect style="position:absolute;left:6309;top:5122;width:2045;height:358" filled="false" stroked="true" strokeweight=".48pt" strokecolor="#000000">
              <v:stroke dashstyle="solid"/>
            </v:rect>
            <v:shape style="position:absolute;left:6398;top:5201;width:740;height:188" type="#_x0000_t75" stroked="false">
              <v:imagedata r:id="rId37" o:title=""/>
            </v:shape>
            <v:shape style="position:absolute;left:7250;top:5215;width:56;height:159" type="#_x0000_t75" stroked="false">
              <v:imagedata r:id="rId25" o:title=""/>
            </v:shape>
            <v:shape style="position:absolute;left:7356;top:5206;width:814;height:180" type="#_x0000_t75" stroked="false">
              <v:imagedata r:id="rId38" o:title=""/>
            </v:shape>
            <v:shape style="position:absolute;left:7173;top:5004;width:75;height:118" coordorigin="7174,5004" coordsize="75,118" path="m7214,5122l7174,5004,7248,5004,7214,5122xe" filled="true" fillcolor="#000000" stroked="false">
              <v:path arrowok="t"/>
              <v:fill type="solid"/>
            </v:shape>
            <v:line style="position:absolute" from="7214,5480" to="7214,5734" stroked="true" strokeweight=".375pt" strokecolor="#000000">
              <v:stroke dashstyle="solid"/>
            </v:line>
            <v:rect style="position:absolute;left:6309;top:5844;width:1803;height:358" filled="false" stroked="true" strokeweight=".48pt" strokecolor="#000000">
              <v:stroke dashstyle="solid"/>
            </v:rect>
            <v:shape style="position:absolute;left:6648;top:5954;width:372;height:137" type="#_x0000_t75" stroked="false">
              <v:imagedata r:id="rId39" o:title=""/>
            </v:shape>
            <v:shape style="position:absolute;left:7034;top:5926;width:735;height:183" type="#_x0000_t75" stroked="false">
              <v:imagedata r:id="rId40" o:title=""/>
            </v:shape>
            <v:shape style="position:absolute;left:7173;top:5726;width:75;height:118" coordorigin="7174,5727" coordsize="75,118" path="m7214,5844l7174,5727,7248,5727,7214,5844xe" filled="true" fillcolor="#000000" stroked="false">
              <v:path arrowok="t"/>
              <v:fill type="solid"/>
            </v:shape>
            <v:shape style="position:absolute;left:6067;top:2683;width:1148;height:144" coordorigin="6067,2684" coordsize="1148,144" path="m6067,2684l7214,2684,7214,2828e" filled="false" stroked="true" strokeweight=".48pt" strokecolor="#000000">
              <v:path arrowok="t"/>
              <v:stroke dashstyle="solid"/>
            </v:shape>
            <v:shape style="position:absolute;left:7166;top:2820;width:89;height:135" coordorigin="7166,2820" coordsize="89,135" path="m7214,2955l7166,2820,7255,2820,7214,2955xe" filled="true" fillcolor="#000000" stroked="false">
              <v:path arrowok="t"/>
              <v:fill type="solid"/>
            </v:shape>
            <v:shape style="position:absolute;left:4920;top:2683;width:1148;height:144" coordorigin="4920,2684" coordsize="1148,144" path="m6067,2684l4920,2684,4920,2828e" filled="false" stroked="true" strokeweight=".48pt" strokecolor="#000000">
              <v:path arrowok="t"/>
              <v:stroke dashstyle="solid"/>
            </v:shape>
            <v:shape style="position:absolute;left:4879;top:2820;width:89;height:135" coordorigin="4879,2820" coordsize="89,135" path="m4920,2955l4879,2820,4968,2820,4920,2955xe" filled="true" fillcolor="#000000" stroked="false">
              <v:path arrowok="t"/>
              <v:fill type="solid"/>
            </v:shape>
            <v:shape style="position:absolute;left:9218;top:3134;width:696;height:984" coordorigin="9218,3135" coordsize="696,984" path="m9218,3135l9914,3135,9914,4119e" filled="false" stroked="true" strokeweight=".48pt" strokecolor="#000000">
              <v:path arrowok="t"/>
              <v:stroke dashstyle="solid"/>
            </v:shape>
            <v:shape style="position:absolute;left:9496;top:4241;width:761;height:675" coordorigin="9497,4241" coordsize="761,675" path="m9504,4416l9499,4416,9497,4414,9497,4256,9499,4253,9504,4253,9506,4256,9506,4414,9504,4416xm9504,4661l9499,4661,9497,4659,9497,4500,9499,4498,9504,4498,9506,4500,9506,4659,9504,4661xm9504,4906l9499,4906,9497,4904,9497,4745,9499,4743,9504,4743,9506,4745,9506,4904,9504,4906xm9727,4916l9576,4916,9574,4913,9574,4908,9576,4906,9727,4906,9730,4908,9730,4913,9727,4916xm9960,4916l9809,4916,9806,4913,9806,4908,9809,4906,9960,4906,9962,4908,9962,4913,9960,4916xm10193,4916l10042,4916,10039,4913,10039,4908,10042,4906,10193,4906,10195,4908,10195,4913,10193,4916xm10255,4889l10250,4889,10248,4887,10248,4728,10250,4726,10255,4726,10258,4728,10258,4887,10255,4889xm10255,4644l10250,4644,10248,4642,10248,4484,10250,4481,10255,4481,10258,4484,10258,4642,10255,4644xm10248,4253l10246,4253,10243,4251,10243,4244,10246,4241,10255,4241,10258,4244,10258,4248,10248,4248,10248,4253xm10255,4400l10250,4400,10248,4397,10248,4248,10253,4253,10258,4253,10258,4397,10255,4400xm10258,4253l10253,4253,10248,4248,10258,4248,10258,4253xm10164,4253l10013,4253,10010,4251,10010,4244,10013,4241,10164,4241,10166,4244,10166,4251,10164,4253xm9931,4253l9780,4253,9778,4251,9778,4244,9780,4241,9931,4241,9934,4244,9934,4251,9931,4253xm9698,4253l9547,4253,9545,4251,9545,4244,9547,4241,9698,4241,9701,4244,9701,4251,9698,4253xe" filled="true" fillcolor="#000000" stroked="false">
              <v:path arrowok="t"/>
              <v:fill type="solid"/>
            </v:shape>
            <v:shape style="position:absolute;left:9624;top:4380;width:135;height:137" type="#_x0000_t75" stroked="false">
              <v:imagedata r:id="rId23" o:title=""/>
            </v:shape>
            <v:shape style="position:absolute;left:9763;top:4349;width:358;height:188" type="#_x0000_t75" stroked="false">
              <v:imagedata r:id="rId41" o:title=""/>
            </v:shape>
            <v:shape style="position:absolute;left:9696;top:4610;width:365;height:188" type="#_x0000_t75" stroked="false">
              <v:imagedata r:id="rId42" o:title=""/>
            </v:shape>
            <v:shape style="position:absolute;left:9864;top:4111;width:89;height:137" coordorigin="9864,4112" coordsize="89,137" path="m9914,4248l9864,4112,9953,4112,9914,4248xe" filled="true" fillcolor="#000000" stroked="false">
              <v:path arrowok="t"/>
              <v:fill type="solid"/>
            </v:shape>
            <v:shape style="position:absolute;left:8354;top:5038;width:1560;height:264" coordorigin="8354,5038" coordsize="1560,264" path="m8354,5302l9914,5302,9914,5038e" filled="false" stroked="true" strokeweight=".48pt" strokecolor="#000000">
              <v:path arrowok="t"/>
              <v:stroke dashstyle="solid"/>
            </v:shape>
            <v:shape style="position:absolute;left:9864;top:4910;width:89;height:135" coordorigin="9864,4911" coordsize="89,135" path="m9953,5045l9864,5045,9914,4911,9953,5045xe" filled="true" fillcolor="#000000" stroked="false">
              <v:path arrowok="t"/>
              <v:fill type="solid"/>
            </v:shape>
            <v:shape style="position:absolute;left:2464;top:3134;width:452;height:298" coordorigin="2465,3135" coordsize="452,298" path="m2916,3135l2465,3135,2465,3432e" filled="false" stroked="true" strokeweight=".48pt" strokecolor="#000000">
              <v:path arrowok="t"/>
              <v:stroke dashstyle="solid"/>
            </v:shape>
            <v:shape style="position:absolute;left:2054;top:3554;width:764;height:672" coordorigin="2054,3555" coordsize="764,672" path="m2064,3728l2057,3728,2054,3725,2054,3567,2057,3564,2064,3564,2064,3728xm2064,3972l2057,3972,2054,3970,2054,3812,2057,3809,2064,3809,2064,3972xm2064,4217l2057,4217,2054,4215,2054,4056,2057,4054,2064,4054,2064,4217xm2285,4227l2136,4227,2134,4224,2134,4220,2136,4217,2285,4217,2287,4220,2287,4224,2285,4227xm2518,4227l2369,4227,2366,4224,2366,4220,2369,4217,2518,4217,2520,4220,2520,4224,2518,4227xm2750,4227l2602,4227,2599,4224,2599,4220,2602,4217,2750,4217,2753,4220,2753,4224,2750,4227xm2815,4200l2808,4200,2806,4198,2806,4040,2808,4037,2815,4037,2818,4040,2818,4198,2815,4200xm2815,3956l2808,3956,2806,3953,2806,3795,2808,3792,2815,3792,2818,3795,2818,3953,2815,3956xm2806,3564l2803,3564,2801,3562,2801,3557,2803,3555,2815,3555,2818,3557,2818,3560,2806,3560,2806,3564xm2818,3711l2806,3711,2806,3560,2813,3564,2818,3564,2818,3711xm2818,3564l2813,3564,2806,3560,2818,3560,2818,3564xm2722,3564l2570,3564,2570,3555,2722,3555,2724,3557,2724,3562,2722,3564xm2489,3564l2338,3564,2338,3555,2489,3555,2491,3557,2491,3562,2489,3564xm2256,3564l2107,3564,2105,3562,2105,3557,2107,3555,2256,3555,2258,3557,2258,3562,2256,3564xe" filled="true" fillcolor="#000000" stroked="false">
              <v:path arrowok="t"/>
              <v:fill type="solid"/>
            </v:shape>
            <v:shape style="position:absolute;left:2179;top:3689;width:135;height:137" type="#_x0000_t75" stroked="false">
              <v:imagedata r:id="rId23" o:title=""/>
            </v:shape>
            <v:shape style="position:absolute;left:2320;top:3658;width:358;height:188" type="#_x0000_t75" stroked="false">
              <v:imagedata r:id="rId41" o:title=""/>
            </v:shape>
            <v:shape style="position:absolute;left:2253;top:3917;width:363;height:188" type="#_x0000_t75" stroked="false">
              <v:imagedata r:id="rId43" o:title=""/>
            </v:shape>
            <v:shape style="position:absolute;left:2424;top:3415;width:89;height:144" coordorigin="2424,3416" coordsize="89,144" path="m2465,3560l2424,3416,2513,3416,2465,3560xe" filled="true" fillcolor="#000000" stroked="false">
              <v:path arrowok="t"/>
              <v:fill type="solid"/>
            </v:shape>
            <v:shape style="position:absolute;left:2464;top:4339;width:452;height:240" coordorigin="2465,4340" coordsize="452,240" path="m2916,4580l2465,4580,2465,4340e" filled="false" stroked="true" strokeweight=".48pt" strokecolor="#000000">
              <v:path arrowok="t"/>
              <v:stroke dashstyle="solid"/>
            </v:shape>
            <v:shape style="position:absolute;left:2424;top:4222;width:89;height:137" coordorigin="2424,4222" coordsize="89,137" path="m2513,4359l2424,4359,2465,4222,2513,4359xe" filled="true" fillcolor="#000000" stroked="false">
              <v:path arrowok="t"/>
              <v:fill type="solid"/>
            </v:shape>
            <v:line style="position:absolute" from="6067,1988" to="6067,2684" stroked="true" strokeweight=".48pt" strokecolor="#000000">
              <v:stroke dashstyle="solid"/>
            </v:line>
            <v:line style="position:absolute" from="9218,4580" to="9379,4580" stroked="true" strokeweight=".48pt" strokecolor="#000000">
              <v:stroke dashstyle="solid"/>
            </v:line>
            <v:shape style="position:absolute;left:9372;top:4536;width:130;height:94" coordorigin="9372,4536" coordsize="130,94" path="m9372,4630l9372,4536,9502,4580,9372,4630xe" filled="true" fillcolor="#000000" stroked="false">
              <v:path arrowok="t"/>
              <v:fill type="solid"/>
            </v:shape>
            <w10:wrap type="topAndBottom"/>
          </v:group>
        </w:pict>
      </w:r>
    </w:p>
    <w:p>
      <w:pPr>
        <w:pStyle w:val="BodyText"/>
        <w:spacing w:before="2"/>
        <w:rPr>
          <w:sz w:val="8"/>
        </w:rPr>
      </w:pPr>
    </w:p>
    <w:p>
      <w:pPr>
        <w:spacing w:after="0"/>
        <w:rPr>
          <w:sz w:val="8"/>
        </w:rPr>
        <w:sectPr>
          <w:pgSz w:w="11910" w:h="16840"/>
          <w:pgMar w:header="0" w:footer="881" w:top="1220" w:bottom="1160" w:left="1480" w:right="1020"/>
        </w:sectPr>
      </w:pPr>
    </w:p>
    <w:p>
      <w:pPr>
        <w:pStyle w:val="BodyText"/>
        <w:spacing w:before="3"/>
        <w:rPr>
          <w:sz w:val="41"/>
        </w:rPr>
      </w:pPr>
    </w:p>
    <w:p>
      <w:pPr>
        <w:pStyle w:val="ListParagraph"/>
        <w:numPr>
          <w:ilvl w:val="0"/>
          <w:numId w:val="12"/>
        </w:numPr>
        <w:tabs>
          <w:tab w:pos="1296" w:val="left" w:leader="none"/>
        </w:tabs>
        <w:spacing w:line="240" w:lineRule="auto" w:before="0" w:after="0"/>
        <w:ind w:left="1295" w:right="0" w:hanging="601"/>
        <w:jc w:val="left"/>
        <w:rPr>
          <w:sz w:val="24"/>
        </w:rPr>
      </w:pPr>
      <w:r>
        <w:rPr>
          <w:rFonts w:ascii="Times New Roman" w:eastAsia="Times New Roman"/>
          <w:sz w:val="24"/>
        </w:rPr>
        <w:t>DSA</w:t>
      </w:r>
      <w:r>
        <w:rPr>
          <w:rFonts w:ascii="Times New Roman" w:eastAsia="Times New Roman"/>
          <w:spacing w:val="-1"/>
          <w:sz w:val="24"/>
        </w:rPr>
        <w:t> </w:t>
      </w:r>
      <w:r>
        <w:rPr>
          <w:spacing w:val="-10"/>
          <w:sz w:val="24"/>
        </w:rPr>
        <w:t>检查</w:t>
      </w:r>
    </w:p>
    <w:p>
      <w:pPr>
        <w:tabs>
          <w:tab w:pos="911" w:val="left" w:leader="none"/>
        </w:tabs>
        <w:spacing w:before="78"/>
        <w:ind w:left="156" w:right="0" w:firstLine="0"/>
        <w:jc w:val="left"/>
        <w:rPr>
          <w:sz w:val="21"/>
        </w:rPr>
      </w:pPr>
      <w:r>
        <w:rPr/>
        <w:br w:type="column"/>
      </w:r>
      <w:r>
        <w:rPr>
          <w:sz w:val="21"/>
        </w:rPr>
        <w:t>图</w:t>
      </w:r>
      <w:r>
        <w:rPr>
          <w:spacing w:val="-53"/>
          <w:sz w:val="21"/>
        </w:rPr>
        <w:t> </w:t>
      </w:r>
      <w:r>
        <w:rPr>
          <w:rFonts w:ascii="Times New Roman" w:eastAsia="Times New Roman"/>
          <w:sz w:val="21"/>
        </w:rPr>
        <w:t>9-2</w:t>
        <w:tab/>
        <w:t>DSA</w:t>
      </w:r>
      <w:r>
        <w:rPr>
          <w:rFonts w:ascii="Times New Roman" w:eastAsia="Times New Roman"/>
          <w:spacing w:val="1"/>
          <w:sz w:val="21"/>
        </w:rPr>
        <w:t> </w:t>
      </w:r>
      <w:r>
        <w:rPr>
          <w:spacing w:val="-3"/>
          <w:sz w:val="21"/>
        </w:rPr>
        <w:t>检</w:t>
      </w:r>
      <w:r>
        <w:rPr>
          <w:sz w:val="21"/>
        </w:rPr>
        <w:t>查</w:t>
      </w:r>
      <w:r>
        <w:rPr>
          <w:spacing w:val="-3"/>
          <w:sz w:val="21"/>
        </w:rPr>
        <w:t>与</w:t>
      </w:r>
      <w:r>
        <w:rPr>
          <w:sz w:val="21"/>
        </w:rPr>
        <w:t>治</w:t>
      </w:r>
      <w:r>
        <w:rPr>
          <w:spacing w:val="-3"/>
          <w:sz w:val="21"/>
        </w:rPr>
        <w:t>疗</w:t>
      </w:r>
      <w:r>
        <w:rPr>
          <w:sz w:val="21"/>
        </w:rPr>
        <w:t>流程</w:t>
      </w:r>
      <w:r>
        <w:rPr>
          <w:spacing w:val="-5"/>
          <w:sz w:val="21"/>
        </w:rPr>
        <w:t>及</w:t>
      </w:r>
      <w:r>
        <w:rPr>
          <w:sz w:val="21"/>
        </w:rPr>
        <w:t>产</w:t>
      </w:r>
      <w:r>
        <w:rPr>
          <w:spacing w:val="-3"/>
          <w:sz w:val="21"/>
        </w:rPr>
        <w:t>污</w:t>
      </w:r>
      <w:r>
        <w:rPr>
          <w:sz w:val="21"/>
        </w:rPr>
        <w:t>环</w:t>
      </w:r>
      <w:r>
        <w:rPr>
          <w:spacing w:val="-3"/>
          <w:sz w:val="21"/>
        </w:rPr>
        <w:t>节</w:t>
      </w:r>
      <w:r>
        <w:rPr>
          <w:sz w:val="21"/>
        </w:rPr>
        <w:t>示</w:t>
      </w:r>
      <w:r>
        <w:rPr>
          <w:spacing w:val="-3"/>
          <w:sz w:val="21"/>
        </w:rPr>
        <w:t>意</w:t>
      </w:r>
      <w:r>
        <w:rPr>
          <w:sz w:val="21"/>
        </w:rPr>
        <w:t>图</w:t>
      </w:r>
    </w:p>
    <w:p>
      <w:pPr>
        <w:spacing w:after="0"/>
        <w:jc w:val="left"/>
        <w:rPr>
          <w:sz w:val="21"/>
        </w:rPr>
        <w:sectPr>
          <w:type w:val="continuous"/>
          <w:pgSz w:w="11910" w:h="16840"/>
          <w:pgMar w:top="1580" w:bottom="280" w:left="1480" w:right="1020"/>
          <w:cols w:num="2" w:equalWidth="0">
            <w:col w:w="2315" w:space="40"/>
            <w:col w:w="7055"/>
          </w:cols>
        </w:sectPr>
      </w:pPr>
    </w:p>
    <w:p>
      <w:pPr>
        <w:pStyle w:val="BodyText"/>
        <w:spacing w:line="364" w:lineRule="auto" w:before="161"/>
        <w:ind w:left="214" w:right="218" w:firstLine="480"/>
        <w:jc w:val="both"/>
      </w:pPr>
      <w:r>
        <w:rPr/>
        <w:pict>
          <v:group style="position:absolute;margin-left:211.439987pt;margin-top:240.479935pt;width:63.5pt;height:18.4pt;mso-position-horizontal-relative:page;mso-position-vertical-relative:page;z-index:-211888" coordorigin="4229,4810" coordsize="1270,368">
            <v:rect style="position:absolute;left:4233;top:4814;width:1260;height:358" filled="false" stroked="true" strokeweight=".48pt" strokecolor="#000000">
              <v:stroke dashstyle="solid"/>
            </v:rect>
            <v:shape style="position:absolute;left:4490;top:4922;width:370;height:137" type="#_x0000_t75" stroked="false">
              <v:imagedata r:id="rId44" o:title=""/>
            </v:shape>
            <v:shape style="position:absolute;left:4872;top:4893;width:360;height:183" type="#_x0000_t75" stroked="false">
              <v:imagedata r:id="rId45" o:title=""/>
            </v:shape>
            <w10:wrap type="none"/>
          </v:group>
        </w:pict>
      </w:r>
      <w:r>
        <w:rPr/>
        <w:pict>
          <v:group style="position:absolute;margin-left:331.799988pt;margin-top:240.479935pt;width:63.5pt;height:18.4pt;mso-position-horizontal-relative:page;mso-position-vertical-relative:page;z-index:-211864" coordorigin="6636,4810" coordsize="1270,368">
            <v:rect style="position:absolute;left:6640;top:4814;width:1260;height:358" filled="false" stroked="true" strokeweight=".48pt" strokecolor="#000000">
              <v:stroke dashstyle="solid"/>
            </v:rect>
            <v:shape style="position:absolute;left:6895;top:4922;width:370;height:137" type="#_x0000_t75" stroked="false">
              <v:imagedata r:id="rId44" o:title=""/>
            </v:shape>
            <v:shape style="position:absolute;left:7281;top:4896;width:356;height:180" type="#_x0000_t75" stroked="false">
              <v:imagedata r:id="rId46" o:title=""/>
            </v:shape>
            <w10:wrap type="none"/>
          </v:group>
        </w:pict>
      </w:r>
      <w:r>
        <w:rPr/>
        <w:pict>
          <v:group style="position:absolute;margin-left:79.080002pt;margin-top:62.399937pt;width:459.85pt;height:710.8pt;mso-position-horizontal-relative:page;mso-position-vertical-relative:page;z-index:-211840" coordorigin="1582,1248" coordsize="9197,14216">
            <v:line style="position:absolute" from="1582,1253" to="10769,1253" stroked="true" strokeweight=".479999pt" strokecolor="#000000">
              <v:stroke dashstyle="solid"/>
            </v:line>
            <v:line style="position:absolute" from="1586,1258" to="1586,15463" stroked="true" strokeweight=".48pt" strokecolor="#000000">
              <v:stroke dashstyle="solid"/>
            </v:line>
            <v:line style="position:absolute" from="1582,15458" to="10769,15458" stroked="true" strokeweight=".480011pt" strokecolor="#000000">
              <v:stroke dashstyle="solid"/>
            </v:line>
            <v:line style="position:absolute" from="10774,1248" to="10774,15463" stroked="true" strokeweight=".480011pt" strokecolor="#000000">
              <v:stroke dashstyle="solid"/>
            </v:line>
            <w10:wrap type="none"/>
          </v:group>
        </w:pict>
      </w:r>
      <w:r>
        <w:rPr>
          <w:rFonts w:ascii="Times New Roman" w:eastAsia="Times New Roman"/>
        </w:rPr>
        <w:t>DSA </w:t>
      </w:r>
      <w:r>
        <w:rPr>
          <w:spacing w:val="-3"/>
        </w:rPr>
        <w:t>检查采用隔室操作方式，通过控制 </w:t>
      </w:r>
      <w:r>
        <w:rPr>
          <w:rFonts w:ascii="Times New Roman" w:eastAsia="Times New Roman"/>
        </w:rPr>
        <w:t>DSA </w:t>
      </w:r>
      <w:r>
        <w:rPr>
          <w:spacing w:val="-21"/>
        </w:rPr>
        <w:t>的 </w:t>
      </w:r>
      <w:r>
        <w:rPr>
          <w:rFonts w:ascii="Times New Roman" w:eastAsia="Times New Roman"/>
        </w:rPr>
        <w:t>X </w:t>
      </w:r>
      <w:r>
        <w:rPr>
          <w:spacing w:val="-2"/>
        </w:rPr>
        <w:t>射线系统曝光，采集造影部位图像。具体方式是受检者位于检查床上，医护人员调整 </w:t>
      </w:r>
      <w:r>
        <w:rPr>
          <w:rFonts w:ascii="Times New Roman" w:eastAsia="Times New Roman"/>
        </w:rPr>
        <w:t>X </w:t>
      </w:r>
      <w:r>
        <w:rPr>
          <w:spacing w:val="-2"/>
        </w:rPr>
        <w:t>射线球管、人体、影像增强</w:t>
      </w:r>
      <w:r>
        <w:rPr>
          <w:spacing w:val="-12"/>
        </w:rPr>
        <w:t>器三者之间的距离，然后进入控制室，关好防护门。医师、操作人员通过控制室的电子</w:t>
      </w:r>
      <w:r>
        <w:rPr>
          <w:spacing w:val="-8"/>
        </w:rPr>
        <w:t>计算机系统控制 </w:t>
      </w:r>
      <w:r>
        <w:rPr>
          <w:rFonts w:ascii="Times New Roman" w:eastAsia="Times New Roman"/>
        </w:rPr>
        <w:t>DSA </w:t>
      </w:r>
      <w:r>
        <w:rPr>
          <w:spacing w:val="-30"/>
        </w:rPr>
        <w:t>的 </w:t>
      </w:r>
      <w:r>
        <w:rPr>
          <w:rFonts w:ascii="Times New Roman" w:eastAsia="Times New Roman"/>
        </w:rPr>
        <w:t>X </w:t>
      </w:r>
      <w:r>
        <w:rPr>
          <w:spacing w:val="-10"/>
        </w:rPr>
        <w:t>射线系统曝光，采集造影部位图像。医师根据该图像确诊患</w:t>
      </w:r>
      <w:r>
        <w:rPr/>
        <w:t>者病变的范围、程度，选择治疗方案。</w:t>
      </w:r>
    </w:p>
    <w:p>
      <w:pPr>
        <w:pStyle w:val="ListParagraph"/>
        <w:numPr>
          <w:ilvl w:val="0"/>
          <w:numId w:val="12"/>
        </w:numPr>
        <w:tabs>
          <w:tab w:pos="1296" w:val="left" w:leader="none"/>
        </w:tabs>
        <w:spacing w:line="240" w:lineRule="auto" w:before="3" w:after="0"/>
        <w:ind w:left="1295" w:right="0" w:hanging="601"/>
        <w:jc w:val="left"/>
        <w:rPr>
          <w:sz w:val="24"/>
        </w:rPr>
      </w:pPr>
      <w:r>
        <w:rPr>
          <w:rFonts w:ascii="Times New Roman" w:eastAsia="Times New Roman"/>
          <w:sz w:val="24"/>
        </w:rPr>
        <w:t>DSA</w:t>
      </w:r>
      <w:r>
        <w:rPr>
          <w:rFonts w:ascii="Times New Roman" w:eastAsia="Times New Roman"/>
          <w:spacing w:val="-1"/>
          <w:sz w:val="24"/>
        </w:rPr>
        <w:t> </w:t>
      </w:r>
      <w:r>
        <w:rPr>
          <w:sz w:val="24"/>
        </w:rPr>
        <w:t>治疗</w:t>
      </w:r>
    </w:p>
    <w:p>
      <w:pPr>
        <w:pStyle w:val="BodyText"/>
        <w:spacing w:line="364" w:lineRule="auto" w:before="160"/>
        <w:ind w:left="214" w:right="218" w:firstLine="480"/>
        <w:jc w:val="both"/>
      </w:pPr>
      <w:r>
        <w:rPr>
          <w:spacing w:val="-8"/>
        </w:rPr>
        <w:t>医师采取近台同室操作方式，通过控制 </w:t>
      </w:r>
      <w:r>
        <w:rPr>
          <w:rFonts w:ascii="Times New Roman" w:eastAsia="Times New Roman"/>
        </w:rPr>
        <w:t>DSA </w:t>
      </w:r>
      <w:r>
        <w:rPr>
          <w:spacing w:val="-30"/>
        </w:rPr>
        <w:t>的 </w:t>
      </w:r>
      <w:r>
        <w:rPr>
          <w:rFonts w:ascii="Times New Roman" w:eastAsia="Times New Roman"/>
        </w:rPr>
        <w:t>X </w:t>
      </w:r>
      <w:r>
        <w:rPr>
          <w:spacing w:val="-7"/>
        </w:rPr>
        <w:t>射线系统曝光，对患者的部位进</w:t>
      </w:r>
      <w:r>
        <w:rPr/>
        <w:t>行间歇式透视。具体方式是受检者位于手术床上，介入手术医师位于手术床一旁，距</w:t>
      </w:r>
    </w:p>
    <w:p>
      <w:pPr>
        <w:pStyle w:val="BodyText"/>
        <w:spacing w:line="364" w:lineRule="auto" w:before="1"/>
        <w:ind w:left="214" w:right="136"/>
      </w:pPr>
      <w:r>
        <w:rPr>
          <w:rFonts w:ascii="Times New Roman" w:eastAsia="Times New Roman"/>
        </w:rPr>
        <w:t>DSA </w:t>
      </w:r>
      <w:r>
        <w:rPr>
          <w:spacing w:val="-30"/>
        </w:rPr>
        <w:t>的 </w:t>
      </w:r>
      <w:r>
        <w:rPr>
          <w:rFonts w:ascii="Times New Roman" w:eastAsia="Times New Roman"/>
        </w:rPr>
        <w:t>X </w:t>
      </w:r>
      <w:r>
        <w:rPr>
          <w:spacing w:val="-21"/>
        </w:rPr>
        <w:t>线管 </w:t>
      </w:r>
      <w:r>
        <w:rPr>
          <w:rFonts w:ascii="Times New Roman" w:eastAsia="Times New Roman"/>
        </w:rPr>
        <w:t>0.3~1.2m </w:t>
      </w:r>
      <w:r>
        <w:rPr>
          <w:spacing w:val="-11"/>
        </w:rPr>
        <w:t>处。介入治疗中，医师根据操作需求，踩动手术床下的脚踏开</w:t>
      </w:r>
      <w:r>
        <w:rPr>
          <w:spacing w:val="-24"/>
        </w:rPr>
        <w:t>关启动 </w:t>
      </w:r>
      <w:r>
        <w:rPr>
          <w:rFonts w:ascii="Times New Roman" w:eastAsia="Times New Roman"/>
        </w:rPr>
        <w:t>DSA </w:t>
      </w:r>
      <w:r>
        <w:rPr>
          <w:spacing w:val="-30"/>
        </w:rPr>
        <w:t>的 </w:t>
      </w:r>
      <w:r>
        <w:rPr>
          <w:rFonts w:ascii="Times New Roman" w:eastAsia="Times New Roman"/>
        </w:rPr>
        <w:t>X </w:t>
      </w:r>
      <w:r>
        <w:rPr>
          <w:spacing w:val="-1"/>
        </w:rPr>
        <w:t>射线系统进行透视，通过显示屏上显示的连续画面，完成介入操作。介入治疗室内配备个人防护用品</w:t>
      </w:r>
      <w:r>
        <w:rPr/>
        <w:t>（</w:t>
      </w:r>
      <w:r>
        <w:rPr>
          <w:spacing w:val="-4"/>
        </w:rPr>
        <w:t>如铅衣、铅围裙、铅围脖、铅眼镜等</w:t>
      </w:r>
      <w:r>
        <w:rPr>
          <w:spacing w:val="-120"/>
        </w:rPr>
        <w:t>）</w:t>
      </w:r>
      <w:r>
        <w:rPr>
          <w:spacing w:val="-3"/>
        </w:rPr>
        <w:t>，同时手术床旁设有床下铅帘和悬吊铅屏风。</w:t>
      </w:r>
    </w:p>
    <w:p>
      <w:pPr>
        <w:spacing w:after="0" w:line="364" w:lineRule="auto"/>
        <w:sectPr>
          <w:type w:val="continuous"/>
          <w:pgSz w:w="11910" w:h="16840"/>
          <w:pgMar w:top="1580" w:bottom="280" w:left="1480" w:right="1020"/>
        </w:sectPr>
      </w:pPr>
    </w:p>
    <w:p>
      <w:pPr>
        <w:pStyle w:val="BodyText"/>
        <w:spacing w:before="100"/>
        <w:ind w:left="696"/>
      </w:pPr>
      <w:r>
        <w:rPr/>
        <w:t>4、人流、物流路径规划</w:t>
      </w:r>
    </w:p>
    <w:p>
      <w:pPr>
        <w:pStyle w:val="ListParagraph"/>
        <w:numPr>
          <w:ilvl w:val="0"/>
          <w:numId w:val="13"/>
        </w:numPr>
        <w:tabs>
          <w:tab w:pos="1296" w:val="left" w:leader="none"/>
        </w:tabs>
        <w:spacing w:line="364" w:lineRule="auto" w:before="161" w:after="0"/>
        <w:ind w:left="214" w:right="221" w:firstLine="480"/>
        <w:jc w:val="both"/>
        <w:rPr>
          <w:sz w:val="24"/>
        </w:rPr>
      </w:pPr>
      <w:r>
        <w:rPr>
          <w:spacing w:val="-7"/>
          <w:sz w:val="24"/>
        </w:rPr>
        <w:t>患者路径：本项目患者由病人通道通过介入治疗室铅防护门</w:t>
      </w:r>
      <w:r>
        <w:rPr>
          <w:spacing w:val="-9"/>
          <w:sz w:val="24"/>
        </w:rPr>
        <w:t>（</w:t>
      </w:r>
      <w:r>
        <w:rPr>
          <w:rFonts w:ascii="Times New Roman" w:eastAsia="Times New Roman"/>
          <w:spacing w:val="-9"/>
          <w:sz w:val="24"/>
        </w:rPr>
        <w:t>M1</w:t>
      </w:r>
      <w:r>
        <w:rPr>
          <w:spacing w:val="-9"/>
          <w:sz w:val="24"/>
        </w:rPr>
        <w:t>）</w:t>
      </w:r>
      <w:r>
        <w:rPr>
          <w:sz w:val="24"/>
        </w:rPr>
        <w:t>进入介</w:t>
      </w:r>
      <w:r>
        <w:rPr>
          <w:spacing w:val="-4"/>
          <w:sz w:val="24"/>
        </w:rPr>
        <w:t>入治疗室内接受治疗。</w:t>
      </w:r>
    </w:p>
    <w:p>
      <w:pPr>
        <w:pStyle w:val="ListParagraph"/>
        <w:numPr>
          <w:ilvl w:val="0"/>
          <w:numId w:val="13"/>
        </w:numPr>
        <w:tabs>
          <w:tab w:pos="1296" w:val="left" w:leader="none"/>
        </w:tabs>
        <w:spacing w:line="364" w:lineRule="auto" w:before="1" w:after="0"/>
        <w:ind w:left="214" w:right="218" w:firstLine="480"/>
        <w:jc w:val="both"/>
        <w:rPr>
          <w:sz w:val="24"/>
        </w:rPr>
      </w:pPr>
      <w:r>
        <w:rPr>
          <w:spacing w:val="-6"/>
          <w:sz w:val="24"/>
        </w:rPr>
        <w:t>医生路径：本项目辐射工作人员通过缓冲间门</w:t>
      </w:r>
      <w:r>
        <w:rPr>
          <w:spacing w:val="-7"/>
          <w:sz w:val="24"/>
        </w:rPr>
        <w:t>（</w:t>
      </w:r>
      <w:r>
        <w:rPr>
          <w:rFonts w:ascii="Times New Roman" w:eastAsia="Times New Roman"/>
          <w:spacing w:val="-7"/>
          <w:sz w:val="24"/>
        </w:rPr>
        <w:t>M2</w:t>
      </w:r>
      <w:r>
        <w:rPr>
          <w:spacing w:val="-7"/>
          <w:sz w:val="24"/>
        </w:rPr>
        <w:t>）</w:t>
      </w:r>
      <w:r>
        <w:rPr>
          <w:spacing w:val="-4"/>
          <w:sz w:val="24"/>
        </w:rPr>
        <w:t>进入缓冲间更衣室， </w:t>
      </w:r>
      <w:r>
        <w:rPr>
          <w:spacing w:val="-15"/>
          <w:sz w:val="24"/>
        </w:rPr>
        <w:t>通过门</w:t>
      </w:r>
      <w:r>
        <w:rPr>
          <w:spacing w:val="-7"/>
          <w:sz w:val="24"/>
        </w:rPr>
        <w:t>（</w:t>
      </w:r>
      <w:r>
        <w:rPr>
          <w:rFonts w:ascii="Times New Roman" w:eastAsia="Times New Roman"/>
          <w:spacing w:val="-7"/>
          <w:sz w:val="24"/>
        </w:rPr>
        <w:t>M3</w:t>
      </w:r>
      <w:r>
        <w:rPr>
          <w:spacing w:val="-7"/>
          <w:sz w:val="24"/>
        </w:rPr>
        <w:t>）</w:t>
      </w:r>
      <w:r>
        <w:rPr>
          <w:spacing w:val="-8"/>
          <w:sz w:val="24"/>
        </w:rPr>
        <w:t>进入医生通道，通过门</w:t>
      </w:r>
      <w:r>
        <w:rPr>
          <w:spacing w:val="-7"/>
          <w:sz w:val="24"/>
        </w:rPr>
        <w:t>（</w:t>
      </w:r>
      <w:r>
        <w:rPr>
          <w:rFonts w:ascii="Times New Roman" w:eastAsia="Times New Roman"/>
          <w:spacing w:val="-7"/>
          <w:sz w:val="24"/>
        </w:rPr>
        <w:t>M4</w:t>
      </w:r>
      <w:r>
        <w:rPr>
          <w:spacing w:val="-7"/>
          <w:sz w:val="24"/>
        </w:rPr>
        <w:t>）</w:t>
      </w:r>
      <w:r>
        <w:rPr>
          <w:spacing w:val="-5"/>
          <w:sz w:val="24"/>
        </w:rPr>
        <w:t>进入卫生通过间再经门</w:t>
      </w:r>
      <w:r>
        <w:rPr>
          <w:spacing w:val="-7"/>
          <w:sz w:val="24"/>
        </w:rPr>
        <w:t>（</w:t>
      </w:r>
      <w:r>
        <w:rPr>
          <w:rFonts w:ascii="Times New Roman" w:eastAsia="Times New Roman"/>
          <w:spacing w:val="-7"/>
          <w:sz w:val="24"/>
        </w:rPr>
        <w:t>M5</w:t>
      </w:r>
      <w:r>
        <w:rPr>
          <w:spacing w:val="-7"/>
          <w:sz w:val="24"/>
        </w:rPr>
        <w:t>）</w:t>
      </w:r>
      <w:r>
        <w:rPr>
          <w:sz w:val="24"/>
        </w:rPr>
        <w:t>进入控制室操作，介入手术医生经控制室内门（</w:t>
      </w:r>
      <w:r>
        <w:rPr>
          <w:rFonts w:ascii="Times New Roman" w:eastAsia="Times New Roman"/>
          <w:sz w:val="24"/>
        </w:rPr>
        <w:t>M6</w:t>
      </w:r>
      <w:r>
        <w:rPr>
          <w:sz w:val="24"/>
        </w:rPr>
        <w:t>）</w:t>
      </w:r>
      <w:r>
        <w:rPr>
          <w:spacing w:val="-2"/>
          <w:sz w:val="24"/>
        </w:rPr>
        <w:t>进入到介入治疗室进行床旁手术操作，由铅</w:t>
      </w:r>
      <w:r>
        <w:rPr>
          <w:spacing w:val="-6"/>
          <w:sz w:val="24"/>
        </w:rPr>
        <w:t>防护门</w:t>
      </w:r>
      <w:r>
        <w:rPr>
          <w:sz w:val="24"/>
        </w:rPr>
        <w:t>（</w:t>
      </w:r>
      <w:r>
        <w:rPr>
          <w:rFonts w:ascii="Times New Roman" w:eastAsia="Times New Roman"/>
          <w:sz w:val="24"/>
        </w:rPr>
        <w:t>M6</w:t>
      </w:r>
      <w:r>
        <w:rPr>
          <w:sz w:val="24"/>
        </w:rPr>
        <w:t>）</w:t>
      </w:r>
      <w:r>
        <w:rPr>
          <w:spacing w:val="-4"/>
          <w:sz w:val="24"/>
        </w:rPr>
        <w:t>离开介入治疗室，放射技师在控制室内对 </w:t>
      </w:r>
      <w:r>
        <w:rPr>
          <w:rFonts w:ascii="Times New Roman" w:eastAsia="Times New Roman"/>
          <w:sz w:val="24"/>
        </w:rPr>
        <w:t>DSA</w:t>
      </w:r>
      <w:r>
        <w:rPr>
          <w:rFonts w:ascii="Times New Roman" w:eastAsia="Times New Roman"/>
          <w:spacing w:val="-1"/>
          <w:sz w:val="24"/>
        </w:rPr>
        <w:t> </w:t>
      </w:r>
      <w:r>
        <w:rPr>
          <w:sz w:val="24"/>
        </w:rPr>
        <w:t>设备进行隔室操作。</w:t>
      </w:r>
    </w:p>
    <w:p>
      <w:pPr>
        <w:pStyle w:val="ListParagraph"/>
        <w:numPr>
          <w:ilvl w:val="0"/>
          <w:numId w:val="13"/>
        </w:numPr>
        <w:tabs>
          <w:tab w:pos="1296" w:val="left" w:leader="none"/>
        </w:tabs>
        <w:spacing w:line="364" w:lineRule="auto" w:before="3" w:after="0"/>
        <w:ind w:left="214" w:right="216" w:firstLine="480"/>
        <w:jc w:val="both"/>
        <w:rPr>
          <w:sz w:val="24"/>
        </w:rPr>
      </w:pPr>
      <w:r>
        <w:rPr>
          <w:spacing w:val="-8"/>
          <w:sz w:val="24"/>
        </w:rPr>
        <w:t>污物路径：本项目产生的医疗废物，经介入治疗室铅污物传递窗</w:t>
      </w:r>
      <w:r>
        <w:rPr>
          <w:spacing w:val="-7"/>
          <w:sz w:val="24"/>
        </w:rPr>
        <w:t>（</w:t>
      </w:r>
      <w:r>
        <w:rPr>
          <w:rFonts w:ascii="Times New Roman" w:eastAsia="Times New Roman"/>
          <w:spacing w:val="-7"/>
          <w:sz w:val="24"/>
        </w:rPr>
        <w:t>M7</w:t>
      </w:r>
      <w:r>
        <w:rPr>
          <w:spacing w:val="-7"/>
          <w:sz w:val="24"/>
        </w:rPr>
        <w:t>）</w:t>
      </w:r>
      <w:r>
        <w:rPr>
          <w:sz w:val="24"/>
        </w:rPr>
        <w:t>将 </w:t>
      </w:r>
      <w:r>
        <w:rPr>
          <w:spacing w:val="-4"/>
          <w:sz w:val="24"/>
        </w:rPr>
        <w:t>医疗废物运出介入治疗室，采用专门的收集容器统一收集在医院现有的危险废物暂存</w:t>
      </w:r>
      <w:r>
        <w:rPr>
          <w:sz w:val="24"/>
        </w:rPr>
        <w:t>间并定期交由有资质的医疗废物处置单位统一收集处置。</w:t>
      </w:r>
    </w:p>
    <w:p>
      <w:pPr>
        <w:pStyle w:val="BodyText"/>
        <w:spacing w:before="1"/>
        <w:ind w:left="677"/>
      </w:pPr>
      <w:r>
        <w:rPr/>
        <w:t>上述人流及物流路径详见图 </w:t>
      </w:r>
      <w:r>
        <w:rPr>
          <w:rFonts w:ascii="Times New Roman" w:eastAsia="Times New Roman"/>
        </w:rPr>
        <w:t>9-3</w:t>
      </w:r>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5"/>
        </w:rPr>
      </w:pPr>
    </w:p>
    <w:p>
      <w:pPr>
        <w:spacing w:after="0"/>
        <w:rPr>
          <w:sz w:val="15"/>
        </w:rPr>
        <w:sectPr>
          <w:pgSz w:w="11910" w:h="16840"/>
          <w:pgMar w:header="0" w:footer="881" w:top="1220" w:bottom="1160" w:left="1480" w:right="1020"/>
        </w:sectPr>
      </w:pPr>
    </w:p>
    <w:p>
      <w:pPr>
        <w:pStyle w:val="BodyText"/>
        <w:rPr>
          <w:sz w:val="35"/>
        </w:rPr>
      </w:pPr>
    </w:p>
    <w:p>
      <w:pPr>
        <w:pStyle w:val="BodyText"/>
        <w:ind w:left="696"/>
      </w:pPr>
      <w:r>
        <w:rPr/>
        <w:t>5、产污环节</w:t>
      </w:r>
    </w:p>
    <w:p>
      <w:pPr>
        <w:spacing w:before="78"/>
        <w:ind w:left="696" w:right="0" w:firstLine="0"/>
        <w:jc w:val="left"/>
        <w:rPr>
          <w:sz w:val="21"/>
        </w:rPr>
      </w:pPr>
      <w:r>
        <w:rPr/>
        <w:br w:type="column"/>
      </w:r>
      <w:r>
        <w:rPr>
          <w:sz w:val="21"/>
        </w:rPr>
        <w:t>图</w:t>
      </w:r>
      <w:r>
        <w:rPr>
          <w:rFonts w:ascii="Times New Roman" w:eastAsia="Times New Roman"/>
          <w:sz w:val="21"/>
        </w:rPr>
        <w:t>9-3 </w:t>
      </w:r>
      <w:r>
        <w:rPr>
          <w:spacing w:val="-4"/>
          <w:sz w:val="21"/>
        </w:rPr>
        <w:t>本项目人流、物流路径规划示意图</w:t>
      </w:r>
    </w:p>
    <w:p>
      <w:pPr>
        <w:spacing w:after="0"/>
        <w:jc w:val="left"/>
        <w:rPr>
          <w:sz w:val="21"/>
        </w:rPr>
        <w:sectPr>
          <w:type w:val="continuous"/>
          <w:pgSz w:w="11910" w:h="16840"/>
          <w:pgMar w:top="1580" w:bottom="280" w:left="1480" w:right="1020"/>
          <w:cols w:num="2" w:equalWidth="0">
            <w:col w:w="2062" w:space="67"/>
            <w:col w:w="7281"/>
          </w:cols>
        </w:sectPr>
      </w:pPr>
    </w:p>
    <w:p>
      <w:pPr>
        <w:pStyle w:val="BodyText"/>
        <w:spacing w:line="364" w:lineRule="auto" w:before="161"/>
        <w:ind w:left="214" w:right="218" w:firstLine="480"/>
        <w:jc w:val="both"/>
      </w:pPr>
      <w:r>
        <w:rPr/>
        <w:pict>
          <v:group style="position:absolute;margin-left:79.080002pt;margin-top:62.399937pt;width:459.85pt;height:703pt;mso-position-horizontal-relative:page;mso-position-vertical-relative:page;z-index:-211816" coordorigin="1582,1248" coordsize="9197,14060">
            <v:line style="position:absolute" from="1582,1253" to="10769,1253" stroked="true" strokeweight=".479999pt" strokecolor="#000000">
              <v:stroke dashstyle="solid"/>
            </v:line>
            <v:line style="position:absolute" from="1586,1258" to="1586,15307" stroked="true" strokeweight=".48pt" strokecolor="#000000">
              <v:stroke dashstyle="solid"/>
            </v:line>
            <v:line style="position:absolute" from="1582,15302" to="10769,15302" stroked="true" strokeweight=".479965pt" strokecolor="#000000">
              <v:stroke dashstyle="solid"/>
            </v:line>
            <v:line style="position:absolute" from="10774,1248" to="10774,15307" stroked="true" strokeweight=".480011pt" strokecolor="#000000">
              <v:stroke dashstyle="solid"/>
            </v:line>
            <v:shape style="position:absolute;left:1689;top:6532;width:8948;height:5031" type="#_x0000_t75" stroked="false">
              <v:imagedata r:id="rId47" o:title=""/>
            </v:shape>
            <w10:wrap type="none"/>
          </v:group>
        </w:pict>
      </w:r>
      <w:r>
        <w:rPr>
          <w:spacing w:val="-3"/>
        </w:rPr>
        <w:t>本项目设备运行过程中产生的污染物主要为 </w:t>
      </w:r>
      <w:r>
        <w:rPr>
          <w:rFonts w:ascii="Times New Roman" w:eastAsia="Times New Roman"/>
        </w:rPr>
        <w:t>X </w:t>
      </w:r>
      <w:r>
        <w:rPr>
          <w:spacing w:val="-2"/>
        </w:rPr>
        <w:t>射线、臭氧、介入治疗室通排风系</w:t>
      </w:r>
      <w:r>
        <w:rPr>
          <w:spacing w:val="-11"/>
        </w:rPr>
        <w:t>统运行所产生的噪声、医用器具和药棉、纱布、手套、废造影剂及废造影剂瓶等医疗废</w:t>
      </w:r>
      <w:r>
        <w:rPr/>
        <w:t>物。</w:t>
      </w:r>
    </w:p>
    <w:p>
      <w:pPr>
        <w:spacing w:after="0" w:line="364" w:lineRule="auto"/>
        <w:jc w:val="both"/>
        <w:sectPr>
          <w:type w:val="continuous"/>
          <w:pgSz w:w="11910" w:h="16840"/>
          <w:pgMar w:top="1580" w:bottom="280" w:left="1480" w:right="1020"/>
        </w:sectPr>
      </w:pPr>
    </w:p>
    <w:p>
      <w:pPr>
        <w:pStyle w:val="Heading1"/>
        <w:spacing w:before="152"/>
        <w:ind w:left="204"/>
      </w:pPr>
      <w:r>
        <w:rPr/>
        <w:pict>
          <v:group style="position:absolute;margin-left:79.080002pt;margin-top:62.399937pt;width:459.85pt;height:710.8pt;mso-position-horizontal-relative:page;mso-position-vertical-relative:page;z-index:-211792" coordorigin="1582,1248" coordsize="9197,14216">
            <v:line style="position:absolute" from="1582,1253" to="10769,1253" stroked="true" strokeweight=".479999pt" strokecolor="#000000">
              <v:stroke dashstyle="solid"/>
            </v:line>
            <v:line style="position:absolute" from="1586,1258" to="1586,15463" stroked="true" strokeweight=".48pt" strokecolor="#000000">
              <v:stroke dashstyle="solid"/>
            </v:line>
            <v:line style="position:absolute" from="1582,15458" to="10769,15458" stroked="true" strokeweight=".480011pt" strokecolor="#000000">
              <v:stroke dashstyle="solid"/>
            </v:line>
            <v:line style="position:absolute" from="10774,1248" to="10774,15463" stroked="true" strokeweight=".480011pt" strokecolor="#000000">
              <v:stroke dashstyle="solid"/>
            </v:line>
            <w10:wrap type="none"/>
          </v:group>
        </w:pict>
      </w:r>
      <w:r>
        <w:rPr/>
        <w:t>污染源项描述</w:t>
      </w:r>
      <w:r>
        <w:rPr>
          <w:w w:val="50"/>
        </w:rPr>
        <w:t> </w:t>
      </w:r>
    </w:p>
    <w:p>
      <w:pPr>
        <w:pStyle w:val="BodyText"/>
        <w:spacing w:before="214"/>
        <w:ind w:left="696"/>
      </w:pPr>
      <w:r>
        <w:rPr/>
        <w:t>一、施工期污染源</w:t>
      </w:r>
      <w:r>
        <w:rPr>
          <w:w w:val="50"/>
        </w:rPr>
        <w:t> </w:t>
      </w:r>
    </w:p>
    <w:p>
      <w:pPr>
        <w:pStyle w:val="BodyText"/>
        <w:spacing w:before="160"/>
        <w:ind w:left="694"/>
      </w:pPr>
      <w:r>
        <w:rPr/>
        <w:t>施工期主要污染源项：噪声、扬尘、废水及固体废物。</w:t>
      </w:r>
    </w:p>
    <w:p>
      <w:pPr>
        <w:pStyle w:val="BodyText"/>
        <w:spacing w:line="364" w:lineRule="auto" w:before="161"/>
        <w:ind w:left="214" w:right="218" w:firstLine="480"/>
        <w:jc w:val="both"/>
      </w:pPr>
      <w:r>
        <w:rPr/>
        <w:t>医院在非放环评时，已经考虑医院各科室和医院大楼整体装修和设备安装可能产</w:t>
      </w:r>
      <w:r>
        <w:rPr>
          <w:spacing w:val="-13"/>
        </w:rPr>
        <w:t>生的污染，本项目对原有房间进行改造及室内装饰，产生的污染物处置依托医院非放环</w:t>
      </w:r>
      <w:r>
        <w:rPr/>
        <w:t>评处理设施。</w:t>
      </w:r>
    </w:p>
    <w:p>
      <w:pPr>
        <w:pStyle w:val="BodyText"/>
        <w:spacing w:before="2"/>
        <w:ind w:left="696"/>
      </w:pPr>
      <w:r>
        <w:rPr/>
        <w:t>二、运营期污染源描述</w:t>
      </w:r>
      <w:r>
        <w:rPr>
          <w:w w:val="50"/>
        </w:rPr>
        <w:t> </w:t>
      </w:r>
    </w:p>
    <w:p>
      <w:pPr>
        <w:pStyle w:val="BodyText"/>
        <w:spacing w:before="160"/>
        <w:ind w:left="694"/>
      </w:pPr>
      <w:r>
        <w:rPr>
          <w:rFonts w:ascii="Times New Roman" w:eastAsia="Times New Roman"/>
        </w:rPr>
        <w:t>1</w:t>
      </w:r>
      <w:r>
        <w:rPr/>
        <w:t>、电离辐射</w:t>
      </w:r>
    </w:p>
    <w:p>
      <w:pPr>
        <w:pStyle w:val="BodyText"/>
        <w:spacing w:line="364" w:lineRule="auto" w:before="161"/>
        <w:ind w:left="214" w:right="141" w:firstLine="480"/>
      </w:pPr>
      <w:r>
        <w:rPr>
          <w:rFonts w:ascii="Times New Roman" w:eastAsia="Times New Roman"/>
        </w:rPr>
        <w:t>DSA </w:t>
      </w:r>
      <w:r>
        <w:rPr/>
        <w:t>在开机出束状态下产生 </w:t>
      </w:r>
      <w:r>
        <w:rPr>
          <w:rFonts w:ascii="Times New Roman" w:eastAsia="Times New Roman"/>
        </w:rPr>
        <w:t>X </w:t>
      </w:r>
      <w:r>
        <w:rPr/>
        <w:t>射线，主要辐射污染途径为外照射。设备未开机状态不产生 </w:t>
      </w:r>
      <w:r>
        <w:rPr>
          <w:rFonts w:ascii="Times New Roman" w:eastAsia="Times New Roman"/>
        </w:rPr>
        <w:t>X </w:t>
      </w:r>
      <w:r>
        <w:rPr/>
        <w:t>射线。</w:t>
      </w:r>
    </w:p>
    <w:p>
      <w:pPr>
        <w:pStyle w:val="BodyText"/>
        <w:spacing w:before="1"/>
        <w:ind w:left="694"/>
      </w:pPr>
      <w:r>
        <w:rPr>
          <w:rFonts w:ascii="Times New Roman" w:eastAsia="Times New Roman"/>
        </w:rPr>
        <w:t>2</w:t>
      </w:r>
      <w:r>
        <w:rPr/>
        <w:t>、废气</w:t>
      </w:r>
    </w:p>
    <w:p>
      <w:pPr>
        <w:pStyle w:val="BodyText"/>
        <w:spacing w:line="364" w:lineRule="auto" w:before="160"/>
        <w:ind w:left="214" w:right="220" w:firstLine="480"/>
      </w:pPr>
      <w:r>
        <w:rPr/>
        <w:t>在开机出束过程中，室内的空气在电离辐射作用下产生臭氧及氮氧化物等有害气体。</w:t>
      </w:r>
    </w:p>
    <w:p>
      <w:pPr>
        <w:pStyle w:val="BodyText"/>
        <w:spacing w:before="1"/>
        <w:ind w:left="694"/>
      </w:pPr>
      <w:r>
        <w:rPr>
          <w:rFonts w:ascii="Times New Roman" w:eastAsia="Times New Roman"/>
        </w:rPr>
        <w:t>3</w:t>
      </w:r>
      <w:r>
        <w:rPr/>
        <w:t>、废物</w:t>
      </w:r>
    </w:p>
    <w:p>
      <w:pPr>
        <w:pStyle w:val="BodyText"/>
        <w:spacing w:line="364" w:lineRule="auto" w:before="161"/>
        <w:ind w:left="214" w:right="218" w:firstLine="480"/>
        <w:jc w:val="both"/>
      </w:pPr>
      <w:r>
        <w:rPr>
          <w:spacing w:val="-9"/>
        </w:rPr>
        <w:t>本项目介入手术时会产生的医用器具和药棉、纱布、手套、废造影剂及废造影剂瓶</w:t>
      </w:r>
      <w:r>
        <w:rPr>
          <w:spacing w:val="-12"/>
        </w:rPr>
        <w:t>等医疗废物，其中外购的造影剂均采用不锈钢药品柜单独密闭并加锁保存，钥匙交专人</w:t>
      </w:r>
      <w:r>
        <w:rPr>
          <w:spacing w:val="-14"/>
        </w:rPr>
        <w:t>保管；在进行介入手术时，使用带托盘的不锈钢推车进行运送；未使用完和过期的造影</w:t>
      </w:r>
      <w:r>
        <w:rPr/>
        <w:t>剂均作为医疗废物处理。辐射工作人员工作中会产生的少量的生活垃圾和办公垃圾。</w:t>
      </w:r>
    </w:p>
    <w:p>
      <w:pPr>
        <w:pStyle w:val="BodyText"/>
        <w:spacing w:before="2"/>
        <w:ind w:left="694"/>
      </w:pPr>
      <w:r>
        <w:rPr>
          <w:rFonts w:ascii="Times New Roman" w:eastAsia="Times New Roman"/>
        </w:rPr>
        <w:t>4</w:t>
      </w:r>
      <w:r>
        <w:rPr/>
        <w:t>、废水</w:t>
      </w:r>
    </w:p>
    <w:p>
      <w:pPr>
        <w:pStyle w:val="BodyText"/>
        <w:spacing w:before="161"/>
        <w:ind w:left="694"/>
      </w:pPr>
      <w:r>
        <w:rPr/>
        <w:t>本项目废水为辐射工作人员和患者产生的少量的生活污水及医疗废水。</w:t>
      </w:r>
    </w:p>
    <w:p>
      <w:pPr>
        <w:pStyle w:val="BodyText"/>
        <w:spacing w:before="160"/>
        <w:ind w:left="694"/>
      </w:pPr>
      <w:r>
        <w:rPr>
          <w:rFonts w:ascii="Times New Roman" w:eastAsia="Times New Roman"/>
        </w:rPr>
        <w:t>5</w:t>
      </w:r>
      <w:r>
        <w:rPr/>
        <w:t>、噪声</w:t>
      </w:r>
    </w:p>
    <w:p>
      <w:pPr>
        <w:pStyle w:val="BodyText"/>
        <w:spacing w:line="364" w:lineRule="auto" w:before="161"/>
        <w:ind w:left="214" w:right="220" w:firstLine="480"/>
        <w:jc w:val="both"/>
      </w:pPr>
      <w:r>
        <w:rPr/>
        <w:t>本项目噪声源为介入治疗室通排风装置，该装置采用低噪声设备且带有消声静压</w:t>
      </w:r>
      <w:r>
        <w:rPr>
          <w:spacing w:val="-13"/>
        </w:rPr>
        <w:t>箱，经建筑物墙体隔声及医院场址内的距离衰减后，运行期间厂界噪声可达到《工业企</w:t>
      </w:r>
      <w:r>
        <w:rPr>
          <w:spacing w:val="-10"/>
        </w:rPr>
        <w:t>业厂界环境噪声排放标准》</w:t>
      </w:r>
      <w:r>
        <w:rPr/>
        <w:t>（</w:t>
      </w:r>
      <w:r>
        <w:rPr>
          <w:rFonts w:ascii="Times New Roman" w:eastAsia="Times New Roman"/>
        </w:rPr>
        <w:t>GB12348-2008</w:t>
      </w:r>
      <w:r>
        <w:rPr/>
        <w:t>）</w:t>
      </w:r>
      <w:r>
        <w:rPr>
          <w:rFonts w:ascii="Times New Roman" w:eastAsia="Times New Roman"/>
        </w:rPr>
        <w:t>2 </w:t>
      </w:r>
      <w:r>
        <w:rPr/>
        <w:t>类标准要求。</w:t>
      </w:r>
    </w:p>
    <w:p>
      <w:pPr>
        <w:spacing w:after="0" w:line="364" w:lineRule="auto"/>
        <w:jc w:val="both"/>
        <w:sectPr>
          <w:pgSz w:w="11910" w:h="16840"/>
          <w:pgMar w:header="0" w:footer="881" w:top="1220" w:bottom="1160" w:left="1480" w:right="1020"/>
        </w:sectPr>
      </w:pPr>
    </w:p>
    <w:p>
      <w:pPr>
        <w:pStyle w:val="Heading1"/>
      </w:pPr>
      <w:r>
        <w:rPr/>
        <w:pict>
          <v:group style="position:absolute;margin-left:79.080002pt;margin-top:93.599945pt;width:459.85pt;height:664pt;mso-position-horizontal-relative:page;mso-position-vertical-relative:page;z-index:-211768" coordorigin="1582,1872" coordsize="9197,13280">
            <v:line style="position:absolute" from="1582,1877" to="10769,1877" stroked="true" strokeweight=".479999pt" strokecolor="#000000">
              <v:stroke dashstyle="solid"/>
            </v:line>
            <v:line style="position:absolute" from="1586,1882" to="1586,15151" stroked="true" strokeweight=".48pt" strokecolor="#000000">
              <v:stroke dashstyle="solid"/>
            </v:line>
            <v:line style="position:absolute" from="1582,15146" to="10769,15146" stroked="true" strokeweight=".480011pt" strokecolor="#000000">
              <v:stroke dashstyle="solid"/>
            </v:line>
            <v:line style="position:absolute" from="10774,1872" to="10774,15151" stroked="true" strokeweight=".480011pt" strokecolor="#000000">
              <v:stroke dashstyle="solid"/>
            </v:line>
            <w10:wrap type="none"/>
          </v:group>
        </w:pict>
      </w:r>
      <w:r>
        <w:rPr/>
        <w:t>表 10 辐射安全与防护</w:t>
      </w:r>
      <w:r>
        <w:rPr>
          <w:w w:val="50"/>
        </w:rPr>
        <w:t> </w:t>
      </w:r>
    </w:p>
    <w:p>
      <w:pPr>
        <w:spacing w:before="275"/>
        <w:ind w:left="204" w:right="0" w:firstLine="0"/>
        <w:jc w:val="left"/>
        <w:rPr>
          <w:sz w:val="28"/>
        </w:rPr>
      </w:pPr>
      <w:r>
        <w:rPr>
          <w:sz w:val="28"/>
        </w:rPr>
        <w:t>项目安全措施</w:t>
      </w:r>
      <w:r>
        <w:rPr>
          <w:w w:val="50"/>
          <w:sz w:val="28"/>
        </w:rPr>
        <w:t> </w:t>
      </w:r>
    </w:p>
    <w:p>
      <w:pPr>
        <w:pStyle w:val="BodyText"/>
        <w:spacing w:before="214"/>
        <w:ind w:left="696"/>
      </w:pPr>
      <w:r>
        <w:rPr/>
        <w:t>一、辐射工作场所两区划分</w:t>
      </w:r>
      <w:r>
        <w:rPr>
          <w:w w:val="50"/>
        </w:rPr>
        <w:t> </w:t>
      </w:r>
    </w:p>
    <w:p>
      <w:pPr>
        <w:pStyle w:val="BodyText"/>
        <w:spacing w:before="160"/>
        <w:ind w:left="696"/>
      </w:pPr>
      <w:r>
        <w:rPr/>
        <w:t>（一）工作场所布局合理性</w:t>
      </w:r>
      <w:r>
        <w:rPr>
          <w:w w:val="50"/>
        </w:rPr>
        <w:t> </w:t>
      </w:r>
    </w:p>
    <w:p>
      <w:pPr>
        <w:pStyle w:val="BodyText"/>
        <w:spacing w:line="364" w:lineRule="auto" w:before="161"/>
        <w:ind w:left="214" w:right="98" w:firstLine="480"/>
      </w:pPr>
      <w:r>
        <w:rPr>
          <w:spacing w:val="-4"/>
        </w:rPr>
        <w:t>本项目新增的介入治疗室位于医院内行政楼 </w:t>
      </w:r>
      <w:r>
        <w:rPr>
          <w:rFonts w:ascii="Times New Roman" w:eastAsia="Times New Roman"/>
        </w:rPr>
        <w:t>1 </w:t>
      </w:r>
      <w:r>
        <w:rPr>
          <w:spacing w:val="-9"/>
        </w:rPr>
        <w:t>楼，介入治疗室东侧</w:t>
      </w:r>
      <w:r>
        <w:rPr>
          <w:spacing w:val="-3"/>
        </w:rPr>
        <w:t>（</w:t>
      </w:r>
      <w:r>
        <w:rPr/>
        <w:t>行政楼</w:t>
      </w:r>
      <w:r>
        <w:rPr>
          <w:spacing w:val="-8"/>
        </w:rPr>
        <w:t>）</w:t>
      </w:r>
      <w:r>
        <w:rPr>
          <w:rFonts w:ascii="Times New Roman" w:eastAsia="Times New Roman"/>
          <w:spacing w:val="-8"/>
        </w:rPr>
        <w:t>50m </w:t>
      </w:r>
      <w:r>
        <w:rPr>
          <w:spacing w:val="-19"/>
        </w:rPr>
        <w:t>范围内依次为污物通道间、家属谈话室、家属等候区、行政楼大厅及院内道路，东侧</w:t>
      </w:r>
      <w:r>
        <w:rPr/>
        <w:t>（药剂楼</w:t>
      </w:r>
      <w:r>
        <w:rPr>
          <w:spacing w:val="-8"/>
        </w:rPr>
        <w:t>）</w:t>
      </w:r>
      <w:r>
        <w:rPr>
          <w:rFonts w:ascii="Times New Roman" w:eastAsia="Times New Roman"/>
          <w:spacing w:val="-8"/>
        </w:rPr>
        <w:t>50m </w:t>
      </w:r>
      <w:r>
        <w:rPr>
          <w:spacing w:val="-10"/>
        </w:rPr>
        <w:t>范围内依次为：洗瓶净瓶区域、质检区域、原辅材料暂存区域、包装区域及院内道路；南侧（药剂楼）</w:t>
      </w:r>
      <w:r>
        <w:rPr>
          <w:rFonts w:ascii="Times New Roman" w:eastAsia="Times New Roman"/>
          <w:spacing w:val="-10"/>
        </w:rPr>
        <w:t>50m </w:t>
      </w:r>
      <w:r>
        <w:rPr/>
        <w:t>范围内依次为原辅材料暂存间、备料间、更衣清洗区</w:t>
      </w:r>
      <w:r>
        <w:rPr>
          <w:spacing w:val="-7"/>
        </w:rPr>
        <w:t>域、配电室、空调机房、院内道路、污水处理站、危险废物暂存间及院外广洋楼小区； </w:t>
      </w:r>
      <w:r>
        <w:rPr>
          <w:spacing w:val="-17"/>
        </w:rPr>
        <w:t>西侧 </w:t>
      </w:r>
      <w:r>
        <w:rPr>
          <w:rFonts w:ascii="Times New Roman" w:eastAsia="Times New Roman"/>
        </w:rPr>
        <w:t>50m </w:t>
      </w:r>
      <w:r>
        <w:rPr/>
        <w:t>范围内依次为控制室、设备间、卫生通过间、库房、楼梯间、院内道路、百货公司宿舍（</w:t>
      </w:r>
      <w:r>
        <w:rPr>
          <w:spacing w:val="-8"/>
        </w:rPr>
        <w:t>距介入治疗室约 </w:t>
      </w:r>
      <w:r>
        <w:rPr>
          <w:rFonts w:ascii="Times New Roman" w:eastAsia="Times New Roman"/>
        </w:rPr>
        <w:t>20m</w:t>
      </w:r>
      <w:r>
        <w:rPr/>
        <w:t>）</w:t>
      </w:r>
      <w:r>
        <w:rPr>
          <w:spacing w:val="-7"/>
        </w:rPr>
        <w:t>及上南街；北侧 </w:t>
      </w:r>
      <w:r>
        <w:rPr>
          <w:rFonts w:ascii="Times New Roman" w:eastAsia="Times New Roman"/>
        </w:rPr>
        <w:t>50m </w:t>
      </w:r>
      <w:r>
        <w:rPr/>
        <w:t>范围内依次为配电室、医生</w:t>
      </w:r>
      <w:r>
        <w:rPr>
          <w:spacing w:val="-13"/>
        </w:rPr>
        <w:t>通道、更衣淋浴间、缓冲间、院内道路、发电机房、员工食堂及街道。介入治疗室正上方为行政楼天井；正下方为地基无地下室。</w:t>
      </w:r>
    </w:p>
    <w:p>
      <w:pPr>
        <w:pStyle w:val="BodyText"/>
        <w:spacing w:line="364" w:lineRule="auto" w:before="5"/>
        <w:ind w:left="214" w:right="98" w:firstLine="480"/>
      </w:pPr>
      <w:r>
        <w:rPr/>
        <w:t>由介入治疗室平面布局可知，与射线装置相关的辅助用房紧密布置于射线装置机</w:t>
      </w:r>
      <w:r>
        <w:rPr>
          <w:spacing w:val="-18"/>
        </w:rPr>
        <w:t>房周围，整体布局紧凑，既便于医疗工作，又利于辐射防护。各用房之间采用墙体分隔， </w:t>
      </w:r>
      <w:r>
        <w:rPr>
          <w:spacing w:val="-12"/>
        </w:rPr>
        <w:t>墙体、防护门窗的屏蔽防护厚度充分考虑了电离辐射效应，能够有效降低电离辐射对工作人员和周边公众的辐射影响。</w:t>
      </w:r>
    </w:p>
    <w:p>
      <w:pPr>
        <w:pStyle w:val="BodyText"/>
        <w:spacing w:line="364" w:lineRule="auto" w:before="3"/>
        <w:ind w:left="214" w:right="220" w:firstLine="480"/>
        <w:jc w:val="both"/>
      </w:pPr>
      <w:r>
        <w:rPr/>
        <w:t>本项目辐射工作场所根据工作要求且有利于辐射防护和环境保护进行布局，功能</w:t>
      </w:r>
      <w:r>
        <w:rPr>
          <w:spacing w:val="-15"/>
        </w:rPr>
        <w:t>分区明确，既能有机联系，又不互相干扰，且最大限度避开了人流量较大的门诊区或其</w:t>
      </w:r>
      <w:r>
        <w:rPr>
          <w:spacing w:val="-14"/>
        </w:rPr>
        <w:t>它人流活动区；在设计阶段，辐射工作场所进行了合理的优化布局，同时兼顾了病人就</w:t>
      </w:r>
      <w:r>
        <w:rPr/>
        <w:t>诊的方便性。</w:t>
      </w:r>
    </w:p>
    <w:p>
      <w:pPr>
        <w:pStyle w:val="BodyText"/>
        <w:spacing w:line="364" w:lineRule="auto" w:before="2"/>
        <w:ind w:left="214" w:right="235" w:firstLine="482"/>
      </w:pPr>
      <w:r>
        <w:rPr/>
        <w:t>综上分析，本项目平面布局既满足放射诊断工作要求，又有利于辐射防护。评价认为，本项目平面和空间布局合理。</w:t>
      </w:r>
      <w:r>
        <w:rPr>
          <w:w w:val="50"/>
        </w:rPr>
        <w:t> </w:t>
      </w:r>
    </w:p>
    <w:p>
      <w:pPr>
        <w:pStyle w:val="BodyText"/>
        <w:spacing w:before="1"/>
        <w:ind w:left="680"/>
      </w:pPr>
      <w:r>
        <w:rPr/>
        <w:t>（二）两区划分</w:t>
      </w:r>
      <w:r>
        <w:rPr>
          <w:w w:val="50"/>
        </w:rPr>
        <w:t> </w:t>
      </w:r>
    </w:p>
    <w:p>
      <w:pPr>
        <w:pStyle w:val="BodyText"/>
        <w:spacing w:before="161"/>
        <w:ind w:left="680"/>
      </w:pPr>
      <w:r>
        <w:rPr/>
        <w:t>1、分区原则</w:t>
      </w:r>
      <w:r>
        <w:rPr>
          <w:w w:val="50"/>
        </w:rPr>
        <w:t> </w:t>
      </w:r>
    </w:p>
    <w:p>
      <w:pPr>
        <w:pStyle w:val="BodyText"/>
        <w:spacing w:line="364" w:lineRule="auto" w:before="160"/>
        <w:ind w:left="231" w:right="221" w:firstLine="446"/>
      </w:pPr>
      <w:r>
        <w:rPr>
          <w:spacing w:val="-5"/>
          <w:w w:val="95"/>
        </w:rPr>
        <w:t>按照《电离辐射防护与辐射源安全基本标准</w:t>
      </w:r>
      <w:r>
        <w:rPr>
          <w:spacing w:val="-137"/>
          <w:w w:val="95"/>
        </w:rPr>
        <w:t>》</w:t>
      </w:r>
      <w:r>
        <w:rPr>
          <w:w w:val="95"/>
        </w:rPr>
        <w:t>（</w:t>
      </w:r>
      <w:r>
        <w:rPr>
          <w:rFonts w:ascii="Times New Roman" w:eastAsia="Times New Roman"/>
          <w:w w:val="95"/>
        </w:rPr>
        <w:t>GB18871-2002</w:t>
      </w:r>
      <w:r>
        <w:rPr>
          <w:w w:val="95"/>
        </w:rPr>
        <w:t>）</w:t>
      </w:r>
      <w:r>
        <w:rPr>
          <w:spacing w:val="-6"/>
          <w:w w:val="95"/>
        </w:rPr>
        <w:t>要求，将本项目辐   </w:t>
      </w:r>
      <w:r>
        <w:rPr/>
        <w:t>射工作场所分为控制区和监督区，以便于辐射防护管理和职业照射控制。</w:t>
      </w:r>
    </w:p>
    <w:p>
      <w:pPr>
        <w:pStyle w:val="BodyText"/>
        <w:spacing w:line="364" w:lineRule="auto" w:before="2"/>
        <w:ind w:left="231" w:right="213" w:firstLine="446"/>
      </w:pPr>
      <w:r>
        <w:rPr/>
        <w:t>控制区</w:t>
      </w:r>
      <w:r>
        <w:rPr>
          <w:rFonts w:ascii="Times New Roman" w:hAnsi="Times New Roman" w:eastAsia="Times New Roman"/>
        </w:rPr>
        <w:t>—</w:t>
      </w:r>
      <w:r>
        <w:rPr/>
        <w:t>把需要和可能需要专门防护手段或安全措施的区域定为控制区，以便控制正常工作条件下的正常照射或防止污染扩散，并预防潜在照射或限制潜在照射的范</w:t>
      </w:r>
    </w:p>
    <w:p>
      <w:pPr>
        <w:spacing w:after="0" w:line="364" w:lineRule="auto"/>
        <w:sectPr>
          <w:pgSz w:w="11910" w:h="16840"/>
          <w:pgMar w:header="0" w:footer="881" w:top="1320" w:bottom="1160" w:left="1480" w:right="1020"/>
        </w:sectPr>
      </w:pPr>
    </w:p>
    <w:p>
      <w:pPr>
        <w:pStyle w:val="BodyText"/>
        <w:spacing w:before="100"/>
        <w:ind w:left="231"/>
      </w:pPr>
      <w:r>
        <w:rPr/>
        <w:pict>
          <v:group style="position:absolute;margin-left:79.080002pt;margin-top:62.399937pt;width:459.85pt;height:699.5pt;mso-position-horizontal-relative:page;mso-position-vertical-relative:page;z-index:-211744" coordorigin="1582,1248" coordsize="9197,13990">
            <v:line style="position:absolute" from="1582,1253" to="10769,1253" stroked="true" strokeweight=".479999pt" strokecolor="#000000">
              <v:stroke dashstyle="solid"/>
            </v:line>
            <v:line style="position:absolute" from="1586,1258" to="1586,15238" stroked="true" strokeweight=".48pt" strokecolor="#000000">
              <v:stroke dashstyle="solid"/>
            </v:line>
            <v:line style="position:absolute" from="1582,15233" to="10769,15233" stroked="true" strokeweight=".480011pt" strokecolor="#000000">
              <v:stroke dashstyle="solid"/>
            </v:line>
            <v:line style="position:absolute" from="10774,1248" to="10774,15238" stroked="true" strokeweight=".480011pt" strokecolor="#000000">
              <v:stroke dashstyle="solid"/>
            </v:line>
            <v:shape style="position:absolute;left:1689;top:8270;width:8948;height:4224" type="#_x0000_t75" stroked="false">
              <v:imagedata r:id="rId48" o:title=""/>
            </v:shape>
            <w10:wrap type="none"/>
          </v:group>
        </w:pict>
      </w:r>
      <w:r>
        <w:rPr/>
        <w:t>围。</w:t>
      </w:r>
    </w:p>
    <w:p>
      <w:pPr>
        <w:pStyle w:val="BodyText"/>
        <w:spacing w:line="364" w:lineRule="auto" w:before="161"/>
        <w:ind w:left="231" w:right="223" w:firstLine="446"/>
      </w:pPr>
      <w:r>
        <w:rPr/>
        <w:t>监督区</w:t>
      </w:r>
      <w:r>
        <w:rPr>
          <w:rFonts w:ascii="Times New Roman" w:hAnsi="Times New Roman" w:eastAsia="Times New Roman"/>
        </w:rPr>
        <w:t>—</w:t>
      </w:r>
      <w:r>
        <w:rPr/>
        <w:t>通常不需要专门的防护手段或安全措施，但需要经常对职业照射条件进行监督和评价的区域。</w:t>
      </w:r>
    </w:p>
    <w:p>
      <w:pPr>
        <w:pStyle w:val="BodyText"/>
        <w:spacing w:before="1"/>
        <w:ind w:left="680"/>
      </w:pPr>
      <w:r>
        <w:rPr/>
        <w:t>2、控制区与监督区的划分</w:t>
      </w:r>
    </w:p>
    <w:p>
      <w:pPr>
        <w:pStyle w:val="ListParagraph"/>
        <w:numPr>
          <w:ilvl w:val="0"/>
          <w:numId w:val="14"/>
        </w:numPr>
        <w:tabs>
          <w:tab w:pos="1279" w:val="left" w:leader="none"/>
        </w:tabs>
        <w:spacing w:line="240" w:lineRule="auto" w:before="161" w:after="0"/>
        <w:ind w:left="1278" w:right="0" w:hanging="601"/>
        <w:jc w:val="left"/>
        <w:rPr>
          <w:sz w:val="24"/>
        </w:rPr>
      </w:pPr>
      <w:r>
        <w:rPr>
          <w:sz w:val="24"/>
        </w:rPr>
        <w:t>区域划分</w:t>
      </w:r>
    </w:p>
    <w:p>
      <w:pPr>
        <w:pStyle w:val="BodyText"/>
        <w:spacing w:line="364" w:lineRule="auto" w:before="160"/>
        <w:ind w:left="231" w:right="223" w:firstLine="446"/>
      </w:pPr>
      <w:r>
        <w:rPr/>
        <w:t>本次环评根据控制区和监督区的定义，结合项目辐射防护和环境情况特点进行辐射防护分区划分，见表 </w:t>
      </w:r>
      <w:r>
        <w:rPr>
          <w:rFonts w:ascii="Times New Roman" w:eastAsia="Times New Roman"/>
        </w:rPr>
        <w:t>10-1 </w:t>
      </w:r>
      <w:r>
        <w:rPr/>
        <w:t>和图 </w:t>
      </w:r>
      <w:r>
        <w:rPr>
          <w:rFonts w:ascii="Times New Roman" w:eastAsia="Times New Roman"/>
        </w:rPr>
        <w:t>10-1</w:t>
      </w:r>
      <w:r>
        <w:rPr/>
        <w:t>。</w:t>
      </w:r>
    </w:p>
    <w:p>
      <w:pPr>
        <w:spacing w:line="211" w:lineRule="exact" w:before="0" w:after="21"/>
        <w:ind w:left="0" w:right="4" w:firstLine="0"/>
        <w:jc w:val="center"/>
        <w:rPr>
          <w:sz w:val="21"/>
        </w:rPr>
      </w:pPr>
      <w:r>
        <w:rPr>
          <w:sz w:val="21"/>
        </w:rPr>
        <w:t>表 </w:t>
      </w:r>
      <w:r>
        <w:rPr>
          <w:rFonts w:ascii="Times New Roman" w:eastAsia="Times New Roman"/>
          <w:sz w:val="21"/>
        </w:rPr>
        <w:t>10-1 </w:t>
      </w:r>
      <w:r>
        <w:rPr>
          <w:sz w:val="21"/>
        </w:rPr>
        <w:t>项目控制区和监督区的划分情况</w:t>
      </w:r>
    </w:p>
    <w:tbl>
      <w:tblPr>
        <w:tblW w:w="0" w:type="auto"/>
        <w:jc w:val="left"/>
        <w:tblInd w:w="2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0"/>
        <w:gridCol w:w="3348"/>
        <w:gridCol w:w="4116"/>
      </w:tblGrid>
      <w:tr>
        <w:trPr>
          <w:trHeight w:val="452" w:hRule="atLeast"/>
        </w:trPr>
        <w:tc>
          <w:tcPr>
            <w:tcW w:w="1510" w:type="dxa"/>
            <w:tcBorders>
              <w:left w:val="nil"/>
              <w:right w:val="single" w:sz="4" w:space="0" w:color="000000"/>
            </w:tcBorders>
          </w:tcPr>
          <w:p>
            <w:pPr>
              <w:pStyle w:val="TableParagraph"/>
              <w:spacing w:before="94"/>
              <w:ind w:left="127" w:right="77"/>
              <w:rPr>
                <w:sz w:val="21"/>
              </w:rPr>
            </w:pPr>
            <w:r>
              <w:rPr>
                <w:sz w:val="21"/>
              </w:rPr>
              <w:t>辐射工作场所</w:t>
            </w:r>
          </w:p>
        </w:tc>
        <w:tc>
          <w:tcPr>
            <w:tcW w:w="3348" w:type="dxa"/>
            <w:tcBorders>
              <w:left w:val="single" w:sz="4" w:space="0" w:color="000000"/>
              <w:right w:val="single" w:sz="4" w:space="0" w:color="000000"/>
            </w:tcBorders>
          </w:tcPr>
          <w:p>
            <w:pPr>
              <w:pStyle w:val="TableParagraph"/>
              <w:spacing w:before="94"/>
              <w:ind w:left="1032" w:right="1004"/>
              <w:rPr>
                <w:sz w:val="21"/>
              </w:rPr>
            </w:pPr>
            <w:r>
              <w:rPr>
                <w:sz w:val="21"/>
              </w:rPr>
              <w:t>控制区</w:t>
            </w:r>
          </w:p>
        </w:tc>
        <w:tc>
          <w:tcPr>
            <w:tcW w:w="4116" w:type="dxa"/>
            <w:tcBorders>
              <w:left w:val="single" w:sz="4" w:space="0" w:color="000000"/>
              <w:right w:val="nil"/>
            </w:tcBorders>
          </w:tcPr>
          <w:p>
            <w:pPr>
              <w:pStyle w:val="TableParagraph"/>
              <w:spacing w:before="94"/>
              <w:ind w:left="364" w:right="345"/>
              <w:rPr>
                <w:sz w:val="21"/>
              </w:rPr>
            </w:pPr>
            <w:r>
              <w:rPr>
                <w:sz w:val="21"/>
              </w:rPr>
              <w:t>监督区</w:t>
            </w:r>
          </w:p>
        </w:tc>
      </w:tr>
      <w:tr>
        <w:trPr>
          <w:trHeight w:val="625" w:hRule="atLeast"/>
        </w:trPr>
        <w:tc>
          <w:tcPr>
            <w:tcW w:w="1510" w:type="dxa"/>
            <w:tcBorders>
              <w:left w:val="nil"/>
              <w:bottom w:val="single" w:sz="4" w:space="0" w:color="000000"/>
              <w:right w:val="single" w:sz="4" w:space="0" w:color="000000"/>
            </w:tcBorders>
          </w:tcPr>
          <w:p>
            <w:pPr>
              <w:pStyle w:val="TableParagraph"/>
              <w:spacing w:before="180"/>
              <w:ind w:left="125" w:right="77"/>
              <w:rPr>
                <w:sz w:val="21"/>
              </w:rPr>
            </w:pPr>
            <w:r>
              <w:rPr>
                <w:sz w:val="21"/>
              </w:rPr>
              <w:t>介入治疗室</w:t>
            </w:r>
          </w:p>
        </w:tc>
        <w:tc>
          <w:tcPr>
            <w:tcW w:w="3348" w:type="dxa"/>
            <w:tcBorders>
              <w:left w:val="single" w:sz="4" w:space="0" w:color="000000"/>
              <w:bottom w:val="single" w:sz="4" w:space="0" w:color="000000"/>
              <w:right w:val="single" w:sz="4" w:space="0" w:color="000000"/>
            </w:tcBorders>
          </w:tcPr>
          <w:p>
            <w:pPr>
              <w:pStyle w:val="TableParagraph"/>
              <w:spacing w:before="180"/>
              <w:ind w:left="1034" w:right="1004"/>
              <w:rPr>
                <w:sz w:val="21"/>
              </w:rPr>
            </w:pPr>
            <w:r>
              <w:rPr>
                <w:sz w:val="21"/>
              </w:rPr>
              <w:t>介入治疗室内</w:t>
            </w:r>
          </w:p>
        </w:tc>
        <w:tc>
          <w:tcPr>
            <w:tcW w:w="4116" w:type="dxa"/>
            <w:tcBorders>
              <w:left w:val="single" w:sz="4" w:space="0" w:color="000000"/>
              <w:bottom w:val="single" w:sz="4" w:space="0" w:color="000000"/>
              <w:right w:val="nil"/>
            </w:tcBorders>
          </w:tcPr>
          <w:p>
            <w:pPr>
              <w:pStyle w:val="TableParagraph"/>
              <w:spacing w:before="24"/>
              <w:ind w:left="172"/>
              <w:jc w:val="left"/>
              <w:rPr>
                <w:sz w:val="21"/>
              </w:rPr>
            </w:pPr>
            <w:r>
              <w:rPr>
                <w:spacing w:val="-4"/>
                <w:sz w:val="21"/>
              </w:rPr>
              <w:t>污物通道区域、介入治疗室防护门外病人</w:t>
            </w:r>
          </w:p>
          <w:p>
            <w:pPr>
              <w:pStyle w:val="TableParagraph"/>
              <w:spacing w:before="43"/>
              <w:ind w:left="172"/>
              <w:jc w:val="left"/>
              <w:rPr>
                <w:sz w:val="21"/>
              </w:rPr>
            </w:pPr>
            <w:r>
              <w:rPr>
                <w:spacing w:val="-4"/>
                <w:sz w:val="21"/>
              </w:rPr>
              <w:t>通道区域、医生通道、控制室、设备间、</w:t>
            </w:r>
          </w:p>
        </w:tc>
      </w:tr>
      <w:tr>
        <w:trPr>
          <w:trHeight w:val="2185" w:hRule="atLeast"/>
        </w:trPr>
        <w:tc>
          <w:tcPr>
            <w:tcW w:w="1510" w:type="dxa"/>
            <w:tcBorders>
              <w:top w:val="single" w:sz="4" w:space="0" w:color="000000"/>
              <w:left w:val="nil"/>
              <w:right w:val="single" w:sz="4" w:space="0" w:color="000000"/>
            </w:tcBorders>
          </w:tcPr>
          <w:p>
            <w:pPr>
              <w:pStyle w:val="TableParagraph"/>
              <w:jc w:val="left"/>
              <w:rPr>
                <w:sz w:val="24"/>
              </w:rPr>
            </w:pPr>
          </w:p>
          <w:p>
            <w:pPr>
              <w:pStyle w:val="TableParagraph"/>
              <w:jc w:val="left"/>
              <w:rPr>
                <w:sz w:val="24"/>
              </w:rPr>
            </w:pPr>
          </w:p>
          <w:p>
            <w:pPr>
              <w:pStyle w:val="TableParagraph"/>
              <w:spacing w:before="10"/>
              <w:jc w:val="left"/>
              <w:rPr>
                <w:sz w:val="26"/>
              </w:rPr>
            </w:pPr>
          </w:p>
          <w:p>
            <w:pPr>
              <w:pStyle w:val="TableParagraph"/>
              <w:ind w:left="127" w:right="77"/>
              <w:rPr>
                <w:sz w:val="21"/>
              </w:rPr>
            </w:pPr>
            <w:r>
              <w:rPr>
                <w:sz w:val="21"/>
              </w:rPr>
              <w:t>备注</w:t>
            </w:r>
          </w:p>
        </w:tc>
        <w:tc>
          <w:tcPr>
            <w:tcW w:w="3348" w:type="dxa"/>
            <w:tcBorders>
              <w:top w:val="single" w:sz="4" w:space="0" w:color="000000"/>
              <w:left w:val="single" w:sz="4" w:space="0" w:color="000000"/>
              <w:right w:val="single" w:sz="4" w:space="0" w:color="000000"/>
            </w:tcBorders>
          </w:tcPr>
          <w:p>
            <w:pPr>
              <w:pStyle w:val="TableParagraph"/>
              <w:spacing w:line="278" w:lineRule="auto" w:before="22"/>
              <w:ind w:left="116" w:right="84"/>
              <w:jc w:val="both"/>
              <w:rPr>
                <w:sz w:val="21"/>
              </w:rPr>
            </w:pPr>
            <w:r>
              <w:rPr>
                <w:spacing w:val="11"/>
                <w:sz w:val="21"/>
              </w:rPr>
              <w:t>控制区内禁止除治疗病人及职业</w:t>
            </w:r>
            <w:r>
              <w:rPr>
                <w:spacing w:val="-5"/>
                <w:sz w:val="21"/>
              </w:rPr>
              <w:t>工作人员外的无关人员进入，职业</w:t>
            </w:r>
            <w:r>
              <w:rPr>
                <w:spacing w:val="11"/>
                <w:sz w:val="21"/>
              </w:rPr>
              <w:t>工作人员在进行日常工作时候尽</w:t>
            </w:r>
            <w:r>
              <w:rPr>
                <w:spacing w:val="-4"/>
                <w:sz w:val="21"/>
              </w:rPr>
              <w:t>量不要在控制区内停留，以减少不</w:t>
            </w:r>
            <w:r>
              <w:rPr>
                <w:spacing w:val="-6"/>
                <w:sz w:val="21"/>
              </w:rPr>
              <w:t>必要的照射。手术医生和护士进入</w:t>
            </w:r>
            <w:r>
              <w:rPr>
                <w:spacing w:val="-7"/>
                <w:sz w:val="21"/>
              </w:rPr>
              <w:t>手术室必须穿戴个人防护用品，以</w:t>
            </w:r>
          </w:p>
          <w:p>
            <w:pPr>
              <w:pStyle w:val="TableParagraph"/>
              <w:spacing w:line="268" w:lineRule="exact"/>
              <w:ind w:left="116"/>
              <w:jc w:val="both"/>
              <w:rPr>
                <w:sz w:val="21"/>
              </w:rPr>
            </w:pPr>
            <w:r>
              <w:rPr>
                <w:sz w:val="21"/>
              </w:rPr>
              <w:t>降低辐照剂量。</w:t>
            </w:r>
          </w:p>
        </w:tc>
        <w:tc>
          <w:tcPr>
            <w:tcW w:w="4116" w:type="dxa"/>
            <w:tcBorders>
              <w:top w:val="single" w:sz="4" w:space="0" w:color="000000"/>
              <w:left w:val="single" w:sz="4" w:space="0" w:color="000000"/>
              <w:right w:val="nil"/>
            </w:tcBorders>
          </w:tcPr>
          <w:p>
            <w:pPr>
              <w:pStyle w:val="TableParagraph"/>
              <w:jc w:val="left"/>
              <w:rPr>
                <w:sz w:val="24"/>
              </w:rPr>
            </w:pPr>
          </w:p>
          <w:p>
            <w:pPr>
              <w:pStyle w:val="TableParagraph"/>
              <w:jc w:val="left"/>
              <w:rPr>
                <w:sz w:val="24"/>
              </w:rPr>
            </w:pPr>
          </w:p>
          <w:p>
            <w:pPr>
              <w:pStyle w:val="TableParagraph"/>
              <w:spacing w:before="10"/>
              <w:jc w:val="left"/>
              <w:rPr>
                <w:sz w:val="26"/>
              </w:rPr>
            </w:pPr>
          </w:p>
          <w:p>
            <w:pPr>
              <w:pStyle w:val="TableParagraph"/>
              <w:ind w:left="365" w:right="345"/>
              <w:rPr>
                <w:sz w:val="21"/>
              </w:rPr>
            </w:pPr>
            <w:r>
              <w:rPr>
                <w:sz w:val="21"/>
              </w:rPr>
              <w:t>监督区范围内应限制无关人员进入。</w:t>
            </w:r>
          </w:p>
        </w:tc>
      </w:tr>
    </w:tbl>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30"/>
        </w:rPr>
      </w:pPr>
    </w:p>
    <w:p>
      <w:pPr>
        <w:spacing w:before="1"/>
        <w:ind w:left="0" w:right="1" w:firstLine="0"/>
        <w:jc w:val="center"/>
        <w:rPr>
          <w:sz w:val="21"/>
        </w:rPr>
      </w:pPr>
      <w:r>
        <w:rPr>
          <w:spacing w:val="-27"/>
          <w:sz w:val="21"/>
        </w:rPr>
        <w:t>图 </w:t>
      </w:r>
      <w:r>
        <w:rPr>
          <w:rFonts w:ascii="Times New Roman" w:eastAsia="Times New Roman"/>
          <w:sz w:val="21"/>
        </w:rPr>
        <w:t>10-1 </w:t>
      </w:r>
      <w:r>
        <w:rPr>
          <w:spacing w:val="-4"/>
          <w:sz w:val="21"/>
        </w:rPr>
        <w:t>本项目介入治疗室辐射防护分区示意图</w:t>
      </w:r>
    </w:p>
    <w:p>
      <w:pPr>
        <w:pStyle w:val="ListParagraph"/>
        <w:numPr>
          <w:ilvl w:val="0"/>
          <w:numId w:val="14"/>
        </w:numPr>
        <w:tabs>
          <w:tab w:pos="1279" w:val="left" w:leader="none"/>
        </w:tabs>
        <w:spacing w:line="240" w:lineRule="auto" w:before="101" w:after="0"/>
        <w:ind w:left="1278" w:right="0" w:hanging="601"/>
        <w:jc w:val="left"/>
        <w:rPr>
          <w:sz w:val="24"/>
        </w:rPr>
      </w:pPr>
      <w:r>
        <w:rPr>
          <w:sz w:val="24"/>
        </w:rPr>
        <w:t>关于控制区与监督区的防护手段与安全措施，项目单位应做到：</w:t>
      </w:r>
    </w:p>
    <w:p>
      <w:pPr>
        <w:pStyle w:val="ListParagraph"/>
        <w:numPr>
          <w:ilvl w:val="0"/>
          <w:numId w:val="15"/>
        </w:numPr>
        <w:tabs>
          <w:tab w:pos="1039" w:val="left" w:leader="none"/>
        </w:tabs>
        <w:spacing w:line="240" w:lineRule="auto" w:before="161" w:after="0"/>
        <w:ind w:left="1038" w:right="0" w:hanging="361"/>
        <w:jc w:val="left"/>
        <w:rPr>
          <w:sz w:val="24"/>
        </w:rPr>
      </w:pPr>
      <w:r>
        <w:rPr>
          <w:sz w:val="24"/>
        </w:rPr>
        <w:t>控制区的防护手段与安全措施：</w:t>
      </w:r>
    </w:p>
    <w:p>
      <w:pPr>
        <w:pStyle w:val="BodyText"/>
        <w:spacing w:line="364" w:lineRule="auto" w:before="160"/>
        <w:ind w:left="231" w:right="218" w:firstLine="686"/>
        <w:jc w:val="both"/>
      </w:pPr>
      <w:r>
        <w:rPr>
          <w:spacing w:val="-3"/>
        </w:rPr>
        <w:t>在病人至机房内防护门外、控制室至机房防护门外及其他醒目的位置设置 “当</w:t>
      </w:r>
      <w:r>
        <w:rPr>
          <w:spacing w:val="-15"/>
        </w:rPr>
        <w:t>心电离辐射”警告标志。电离辐射警告标志须符合《电离辐射防护与辐射源安全基本标</w:t>
      </w:r>
      <w:r>
        <w:rPr>
          <w:spacing w:val="-60"/>
        </w:rPr>
        <w:t>准》</w:t>
      </w:r>
      <w:r>
        <w:rPr/>
        <w:t>（</w:t>
      </w:r>
      <w:r>
        <w:rPr>
          <w:rFonts w:ascii="Times New Roman" w:hAnsi="Times New Roman" w:eastAsia="Times New Roman"/>
        </w:rPr>
        <w:t>GB18871-2002</w:t>
      </w:r>
      <w:r>
        <w:rPr/>
        <w:t>）</w:t>
      </w:r>
      <w:r>
        <w:rPr>
          <w:spacing w:val="-21"/>
        </w:rPr>
        <w:t>附录 </w:t>
      </w:r>
      <w:r>
        <w:rPr>
          <w:rFonts w:ascii="Times New Roman" w:hAnsi="Times New Roman" w:eastAsia="Times New Roman"/>
        </w:rPr>
        <w:t>F </w:t>
      </w:r>
      <w:r>
        <w:rPr>
          <w:spacing w:val="-11"/>
        </w:rPr>
        <w:t>要求，如图 </w:t>
      </w:r>
      <w:r>
        <w:rPr>
          <w:rFonts w:ascii="Times New Roman" w:hAnsi="Times New Roman" w:eastAsia="Times New Roman"/>
        </w:rPr>
        <w:t>10-2 </w:t>
      </w:r>
      <w:r>
        <w:rPr/>
        <w:t>所示。</w:t>
      </w:r>
    </w:p>
    <w:p>
      <w:pPr>
        <w:spacing w:after="0" w:line="364" w:lineRule="auto"/>
        <w:jc w:val="both"/>
        <w:sectPr>
          <w:pgSz w:w="11910" w:h="16840"/>
          <w:pgMar w:header="0" w:footer="881" w:top="1220" w:bottom="1160" w:left="1480" w:right="1020"/>
        </w:sectPr>
      </w:pPr>
    </w:p>
    <w:p>
      <w:pPr>
        <w:pStyle w:val="BodyText"/>
        <w:rPr>
          <w:sz w:val="20"/>
        </w:rPr>
      </w:pPr>
      <w:r>
        <w:rPr/>
        <w:pict>
          <v:group style="position:absolute;margin-left:79.080002pt;margin-top:62.399937pt;width:459.85pt;height:710.4pt;mso-position-horizontal-relative:page;mso-position-vertical-relative:page;z-index:-211720" coordorigin="1582,1248" coordsize="9197,14208">
            <v:line style="position:absolute" from="1582,1253" to="10769,1253" stroked="true" strokeweight=".479999pt" strokecolor="#000000">
              <v:stroke dashstyle="solid"/>
            </v:line>
            <v:line style="position:absolute" from="1586,1258" to="1586,15456" stroked="true" strokeweight=".48pt" strokecolor="#000000">
              <v:stroke dashstyle="solid"/>
            </v:line>
            <v:line style="position:absolute" from="1582,15451" to="10769,15451" stroked="true" strokeweight=".480011pt" strokecolor="#000000">
              <v:stroke dashstyle="solid"/>
            </v:line>
            <v:line style="position:absolute" from="10774,1248" to="10774,15456" stroked="true" strokeweight=".480011pt" strokecolor="#000000">
              <v:stroke dashstyle="solid"/>
            </v:line>
            <v:shape style="position:absolute;left:4947;top:1288;width:2538;height:2939" type="#_x0000_t75" stroked="false">
              <v:imagedata r:id="rId49"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79"/>
        <w:ind w:left="2772" w:right="0" w:firstLine="0"/>
        <w:jc w:val="left"/>
        <w:rPr>
          <w:sz w:val="21"/>
        </w:rPr>
      </w:pPr>
      <w:r>
        <w:rPr>
          <w:sz w:val="21"/>
        </w:rPr>
        <w:t>图 </w:t>
      </w:r>
      <w:r>
        <w:rPr>
          <w:rFonts w:ascii="Times New Roman" w:eastAsia="Times New Roman"/>
          <w:sz w:val="21"/>
        </w:rPr>
        <w:t>10-2 </w:t>
      </w:r>
      <w:r>
        <w:rPr>
          <w:sz w:val="21"/>
        </w:rPr>
        <w:t>电离辐射标志和电离辐射警告标志</w:t>
      </w:r>
    </w:p>
    <w:p>
      <w:pPr>
        <w:pStyle w:val="BodyText"/>
        <w:spacing w:before="101"/>
        <w:ind w:left="917"/>
      </w:pPr>
      <w:r>
        <w:rPr/>
        <w:t>制定职业防护与安全措施，包括适用于控制区的规则与程序；</w:t>
      </w:r>
    </w:p>
    <w:p>
      <w:pPr>
        <w:pStyle w:val="BodyText"/>
        <w:spacing w:line="364" w:lineRule="auto" w:before="161"/>
        <w:ind w:left="231" w:right="220" w:firstLine="686"/>
      </w:pPr>
      <w:r>
        <w:rPr>
          <w:spacing w:val="-5"/>
        </w:rPr>
        <w:t>运用行政管理程序</w:t>
      </w:r>
      <w:r>
        <w:rPr/>
        <w:t>（如进入控制区的工作许可制度</w:t>
      </w:r>
      <w:r>
        <w:rPr>
          <w:spacing w:val="-34"/>
        </w:rPr>
        <w:t>）</w:t>
      </w:r>
      <w:r>
        <w:rPr>
          <w:spacing w:val="-7"/>
        </w:rPr>
        <w:t>和实体屏障</w:t>
      </w:r>
      <w:r>
        <w:rPr/>
        <w:t>（包括门锁</w:t>
      </w:r>
      <w:r>
        <w:rPr>
          <w:spacing w:val="-34"/>
        </w:rPr>
        <w:t>）</w:t>
      </w:r>
      <w:r>
        <w:rPr>
          <w:spacing w:val="-15"/>
        </w:rPr>
        <w:t>限</w:t>
      </w:r>
      <w:r>
        <w:rPr/>
        <w:t>制人员进、出控制区；</w:t>
      </w:r>
    </w:p>
    <w:p>
      <w:pPr>
        <w:pStyle w:val="BodyText"/>
        <w:spacing w:line="364" w:lineRule="auto" w:before="1"/>
        <w:ind w:left="231" w:right="223" w:firstLine="688"/>
      </w:pPr>
      <w:r>
        <w:rPr/>
        <w:t>定期审查控制区的实际状况，以确定是否有必要改变该区的防护手段或安全措施或该区的边界。</w:t>
      </w:r>
    </w:p>
    <w:p>
      <w:pPr>
        <w:pStyle w:val="ListParagraph"/>
        <w:numPr>
          <w:ilvl w:val="0"/>
          <w:numId w:val="15"/>
        </w:numPr>
        <w:tabs>
          <w:tab w:pos="1039" w:val="left" w:leader="none"/>
        </w:tabs>
        <w:spacing w:line="364" w:lineRule="auto" w:before="1" w:after="0"/>
        <w:ind w:left="917" w:right="5006" w:hanging="240"/>
        <w:jc w:val="left"/>
        <w:rPr>
          <w:sz w:val="24"/>
        </w:rPr>
      </w:pPr>
      <w:r>
        <w:rPr>
          <w:spacing w:val="-2"/>
          <w:sz w:val="24"/>
        </w:rPr>
        <w:t>监督区的防护手段与安全措施： </w:t>
      </w:r>
      <w:r>
        <w:rPr>
          <w:sz w:val="24"/>
        </w:rPr>
        <w:t>以黄线警示监督区的边界；</w:t>
      </w:r>
    </w:p>
    <w:p>
      <w:pPr>
        <w:pStyle w:val="BodyText"/>
        <w:spacing w:before="2"/>
        <w:ind w:left="917"/>
      </w:pPr>
      <w:r>
        <w:rPr/>
        <w:t>在监督区的入口处的适当地点设立表明监督区的标牌；</w:t>
      </w:r>
    </w:p>
    <w:p>
      <w:pPr>
        <w:pStyle w:val="BodyText"/>
        <w:spacing w:line="364" w:lineRule="auto" w:before="160"/>
        <w:ind w:left="214" w:right="218" w:firstLine="720"/>
      </w:pPr>
      <w:r>
        <w:rPr>
          <w:spacing w:val="-12"/>
        </w:rPr>
        <w:t>定期检查该区的条件，以确定是否需要采取防护措施和做出安全规定，或是否需</w:t>
      </w:r>
      <w:r>
        <w:rPr/>
        <w:t>要更改监督区的边界。</w:t>
      </w:r>
    </w:p>
    <w:p>
      <w:pPr>
        <w:pStyle w:val="BodyText"/>
        <w:spacing w:before="1"/>
        <w:ind w:left="696"/>
      </w:pPr>
      <w:r>
        <w:rPr/>
        <w:t>二、辐射安全及防护措施</w:t>
      </w:r>
      <w:r>
        <w:rPr>
          <w:w w:val="50"/>
        </w:rPr>
        <w:t> </w:t>
      </w:r>
    </w:p>
    <w:p>
      <w:pPr>
        <w:pStyle w:val="BodyText"/>
        <w:spacing w:before="161"/>
        <w:ind w:left="680"/>
      </w:pPr>
      <w:r>
        <w:rPr/>
        <w:t>（一）机房屏蔽措施</w:t>
      </w:r>
      <w:r>
        <w:rPr>
          <w:w w:val="50"/>
        </w:rPr>
        <w:t> </w:t>
      </w:r>
    </w:p>
    <w:p>
      <w:pPr>
        <w:pStyle w:val="BodyText"/>
        <w:spacing w:before="160"/>
        <w:ind w:left="694"/>
      </w:pPr>
      <w:r>
        <w:rPr/>
        <w:t>本项目介入治疗室屏蔽设计见表 </w:t>
      </w:r>
      <w:r>
        <w:rPr>
          <w:rFonts w:ascii="Times New Roman" w:eastAsia="Times New Roman"/>
        </w:rPr>
        <w:t>10-2</w:t>
      </w:r>
      <w:r>
        <w:rPr/>
        <w:t>。</w:t>
      </w:r>
    </w:p>
    <w:p>
      <w:pPr>
        <w:tabs>
          <w:tab w:pos="3583" w:val="left" w:leader="none"/>
        </w:tabs>
        <w:spacing w:before="102" w:after="20"/>
        <w:ind w:left="2724" w:right="0" w:firstLine="0"/>
        <w:jc w:val="left"/>
        <w:rPr>
          <w:sz w:val="21"/>
        </w:rPr>
      </w:pPr>
      <w:r>
        <w:rPr>
          <w:sz w:val="21"/>
        </w:rPr>
        <w:t>表</w:t>
      </w:r>
      <w:r>
        <w:rPr>
          <w:spacing w:val="-53"/>
          <w:sz w:val="21"/>
        </w:rPr>
        <w:t> </w:t>
      </w:r>
      <w:r>
        <w:rPr>
          <w:rFonts w:ascii="Times New Roman" w:eastAsia="Times New Roman"/>
          <w:sz w:val="21"/>
        </w:rPr>
        <w:t>10-2</w:t>
        <w:tab/>
      </w:r>
      <w:r>
        <w:rPr>
          <w:spacing w:val="-3"/>
          <w:sz w:val="21"/>
        </w:rPr>
        <w:t>本</w:t>
      </w:r>
      <w:r>
        <w:rPr>
          <w:sz w:val="21"/>
        </w:rPr>
        <w:t>项</w:t>
      </w:r>
      <w:r>
        <w:rPr>
          <w:spacing w:val="-3"/>
          <w:sz w:val="21"/>
        </w:rPr>
        <w:t>目</w:t>
      </w:r>
      <w:r>
        <w:rPr>
          <w:sz w:val="21"/>
        </w:rPr>
        <w:t>介</w:t>
      </w:r>
      <w:r>
        <w:rPr>
          <w:spacing w:val="-3"/>
          <w:sz w:val="21"/>
        </w:rPr>
        <w:t>入</w:t>
      </w:r>
      <w:r>
        <w:rPr>
          <w:sz w:val="21"/>
        </w:rPr>
        <w:t>治</w:t>
      </w:r>
      <w:r>
        <w:rPr>
          <w:spacing w:val="-5"/>
          <w:sz w:val="21"/>
        </w:rPr>
        <w:t>疗</w:t>
      </w:r>
      <w:r>
        <w:rPr>
          <w:sz w:val="21"/>
        </w:rPr>
        <w:t>室防</w:t>
      </w:r>
      <w:r>
        <w:rPr>
          <w:spacing w:val="-3"/>
          <w:sz w:val="21"/>
        </w:rPr>
        <w:t>护</w:t>
      </w:r>
      <w:r>
        <w:rPr>
          <w:sz w:val="21"/>
        </w:rPr>
        <w:t>屏</w:t>
      </w:r>
      <w:r>
        <w:rPr>
          <w:spacing w:val="-3"/>
          <w:sz w:val="21"/>
        </w:rPr>
        <w:t>蔽</w:t>
      </w:r>
      <w:r>
        <w:rPr>
          <w:sz w:val="21"/>
        </w:rPr>
        <w:t>设</w:t>
      </w:r>
      <w:r>
        <w:rPr>
          <w:spacing w:val="-3"/>
          <w:sz w:val="21"/>
        </w:rPr>
        <w:t>计</w:t>
      </w:r>
      <w:r>
        <w:rPr>
          <w:sz w:val="21"/>
        </w:rPr>
        <w:t>一</w:t>
      </w:r>
      <w:r>
        <w:rPr>
          <w:spacing w:val="-3"/>
          <w:sz w:val="21"/>
        </w:rPr>
        <w:t>览</w:t>
      </w:r>
      <w:r>
        <w:rPr>
          <w:sz w:val="21"/>
        </w:rPr>
        <w:t>表</w:t>
      </w:r>
    </w:p>
    <w:tbl>
      <w:tblPr>
        <w:tblW w:w="0" w:type="auto"/>
        <w:jc w:val="left"/>
        <w:tblInd w:w="2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78"/>
        <w:gridCol w:w="3382"/>
        <w:gridCol w:w="4512"/>
      </w:tblGrid>
      <w:tr>
        <w:trPr>
          <w:trHeight w:val="397" w:hRule="atLeast"/>
        </w:trPr>
        <w:tc>
          <w:tcPr>
            <w:tcW w:w="1078" w:type="dxa"/>
            <w:tcBorders>
              <w:left w:val="nil"/>
              <w:right w:val="single" w:sz="4" w:space="0" w:color="000000"/>
            </w:tcBorders>
          </w:tcPr>
          <w:p>
            <w:pPr>
              <w:pStyle w:val="TableParagraph"/>
              <w:spacing w:before="65"/>
              <w:ind w:left="343"/>
              <w:jc w:val="left"/>
              <w:rPr>
                <w:sz w:val="21"/>
              </w:rPr>
            </w:pPr>
            <w:r>
              <w:rPr>
                <w:sz w:val="21"/>
              </w:rPr>
              <w:t>场所</w:t>
            </w:r>
          </w:p>
        </w:tc>
        <w:tc>
          <w:tcPr>
            <w:tcW w:w="3382" w:type="dxa"/>
            <w:tcBorders>
              <w:left w:val="single" w:sz="4" w:space="0" w:color="000000"/>
              <w:right w:val="single" w:sz="4" w:space="0" w:color="000000"/>
            </w:tcBorders>
          </w:tcPr>
          <w:p>
            <w:pPr>
              <w:pStyle w:val="TableParagraph"/>
              <w:spacing w:before="65"/>
              <w:ind w:left="1053" w:right="1018"/>
              <w:rPr>
                <w:sz w:val="21"/>
              </w:rPr>
            </w:pPr>
            <w:r>
              <w:rPr>
                <w:sz w:val="21"/>
              </w:rPr>
              <w:t>屏蔽防护设计</w:t>
            </w:r>
          </w:p>
        </w:tc>
        <w:tc>
          <w:tcPr>
            <w:tcW w:w="4512" w:type="dxa"/>
            <w:tcBorders>
              <w:left w:val="single" w:sz="4" w:space="0" w:color="000000"/>
              <w:right w:val="nil"/>
            </w:tcBorders>
          </w:tcPr>
          <w:p>
            <w:pPr>
              <w:pStyle w:val="TableParagraph"/>
              <w:spacing w:before="65"/>
              <w:ind w:left="880" w:right="856"/>
              <w:rPr>
                <w:sz w:val="21"/>
              </w:rPr>
            </w:pPr>
            <w:r>
              <w:rPr>
                <w:sz w:val="21"/>
              </w:rPr>
              <w:t>屏蔽设计参数（厚度及材质）</w:t>
            </w:r>
          </w:p>
        </w:tc>
      </w:tr>
      <w:tr>
        <w:trPr>
          <w:trHeight w:val="387" w:hRule="atLeast"/>
        </w:trPr>
        <w:tc>
          <w:tcPr>
            <w:tcW w:w="1078" w:type="dxa"/>
            <w:vMerge w:val="restart"/>
            <w:tcBorders>
              <w:left w:val="nil"/>
              <w:right w:val="single" w:sz="4" w:space="0" w:color="000000"/>
            </w:tcBorders>
          </w:tcPr>
          <w:p>
            <w:pPr>
              <w:pStyle w:val="TableParagraph"/>
              <w:jc w:val="left"/>
              <w:rPr>
                <w:sz w:val="24"/>
              </w:rPr>
            </w:pPr>
          </w:p>
          <w:p>
            <w:pPr>
              <w:pStyle w:val="TableParagraph"/>
              <w:spacing w:line="278" w:lineRule="auto" w:before="168"/>
              <w:ind w:left="237" w:right="199" w:firstLine="105"/>
              <w:jc w:val="left"/>
              <w:rPr>
                <w:sz w:val="21"/>
              </w:rPr>
            </w:pPr>
            <w:r>
              <w:rPr>
                <w:sz w:val="21"/>
              </w:rPr>
              <w:t>介入治疗室</w:t>
            </w:r>
          </w:p>
        </w:tc>
        <w:tc>
          <w:tcPr>
            <w:tcW w:w="3382" w:type="dxa"/>
            <w:tcBorders>
              <w:left w:val="single" w:sz="4" w:space="0" w:color="000000"/>
              <w:bottom w:val="single" w:sz="4" w:space="0" w:color="000000"/>
              <w:right w:val="single" w:sz="4" w:space="0" w:color="000000"/>
            </w:tcBorders>
          </w:tcPr>
          <w:p>
            <w:pPr>
              <w:pStyle w:val="TableParagraph"/>
              <w:spacing w:before="65"/>
              <w:ind w:left="1050" w:right="1018"/>
              <w:rPr>
                <w:sz w:val="21"/>
              </w:rPr>
            </w:pPr>
            <w:r>
              <w:rPr>
                <w:sz w:val="21"/>
              </w:rPr>
              <w:t>四周墙体</w:t>
            </w:r>
          </w:p>
        </w:tc>
        <w:tc>
          <w:tcPr>
            <w:tcW w:w="4512" w:type="dxa"/>
            <w:tcBorders>
              <w:left w:val="single" w:sz="4" w:space="0" w:color="000000"/>
              <w:bottom w:val="single" w:sz="4" w:space="0" w:color="000000"/>
              <w:right w:val="nil"/>
            </w:tcBorders>
          </w:tcPr>
          <w:p>
            <w:pPr>
              <w:pStyle w:val="TableParagraph"/>
              <w:spacing w:before="65"/>
              <w:ind w:left="880" w:right="852"/>
              <w:rPr>
                <w:sz w:val="21"/>
              </w:rPr>
            </w:pPr>
            <w:r>
              <w:rPr>
                <w:rFonts w:ascii="Times New Roman" w:eastAsia="Times New Roman"/>
                <w:sz w:val="21"/>
              </w:rPr>
              <w:t>370mm </w:t>
            </w:r>
            <w:r>
              <w:rPr>
                <w:sz w:val="21"/>
              </w:rPr>
              <w:t>厚实心砖</w:t>
            </w:r>
          </w:p>
        </w:tc>
      </w:tr>
      <w:tr>
        <w:trPr>
          <w:trHeight w:val="291" w:hRule="atLeast"/>
        </w:trPr>
        <w:tc>
          <w:tcPr>
            <w:tcW w:w="1078" w:type="dxa"/>
            <w:vMerge/>
            <w:tcBorders>
              <w:top w:val="nil"/>
              <w:left w:val="nil"/>
              <w:right w:val="single" w:sz="4" w:space="0" w:color="000000"/>
            </w:tcBorders>
          </w:tcPr>
          <w:p>
            <w:pPr>
              <w:rPr>
                <w:sz w:val="2"/>
                <w:szCs w:val="2"/>
              </w:rPr>
            </w:pPr>
          </w:p>
        </w:tc>
        <w:tc>
          <w:tcPr>
            <w:tcW w:w="3382"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1052" w:right="1018"/>
              <w:rPr>
                <w:sz w:val="21"/>
              </w:rPr>
            </w:pPr>
            <w:r>
              <w:rPr>
                <w:sz w:val="21"/>
              </w:rPr>
              <w:t>屋顶</w:t>
            </w:r>
          </w:p>
        </w:tc>
        <w:tc>
          <w:tcPr>
            <w:tcW w:w="4512" w:type="dxa"/>
            <w:tcBorders>
              <w:top w:val="single" w:sz="4" w:space="0" w:color="000000"/>
              <w:left w:val="single" w:sz="4" w:space="0" w:color="000000"/>
              <w:bottom w:val="single" w:sz="4" w:space="0" w:color="000000"/>
              <w:right w:val="nil"/>
            </w:tcBorders>
          </w:tcPr>
          <w:p>
            <w:pPr>
              <w:pStyle w:val="TableParagraph"/>
              <w:spacing w:line="259" w:lineRule="exact" w:before="12"/>
              <w:ind w:left="880" w:right="856"/>
              <w:rPr>
                <w:sz w:val="21"/>
              </w:rPr>
            </w:pPr>
            <w:r>
              <w:rPr>
                <w:sz w:val="21"/>
              </w:rPr>
              <w:t>龙骨钢架</w:t>
            </w:r>
            <w:r>
              <w:rPr>
                <w:rFonts w:ascii="Times New Roman" w:eastAsia="Times New Roman"/>
                <w:sz w:val="21"/>
              </w:rPr>
              <w:t>+3mm </w:t>
            </w:r>
            <w:r>
              <w:rPr>
                <w:sz w:val="21"/>
              </w:rPr>
              <w:t>铅板</w:t>
            </w:r>
          </w:p>
        </w:tc>
      </w:tr>
      <w:tr>
        <w:trPr>
          <w:trHeight w:val="375" w:hRule="atLeast"/>
        </w:trPr>
        <w:tc>
          <w:tcPr>
            <w:tcW w:w="1078" w:type="dxa"/>
            <w:vMerge/>
            <w:tcBorders>
              <w:top w:val="nil"/>
              <w:left w:val="nil"/>
              <w:right w:val="single" w:sz="4" w:space="0" w:color="000000"/>
            </w:tcBorders>
          </w:tcPr>
          <w:p>
            <w:pPr>
              <w:rPr>
                <w:sz w:val="2"/>
                <w:szCs w:val="2"/>
              </w:rPr>
            </w:pPr>
          </w:p>
        </w:tc>
        <w:tc>
          <w:tcPr>
            <w:tcW w:w="3382" w:type="dxa"/>
            <w:tcBorders>
              <w:top w:val="single" w:sz="4" w:space="0" w:color="000000"/>
              <w:left w:val="single" w:sz="4" w:space="0" w:color="000000"/>
              <w:bottom w:val="single" w:sz="4" w:space="0" w:color="000000"/>
              <w:right w:val="single" w:sz="4" w:space="0" w:color="000000"/>
            </w:tcBorders>
          </w:tcPr>
          <w:p>
            <w:pPr>
              <w:pStyle w:val="TableParagraph"/>
              <w:spacing w:before="55"/>
              <w:ind w:left="1052" w:right="1018"/>
              <w:rPr>
                <w:sz w:val="21"/>
              </w:rPr>
            </w:pPr>
            <w:r>
              <w:rPr>
                <w:sz w:val="21"/>
              </w:rPr>
              <w:t>观察窗</w:t>
            </w:r>
          </w:p>
        </w:tc>
        <w:tc>
          <w:tcPr>
            <w:tcW w:w="4512" w:type="dxa"/>
            <w:tcBorders>
              <w:top w:val="single" w:sz="4" w:space="0" w:color="000000"/>
              <w:left w:val="single" w:sz="4" w:space="0" w:color="000000"/>
              <w:bottom w:val="single" w:sz="4" w:space="0" w:color="000000"/>
              <w:right w:val="nil"/>
            </w:tcBorders>
          </w:tcPr>
          <w:p>
            <w:pPr>
              <w:pStyle w:val="TableParagraph"/>
              <w:spacing w:before="55"/>
              <w:ind w:left="880" w:right="856"/>
              <w:rPr>
                <w:sz w:val="21"/>
              </w:rPr>
            </w:pPr>
            <w:r>
              <w:rPr>
                <w:rFonts w:ascii="Times New Roman" w:eastAsia="Times New Roman"/>
                <w:sz w:val="21"/>
              </w:rPr>
              <w:t>3mm </w:t>
            </w:r>
            <w:r>
              <w:rPr>
                <w:sz w:val="21"/>
              </w:rPr>
              <w:t>铅当量（</w:t>
            </w:r>
            <w:r>
              <w:rPr>
                <w:rFonts w:ascii="Times New Roman" w:eastAsia="Times New Roman"/>
                <w:sz w:val="21"/>
              </w:rPr>
              <w:t>2 </w:t>
            </w:r>
            <w:r>
              <w:rPr>
                <w:sz w:val="21"/>
              </w:rPr>
              <w:t>扇）</w:t>
            </w:r>
          </w:p>
        </w:tc>
      </w:tr>
      <w:tr>
        <w:trPr>
          <w:trHeight w:val="387" w:hRule="atLeast"/>
        </w:trPr>
        <w:tc>
          <w:tcPr>
            <w:tcW w:w="1078" w:type="dxa"/>
            <w:vMerge/>
            <w:tcBorders>
              <w:top w:val="nil"/>
              <w:left w:val="nil"/>
              <w:right w:val="single" w:sz="4" w:space="0" w:color="000000"/>
            </w:tcBorders>
          </w:tcPr>
          <w:p>
            <w:pPr>
              <w:rPr>
                <w:sz w:val="2"/>
                <w:szCs w:val="2"/>
              </w:rPr>
            </w:pPr>
          </w:p>
        </w:tc>
        <w:tc>
          <w:tcPr>
            <w:tcW w:w="3382" w:type="dxa"/>
            <w:tcBorders>
              <w:top w:val="single" w:sz="4" w:space="0" w:color="000000"/>
              <w:left w:val="single" w:sz="4" w:space="0" w:color="000000"/>
              <w:right w:val="single" w:sz="4" w:space="0" w:color="000000"/>
            </w:tcBorders>
          </w:tcPr>
          <w:p>
            <w:pPr>
              <w:pStyle w:val="TableParagraph"/>
              <w:spacing w:before="56"/>
              <w:ind w:left="1052" w:right="1018"/>
              <w:rPr>
                <w:sz w:val="21"/>
              </w:rPr>
            </w:pPr>
            <w:r>
              <w:rPr>
                <w:sz w:val="21"/>
              </w:rPr>
              <w:t>防护门</w:t>
            </w:r>
          </w:p>
        </w:tc>
        <w:tc>
          <w:tcPr>
            <w:tcW w:w="4512" w:type="dxa"/>
            <w:tcBorders>
              <w:top w:val="single" w:sz="4" w:space="0" w:color="000000"/>
              <w:left w:val="single" w:sz="4" w:space="0" w:color="000000"/>
              <w:right w:val="nil"/>
            </w:tcBorders>
          </w:tcPr>
          <w:p>
            <w:pPr>
              <w:pStyle w:val="TableParagraph"/>
              <w:spacing w:before="56"/>
              <w:ind w:left="880" w:right="856"/>
              <w:rPr>
                <w:sz w:val="21"/>
              </w:rPr>
            </w:pPr>
            <w:r>
              <w:rPr>
                <w:rFonts w:ascii="Times New Roman" w:eastAsia="Times New Roman"/>
                <w:sz w:val="21"/>
              </w:rPr>
              <w:t>3mm </w:t>
            </w:r>
            <w:r>
              <w:rPr>
                <w:sz w:val="21"/>
              </w:rPr>
              <w:t>铅当量（</w:t>
            </w:r>
            <w:r>
              <w:rPr>
                <w:rFonts w:ascii="Times New Roman" w:eastAsia="Times New Roman"/>
                <w:sz w:val="21"/>
              </w:rPr>
              <w:t>2 </w:t>
            </w:r>
            <w:r>
              <w:rPr>
                <w:sz w:val="21"/>
              </w:rPr>
              <w:t>扇）</w:t>
            </w:r>
          </w:p>
        </w:tc>
      </w:tr>
    </w:tbl>
    <w:p>
      <w:pPr>
        <w:pStyle w:val="BodyText"/>
        <w:spacing w:before="81"/>
        <w:ind w:left="696"/>
      </w:pPr>
      <w:r>
        <w:rPr/>
        <w:t>（二）设备固有安全性</w:t>
      </w:r>
    </w:p>
    <w:p>
      <w:pPr>
        <w:pStyle w:val="BodyText"/>
        <w:spacing w:line="364" w:lineRule="auto" w:before="161"/>
        <w:ind w:left="214" w:right="218" w:firstLine="480"/>
      </w:pPr>
      <w:r>
        <w:rPr>
          <w:spacing w:val="-16"/>
        </w:rPr>
        <w:t>本项目 </w:t>
      </w:r>
      <w:r>
        <w:rPr>
          <w:rFonts w:ascii="Times New Roman" w:eastAsia="Times New Roman"/>
        </w:rPr>
        <w:t>DSA </w:t>
      </w:r>
      <w:r>
        <w:rPr>
          <w:spacing w:val="-4"/>
        </w:rPr>
        <w:t>购置于正规厂家，满足国家质检要求，装置泄露辐射不会超过国家规</w:t>
      </w:r>
      <w:r>
        <w:rPr/>
        <w:t>定的限值。</w:t>
      </w:r>
    </w:p>
    <w:p>
      <w:pPr>
        <w:pStyle w:val="BodyText"/>
        <w:spacing w:before="1"/>
        <w:ind w:left="694"/>
      </w:pPr>
      <w:r>
        <w:rPr/>
        <w:t>此外设备自身采取以下安全防护措施：</w:t>
      </w:r>
    </w:p>
    <w:p>
      <w:pPr>
        <w:pStyle w:val="BodyText"/>
        <w:spacing w:before="161"/>
        <w:ind w:left="694"/>
      </w:pPr>
      <w:r>
        <w:rPr>
          <w:rFonts w:ascii="Times New Roman" w:eastAsia="Times New Roman"/>
        </w:rPr>
        <w:t>1</w:t>
      </w:r>
      <w:r>
        <w:rPr/>
        <w:t>、采用栅控技术：在每次脉冲曝光间隔向旋转阳极加一负电压，抵消曝光脉冲的</w:t>
      </w:r>
    </w:p>
    <w:p>
      <w:pPr>
        <w:spacing w:after="0"/>
        <w:sectPr>
          <w:pgSz w:w="11910" w:h="16840"/>
          <w:pgMar w:header="0" w:footer="881" w:top="1220" w:bottom="1160" w:left="1480" w:right="1020"/>
        </w:sectPr>
      </w:pPr>
    </w:p>
    <w:p>
      <w:pPr>
        <w:pStyle w:val="BodyText"/>
        <w:spacing w:before="100"/>
        <w:ind w:left="214"/>
      </w:pPr>
      <w:r>
        <w:rPr/>
        <w:pict>
          <v:group style="position:absolute;margin-left:79.080002pt;margin-top:62.399937pt;width:459.85pt;height:703pt;mso-position-horizontal-relative:page;mso-position-vertical-relative:page;z-index:-211696" coordorigin="1582,1248" coordsize="9197,14060">
            <v:line style="position:absolute" from="1582,1253" to="10769,1253" stroked="true" strokeweight=".479999pt" strokecolor="#000000">
              <v:stroke dashstyle="solid"/>
            </v:line>
            <v:line style="position:absolute" from="1586,1258" to="1586,15307" stroked="true" strokeweight=".48pt" strokecolor="#000000">
              <v:stroke dashstyle="solid"/>
            </v:line>
            <v:line style="position:absolute" from="1582,15302" to="10769,15302" stroked="true" strokeweight=".479965pt" strokecolor="#000000">
              <v:stroke dashstyle="solid"/>
            </v:line>
            <v:line style="position:absolute" from="10774,1248" to="10774,15307" stroked="true" strokeweight=".480011pt" strokecolor="#000000">
              <v:stroke dashstyle="solid"/>
            </v:line>
            <w10:wrap type="none"/>
          </v:group>
        </w:pict>
      </w:r>
      <w:r>
        <w:rPr/>
        <w:t>启辉与余辉，起到消除软 </w:t>
      </w:r>
      <w:r>
        <w:rPr>
          <w:rFonts w:ascii="Times New Roman" w:eastAsia="Times New Roman"/>
        </w:rPr>
        <w:t>X </w:t>
      </w:r>
      <w:r>
        <w:rPr/>
        <w:t>射线、提高有用线品质并减小脉冲宽度作用。</w:t>
      </w:r>
    </w:p>
    <w:p>
      <w:pPr>
        <w:pStyle w:val="BodyText"/>
        <w:spacing w:line="364" w:lineRule="auto" w:before="161"/>
        <w:ind w:left="214" w:right="218" w:firstLine="480"/>
        <w:jc w:val="both"/>
      </w:pPr>
      <w:r>
        <w:rPr>
          <w:rFonts w:ascii="Times New Roman" w:eastAsia="Times New Roman"/>
        </w:rPr>
        <w:t>2</w:t>
      </w:r>
      <w:r>
        <w:rPr>
          <w:spacing w:val="-14"/>
        </w:rPr>
        <w:t>、采用光谱过滤技术：在 </w:t>
      </w:r>
      <w:r>
        <w:rPr>
          <w:rFonts w:ascii="Times New Roman" w:eastAsia="Times New Roman"/>
        </w:rPr>
        <w:t>X </w:t>
      </w:r>
      <w:r>
        <w:rPr>
          <w:spacing w:val="-3"/>
        </w:rPr>
        <w:t>射线管头或影响增强器的窗口处放置铝过滤板，以多</w:t>
      </w:r>
      <w:r>
        <w:rPr>
          <w:spacing w:val="-16"/>
        </w:rPr>
        <w:t>消除软 </w:t>
      </w:r>
      <w:r>
        <w:rPr>
          <w:rFonts w:ascii="Times New Roman" w:eastAsia="Times New Roman"/>
        </w:rPr>
        <w:t>X </w:t>
      </w:r>
      <w:r>
        <w:rPr>
          <w:spacing w:val="-5"/>
        </w:rPr>
        <w:t>射线以及减少二次散射，优化有用 </w:t>
      </w:r>
      <w:r>
        <w:rPr>
          <w:rFonts w:ascii="Times New Roman" w:eastAsia="Times New Roman"/>
        </w:rPr>
        <w:t>X </w:t>
      </w:r>
      <w:r>
        <w:rPr>
          <w:spacing w:val="-3"/>
        </w:rPr>
        <w:t>射线谱。设备提供适应不同应用场所可</w:t>
      </w:r>
      <w:r>
        <w:rPr/>
        <w:t>以选用的各种形状与规格的准直器隔板和过滤板。</w:t>
      </w:r>
    </w:p>
    <w:p>
      <w:pPr>
        <w:pStyle w:val="BodyText"/>
        <w:spacing w:line="364" w:lineRule="auto" w:before="2"/>
        <w:ind w:left="214" w:right="100" w:firstLine="480"/>
      </w:pPr>
      <w:r>
        <w:rPr>
          <w:rFonts w:ascii="Times New Roman" w:eastAsia="Times New Roman"/>
        </w:rPr>
        <w:t>3</w:t>
      </w:r>
      <w:r>
        <w:rPr>
          <w:spacing w:val="-14"/>
        </w:rPr>
        <w:t>、采用脉冲透视技术：在透视图像数字化基础上实现脉冲透视，改善图像清晰度， </w:t>
      </w:r>
      <w:r>
        <w:rPr/>
        <w:t>并能明显地减少透视剂量。</w:t>
      </w:r>
    </w:p>
    <w:p>
      <w:pPr>
        <w:pStyle w:val="BodyText"/>
        <w:spacing w:line="364" w:lineRule="auto" w:before="1"/>
        <w:ind w:left="214" w:right="189" w:firstLine="480"/>
        <w:jc w:val="both"/>
      </w:pPr>
      <w:r>
        <w:rPr>
          <w:rFonts w:ascii="Times New Roman" w:eastAsia="Times New Roman"/>
        </w:rPr>
        <w:t>4</w:t>
      </w:r>
      <w:r>
        <w:rPr/>
        <w:t>、采用图像冻结技术：每次透视的最后一帧图像被暂时并保留于监视器上显示， 即称之为图像冻结。充分利用此方法可以明显缩短总透视时间，达到减少不必要的照射。</w:t>
      </w:r>
    </w:p>
    <w:p>
      <w:pPr>
        <w:pStyle w:val="BodyText"/>
        <w:spacing w:line="364" w:lineRule="auto" w:before="2"/>
        <w:ind w:left="214" w:right="189" w:firstLine="480"/>
      </w:pPr>
      <w:r>
        <w:rPr>
          <w:rFonts w:ascii="Times New Roman" w:eastAsia="Times New Roman"/>
        </w:rPr>
        <w:t>5</w:t>
      </w:r>
      <w:r>
        <w:rPr/>
        <w:t>、配备相应的表征剂量的指示装置：配备能在线监测表征输出剂量的指示装置， 例如剂量面积乘积（</w:t>
      </w:r>
      <w:r>
        <w:rPr>
          <w:rFonts w:ascii="Times New Roman" w:eastAsia="Times New Roman"/>
        </w:rPr>
        <w:t>DAP</w:t>
      </w:r>
      <w:r>
        <w:rPr/>
        <w:t>）仪等。</w:t>
      </w:r>
    </w:p>
    <w:p>
      <w:pPr>
        <w:pStyle w:val="BodyText"/>
        <w:spacing w:line="364" w:lineRule="auto" w:before="1"/>
        <w:ind w:left="214" w:right="221" w:firstLine="480"/>
      </w:pPr>
      <w:r>
        <w:rPr>
          <w:rFonts w:ascii="Times New Roman" w:eastAsia="Times New Roman"/>
        </w:rPr>
        <w:t>6</w:t>
      </w:r>
      <w:r>
        <w:rPr>
          <w:spacing w:val="-15"/>
        </w:rPr>
        <w:t>、配备辅助防护设施：本项目 </w:t>
      </w:r>
      <w:r>
        <w:rPr>
          <w:rFonts w:ascii="Times New Roman" w:eastAsia="Times New Roman"/>
        </w:rPr>
        <w:t>DSA </w:t>
      </w:r>
      <w:r>
        <w:rPr>
          <w:spacing w:val="-5"/>
        </w:rPr>
        <w:t>配有悬吊铅帘和床下铅帘</w:t>
      </w:r>
      <w:r>
        <w:rPr/>
        <w:t>（</w:t>
      </w:r>
      <w:r>
        <w:rPr>
          <w:spacing w:val="-2"/>
        </w:rPr>
        <w:t>两者的防护铅当量</w:t>
      </w:r>
      <w:r>
        <w:rPr>
          <w:spacing w:val="-21"/>
        </w:rPr>
        <w:t>均为 </w:t>
      </w:r>
      <w:r>
        <w:rPr>
          <w:rFonts w:ascii="Times New Roman" w:eastAsia="Times New Roman"/>
        </w:rPr>
        <w:t>0.5</w:t>
      </w:r>
      <w:r>
        <w:rPr>
          <w:rFonts w:ascii="Times New Roman" w:eastAsia="Times New Roman"/>
          <w:w w:val="99"/>
        </w:rPr>
        <w:t>mm</w:t>
      </w:r>
      <w:r>
        <w:rPr>
          <w:rFonts w:ascii="Times New Roman" w:eastAsia="Times New Roman"/>
        </w:rPr>
        <w:t> </w:t>
      </w:r>
      <w:r>
        <w:rPr/>
        <w:t>铅当量</w:t>
      </w:r>
      <w:r>
        <w:rPr>
          <w:spacing w:val="-120"/>
        </w:rPr>
        <w:t>）</w:t>
      </w:r>
      <w:r>
        <w:rPr/>
        <w:t>，在设备运行中可加强对医护人员的辐射防护。</w:t>
      </w:r>
    </w:p>
    <w:p>
      <w:pPr>
        <w:pStyle w:val="BodyText"/>
        <w:spacing w:line="364" w:lineRule="auto" w:before="1"/>
        <w:ind w:left="214" w:right="218" w:firstLine="480"/>
        <w:jc w:val="both"/>
      </w:pPr>
      <w:r>
        <w:rPr>
          <w:rFonts w:ascii="Times New Roman" w:hAnsi="Times New Roman" w:eastAsia="Times New Roman"/>
        </w:rPr>
        <w:t>7</w:t>
      </w:r>
      <w:r>
        <w:rPr>
          <w:spacing w:val="-18"/>
        </w:rPr>
        <w:t>、正常情况下，必须按规定程序并经控制台确认验证设施无误时，才能由“启动” </w:t>
      </w:r>
      <w:r>
        <w:rPr>
          <w:spacing w:val="-12"/>
        </w:rPr>
        <w:t>键启动照射；同时床体上设置有“紧急停机开关”按钮，一旦发现异常情况，工作人员</w:t>
      </w:r>
      <w:r>
        <w:rPr/>
        <w:t>可立即按下此按钮来停止照射。</w:t>
      </w:r>
    </w:p>
    <w:p>
      <w:pPr>
        <w:pStyle w:val="BodyText"/>
        <w:spacing w:before="2"/>
        <w:ind w:left="696"/>
      </w:pPr>
      <w:r>
        <w:rPr/>
        <w:t>（三）安全装置</w:t>
      </w:r>
      <w:r>
        <w:rPr>
          <w:w w:val="50"/>
        </w:rPr>
        <w:t> </w:t>
      </w:r>
    </w:p>
    <w:p>
      <w:pPr>
        <w:pStyle w:val="ListParagraph"/>
        <w:numPr>
          <w:ilvl w:val="0"/>
          <w:numId w:val="16"/>
        </w:numPr>
        <w:tabs>
          <w:tab w:pos="1296" w:val="left" w:leader="none"/>
        </w:tabs>
        <w:spacing w:line="240" w:lineRule="auto" w:before="160" w:after="0"/>
        <w:ind w:left="1295" w:right="0" w:hanging="601"/>
        <w:jc w:val="left"/>
        <w:rPr>
          <w:sz w:val="24"/>
        </w:rPr>
      </w:pPr>
      <w:r>
        <w:rPr>
          <w:sz w:val="24"/>
        </w:rPr>
        <w:t>门灯联锁：</w:t>
      </w:r>
    </w:p>
    <w:p>
      <w:pPr>
        <w:pStyle w:val="BodyText"/>
        <w:spacing w:line="364" w:lineRule="auto" w:before="161"/>
        <w:ind w:left="214" w:right="218" w:firstLine="480"/>
      </w:pPr>
      <w:r>
        <w:rPr>
          <w:spacing w:val="-8"/>
        </w:rPr>
        <w:t>介入治疗室病人出入防护门顶部应设工作状态指示灯，并与防护门联锁。防护门关</w:t>
      </w:r>
      <w:r>
        <w:rPr/>
        <w:t>闭时，工作状态指示灯亮，以警示人员注意安全；当防护门打开时，指示灯熄灭。</w:t>
      </w:r>
    </w:p>
    <w:p>
      <w:pPr>
        <w:pStyle w:val="ListParagraph"/>
        <w:numPr>
          <w:ilvl w:val="0"/>
          <w:numId w:val="16"/>
        </w:numPr>
        <w:tabs>
          <w:tab w:pos="1296" w:val="left" w:leader="none"/>
        </w:tabs>
        <w:spacing w:line="240" w:lineRule="auto" w:before="1" w:after="0"/>
        <w:ind w:left="1295" w:right="0" w:hanging="601"/>
        <w:jc w:val="left"/>
        <w:rPr>
          <w:sz w:val="24"/>
        </w:rPr>
      </w:pPr>
      <w:r>
        <w:rPr>
          <w:sz w:val="24"/>
        </w:rPr>
        <w:t>急停按钮：</w:t>
      </w:r>
    </w:p>
    <w:p>
      <w:pPr>
        <w:pStyle w:val="BodyText"/>
        <w:spacing w:line="364" w:lineRule="auto" w:before="161"/>
        <w:ind w:left="214" w:right="218" w:firstLine="480"/>
      </w:pPr>
      <w:r>
        <w:rPr>
          <w:spacing w:val="-3"/>
        </w:rPr>
        <w:t>在手术床旁及控制室内设急停按钮</w:t>
      </w:r>
      <w:r>
        <w:rPr/>
        <w:t>（</w:t>
      </w:r>
      <w:r>
        <w:rPr>
          <w:spacing w:val="-16"/>
        </w:rPr>
        <w:t>按钮与 </w:t>
      </w:r>
      <w:r>
        <w:rPr>
          <w:rFonts w:ascii="Times New Roman" w:eastAsia="Times New Roman"/>
        </w:rPr>
        <w:t>X </w:t>
      </w:r>
      <w:r>
        <w:rPr/>
        <w:t>射线系统连接</w:t>
      </w:r>
      <w:r>
        <w:rPr>
          <w:spacing w:val="-120"/>
        </w:rPr>
        <w:t>）</w:t>
      </w:r>
      <w:r>
        <w:rPr>
          <w:spacing w:val="-8"/>
        </w:rPr>
        <w:t>。在射线装置出束过</w:t>
      </w:r>
      <w:r>
        <w:rPr>
          <w:spacing w:val="-3"/>
        </w:rPr>
        <w:t>程中，一旦发现紧急情况，按下急停开关可停止 </w:t>
      </w:r>
      <w:r>
        <w:rPr>
          <w:rFonts w:ascii="Times New Roman" w:eastAsia="Times New Roman"/>
        </w:rPr>
        <w:t>X </w:t>
      </w:r>
      <w:r>
        <w:rPr/>
        <w:t>射线系统出束。</w:t>
      </w:r>
    </w:p>
    <w:p>
      <w:pPr>
        <w:pStyle w:val="ListParagraph"/>
        <w:numPr>
          <w:ilvl w:val="0"/>
          <w:numId w:val="16"/>
        </w:numPr>
        <w:tabs>
          <w:tab w:pos="1296" w:val="left" w:leader="none"/>
        </w:tabs>
        <w:spacing w:line="240" w:lineRule="auto" w:before="1" w:after="0"/>
        <w:ind w:left="1295" w:right="0" w:hanging="601"/>
        <w:jc w:val="left"/>
        <w:rPr>
          <w:sz w:val="24"/>
        </w:rPr>
      </w:pPr>
      <w:r>
        <w:rPr>
          <w:sz w:val="24"/>
        </w:rPr>
        <w:t>警告标识：</w:t>
      </w:r>
    </w:p>
    <w:p>
      <w:pPr>
        <w:pStyle w:val="BodyText"/>
        <w:spacing w:line="364" w:lineRule="auto" w:before="160"/>
        <w:ind w:left="214" w:right="220" w:firstLine="480"/>
      </w:pPr>
      <w:r>
        <w:rPr/>
        <w:t>在病人通道至介入治疗室防护门外、控制室至介入治疗室防护门外及污物通道门外的醒目位置设置“当心电离辐射警告”标志。</w:t>
      </w:r>
    </w:p>
    <w:p>
      <w:pPr>
        <w:pStyle w:val="ListParagraph"/>
        <w:numPr>
          <w:ilvl w:val="0"/>
          <w:numId w:val="16"/>
        </w:numPr>
        <w:tabs>
          <w:tab w:pos="1296" w:val="left" w:leader="none"/>
        </w:tabs>
        <w:spacing w:line="240" w:lineRule="auto" w:before="2" w:after="0"/>
        <w:ind w:left="1295" w:right="0" w:hanging="601"/>
        <w:jc w:val="left"/>
        <w:rPr>
          <w:sz w:val="24"/>
        </w:rPr>
      </w:pPr>
      <w:r>
        <w:rPr>
          <w:sz w:val="24"/>
        </w:rPr>
        <w:t>辐射监测设备：</w:t>
      </w:r>
    </w:p>
    <w:p>
      <w:pPr>
        <w:pStyle w:val="BodyText"/>
        <w:spacing w:before="160"/>
        <w:ind w:left="694"/>
      </w:pPr>
      <w:r>
        <w:rPr/>
        <w:t>医院应配备 </w:t>
      </w:r>
      <w:r>
        <w:rPr>
          <w:rFonts w:ascii="Times New Roman" w:hAnsi="Times New Roman" w:eastAsia="Times New Roman"/>
        </w:rPr>
        <w:t>1 </w:t>
      </w:r>
      <w:r>
        <w:rPr/>
        <w:t>台便携式 </w:t>
      </w:r>
      <w:r>
        <w:rPr>
          <w:rFonts w:ascii="Times New Roman" w:hAnsi="Times New Roman" w:eastAsia="Times New Roman"/>
        </w:rPr>
        <w:t>X‐γ </w:t>
      </w:r>
      <w:r>
        <w:rPr/>
        <w:t>剂量监测仪，用于场所的剂量水平监测。</w:t>
      </w:r>
    </w:p>
    <w:p>
      <w:pPr>
        <w:pStyle w:val="ListParagraph"/>
        <w:numPr>
          <w:ilvl w:val="0"/>
          <w:numId w:val="16"/>
        </w:numPr>
        <w:tabs>
          <w:tab w:pos="1296" w:val="left" w:leader="none"/>
        </w:tabs>
        <w:spacing w:line="364" w:lineRule="auto" w:before="161" w:after="0"/>
        <w:ind w:left="214" w:right="218" w:firstLine="480"/>
        <w:jc w:val="left"/>
        <w:rPr>
          <w:sz w:val="24"/>
        </w:rPr>
      </w:pPr>
      <w:r>
        <w:rPr>
          <w:spacing w:val="-3"/>
          <w:sz w:val="24"/>
        </w:rPr>
        <w:t>医院应每月对射线装置、安全联锁装置、机电设备等辐射防护设施设备进行</w:t>
      </w:r>
      <w:r>
        <w:rPr>
          <w:sz w:val="24"/>
        </w:rPr>
        <w:t>检查，发现问题应及时维护、更换。</w:t>
      </w:r>
    </w:p>
    <w:p>
      <w:pPr>
        <w:spacing w:after="0" w:line="364" w:lineRule="auto"/>
        <w:jc w:val="left"/>
        <w:rPr>
          <w:sz w:val="24"/>
        </w:rPr>
        <w:sectPr>
          <w:footerReference w:type="default" r:id="rId50"/>
          <w:pgSz w:w="11910" w:h="16840"/>
          <w:pgMar w:footer="881" w:header="0" w:top="1220" w:bottom="1080" w:left="1480" w:right="1020"/>
          <w:pgNumType w:start="30"/>
        </w:sectPr>
      </w:pPr>
    </w:p>
    <w:p>
      <w:pPr>
        <w:pStyle w:val="BodyText"/>
        <w:spacing w:before="100"/>
        <w:ind w:left="694"/>
      </w:pPr>
      <w:r>
        <w:rPr/>
        <w:pict>
          <v:group style="position:absolute;margin-left:79.080002pt;margin-top:62.399937pt;width:459.85pt;height:703pt;mso-position-horizontal-relative:page;mso-position-vertical-relative:page;z-index:-211672" coordorigin="1582,1248" coordsize="9197,14060">
            <v:line style="position:absolute" from="1582,1253" to="10769,1253" stroked="true" strokeweight=".479999pt" strokecolor="#000000">
              <v:stroke dashstyle="solid"/>
            </v:line>
            <v:line style="position:absolute" from="1586,1258" to="1586,15307" stroked="true" strokeweight=".48pt" strokecolor="#000000">
              <v:stroke dashstyle="solid"/>
            </v:line>
            <v:line style="position:absolute" from="1582,15302" to="10769,15302" stroked="true" strokeweight=".479965pt" strokecolor="#000000">
              <v:stroke dashstyle="solid"/>
            </v:line>
            <v:line style="position:absolute" from="10774,1248" to="10774,15307" stroked="true" strokeweight=".480011pt" strokecolor="#000000">
              <v:stroke dashstyle="solid"/>
            </v:line>
            <v:shape style="position:absolute;left:1987;top:1737;width:8372;height:4330" type="#_x0000_t75" stroked="false">
              <v:imagedata r:id="rId51" o:title=""/>
            </v:shape>
            <w10:wrap type="none"/>
          </v:group>
        </w:pict>
      </w:r>
      <w:r>
        <w:rPr/>
        <w:t>本项目辐射安全设施布置图见图 </w:t>
      </w:r>
      <w:r>
        <w:rPr>
          <w:rFonts w:ascii="Times New Roman" w:eastAsia="Times New Roman"/>
        </w:rPr>
        <w:t>10-3</w:t>
      </w:r>
      <w:r>
        <w:rPr/>
        <w:t>。</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before="242"/>
        <w:ind w:left="3058" w:right="0" w:firstLine="0"/>
        <w:jc w:val="left"/>
        <w:rPr>
          <w:sz w:val="21"/>
        </w:rPr>
      </w:pPr>
      <w:r>
        <w:rPr>
          <w:spacing w:val="-27"/>
          <w:sz w:val="21"/>
        </w:rPr>
        <w:t>图 </w:t>
      </w:r>
      <w:r>
        <w:rPr>
          <w:rFonts w:ascii="Times New Roman" w:eastAsia="Times New Roman"/>
          <w:sz w:val="21"/>
        </w:rPr>
        <w:t>10-2 </w:t>
      </w:r>
      <w:r>
        <w:rPr>
          <w:spacing w:val="-2"/>
          <w:sz w:val="21"/>
        </w:rPr>
        <w:t>本项目辐射安全设施布置图</w:t>
      </w:r>
    </w:p>
    <w:p>
      <w:pPr>
        <w:pStyle w:val="BodyText"/>
        <w:spacing w:before="102"/>
        <w:ind w:left="696"/>
      </w:pPr>
      <w:r>
        <w:rPr/>
        <w:t>（四）人员的安全防护</w:t>
      </w:r>
    </w:p>
    <w:p>
      <w:pPr>
        <w:pStyle w:val="BodyText"/>
        <w:spacing w:before="160"/>
        <w:ind w:left="694"/>
      </w:pPr>
      <w:r>
        <w:rPr/>
        <w:t>人员主要指本项目辐射工作人员、患者和本次评价范围内的公众。</w:t>
      </w:r>
    </w:p>
    <w:p>
      <w:pPr>
        <w:pStyle w:val="BodyText"/>
        <w:spacing w:before="161"/>
        <w:ind w:left="694"/>
      </w:pPr>
      <w:r>
        <w:rPr/>
        <w:t>（</w:t>
      </w:r>
      <w:r>
        <w:rPr>
          <w:rFonts w:ascii="Times New Roman" w:eastAsia="Times New Roman"/>
        </w:rPr>
        <w:t>1</w:t>
      </w:r>
      <w:r>
        <w:rPr/>
        <w:t>）辐射工作人员的安全防护</w:t>
      </w:r>
    </w:p>
    <w:p>
      <w:pPr>
        <w:pStyle w:val="BodyText"/>
        <w:spacing w:line="364" w:lineRule="auto" w:before="160"/>
        <w:ind w:left="214" w:right="220" w:firstLine="480"/>
        <w:jc w:val="both"/>
      </w:pPr>
      <w:r>
        <w:rPr>
          <w:spacing w:val="-9"/>
        </w:rPr>
        <w:t>为减少辐射工作人员的照射剂量，采取的主要方法有源项控制、屏蔽防护、时间防</w:t>
      </w:r>
      <w:r>
        <w:rPr/>
        <w:t>护和距离防护，多种防护联合运用、合理调节：</w:t>
      </w:r>
    </w:p>
    <w:p>
      <w:pPr>
        <w:pStyle w:val="BodyText"/>
        <w:spacing w:before="2"/>
        <w:ind w:left="934"/>
      </w:pPr>
      <w:r>
        <w:rPr/>
        <w:t>源项控制</w:t>
      </w:r>
    </w:p>
    <w:p>
      <w:pPr>
        <w:pStyle w:val="BodyText"/>
        <w:spacing w:line="364" w:lineRule="auto" w:before="160"/>
        <w:ind w:left="214" w:right="218" w:firstLine="480"/>
        <w:jc w:val="both"/>
      </w:pPr>
      <w:r>
        <w:rPr>
          <w:spacing w:val="-11"/>
        </w:rPr>
        <w:t>在满足治疗要求的前提下，针对不同病人制定最优化的治疗方案，选择能达到治疗</w:t>
      </w:r>
      <w:r>
        <w:rPr>
          <w:spacing w:val="-12"/>
        </w:rPr>
        <w:t>要求最低的射线照射参数，使射线强度最小化，并通过设备的可调限束装置进行参数设</w:t>
      </w:r>
      <w:r>
        <w:rPr/>
        <w:t>置，使装置发射的线束宽度尽量减小，以减少泄漏辐射，避免不必要的照射。</w:t>
      </w:r>
    </w:p>
    <w:p>
      <w:pPr>
        <w:pStyle w:val="BodyText"/>
        <w:spacing w:before="2"/>
        <w:ind w:left="934"/>
      </w:pPr>
      <w:r>
        <w:rPr/>
        <w:t>屏蔽防护</w:t>
      </w:r>
    </w:p>
    <w:p>
      <w:pPr>
        <w:pStyle w:val="BodyText"/>
        <w:spacing w:line="364" w:lineRule="auto" w:before="160"/>
        <w:ind w:left="214" w:right="218" w:firstLine="480"/>
        <w:jc w:val="both"/>
      </w:pPr>
      <w:r>
        <w:rPr>
          <w:spacing w:val="-9"/>
        </w:rPr>
        <w:t>本项目应为从事介入治疗的医生、护士配备了铅橡胶围裙、铅橡胶颈套、铅防护眼镜及介入防护手套等个人防护用品，除介入防护手套外，防护用品和辅助防护设施的铅当量应至少为 </w:t>
      </w:r>
      <w:r>
        <w:rPr>
          <w:rFonts w:ascii="Times New Roman" w:eastAsia="Times New Roman"/>
        </w:rPr>
        <w:t>0.5mm </w:t>
      </w:r>
      <w:r>
        <w:rPr>
          <w:spacing w:val="-4"/>
        </w:rPr>
        <w:t>防护铅当量，介入防护手套铅当量应不小于 </w:t>
      </w:r>
      <w:r>
        <w:rPr>
          <w:rFonts w:ascii="Times New Roman" w:eastAsia="Times New Roman"/>
        </w:rPr>
        <w:t>0.025 mmPb</w:t>
      </w:r>
      <w:r>
        <w:rPr/>
        <w:t>。</w:t>
      </w:r>
    </w:p>
    <w:p>
      <w:pPr>
        <w:pStyle w:val="BodyText"/>
        <w:spacing w:before="2"/>
        <w:ind w:left="934"/>
      </w:pPr>
      <w:r>
        <w:rPr/>
        <w:t>时间防护</w:t>
      </w:r>
    </w:p>
    <w:p>
      <w:pPr>
        <w:pStyle w:val="BodyText"/>
        <w:spacing w:line="364" w:lineRule="auto" w:before="161"/>
        <w:ind w:left="214" w:right="218" w:firstLine="480"/>
        <w:jc w:val="both"/>
      </w:pPr>
      <w:r>
        <w:rPr>
          <w:spacing w:val="-11"/>
        </w:rPr>
        <w:t>在满足治疗要求的前提下，在每次使用射线装置进行治疗之前，根据治疗要求和患</w:t>
      </w:r>
      <w:r>
        <w:rPr>
          <w:spacing w:val="-9"/>
        </w:rPr>
        <w:t>者实际情况制定最优化的治疗方案，选择合理可行尽量低的射线照射参数，以及尽量短</w:t>
      </w:r>
      <w:r>
        <w:rPr>
          <w:spacing w:val="-10"/>
        </w:rPr>
        <w:t>的曝光时间，减少工作人员的受照时间，也避免患者受到额外剂量的照射。另外，对从事介入治疗手术的医生和护士应采取分组制，以避免某一工作人员因长时间操作所致剂量超标。</w:t>
      </w:r>
    </w:p>
    <w:p>
      <w:pPr>
        <w:spacing w:after="0" w:line="364" w:lineRule="auto"/>
        <w:jc w:val="both"/>
        <w:sectPr>
          <w:pgSz w:w="11910" w:h="16840"/>
          <w:pgMar w:header="0" w:footer="881" w:top="1220" w:bottom="1160" w:left="1480" w:right="102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7"/>
        <w:gridCol w:w="852"/>
        <w:gridCol w:w="991"/>
        <w:gridCol w:w="3261"/>
        <w:gridCol w:w="3175"/>
      </w:tblGrid>
      <w:tr>
        <w:trPr>
          <w:trHeight w:val="10607" w:hRule="atLeast"/>
        </w:trPr>
        <w:tc>
          <w:tcPr>
            <w:tcW w:w="9186" w:type="dxa"/>
            <w:gridSpan w:val="5"/>
            <w:tcBorders>
              <w:bottom w:val="single" w:sz="12" w:space="0" w:color="000000"/>
            </w:tcBorders>
          </w:tcPr>
          <w:p>
            <w:pPr>
              <w:pStyle w:val="TableParagraph"/>
              <w:spacing w:before="81"/>
              <w:ind w:left="827"/>
              <w:jc w:val="left"/>
              <w:rPr>
                <w:sz w:val="24"/>
              </w:rPr>
            </w:pPr>
            <w:r>
              <w:rPr>
                <w:sz w:val="24"/>
              </w:rPr>
              <w:t>个人剂量监测</w:t>
            </w:r>
          </w:p>
          <w:p>
            <w:pPr>
              <w:pStyle w:val="TableParagraph"/>
              <w:spacing w:line="364" w:lineRule="auto" w:before="161"/>
              <w:ind w:left="107" w:right="92" w:firstLine="482"/>
              <w:jc w:val="both"/>
              <w:rPr>
                <w:sz w:val="24"/>
              </w:rPr>
            </w:pPr>
            <w:r>
              <w:rPr>
                <w:spacing w:val="-7"/>
                <w:sz w:val="24"/>
              </w:rPr>
              <w:t>根据《职业性外照射个人监测规范</w:t>
            </w:r>
            <w:r>
              <w:rPr>
                <w:spacing w:val="-164"/>
                <w:sz w:val="24"/>
              </w:rPr>
              <w:t>》</w:t>
            </w:r>
            <w:r>
              <w:rPr>
                <w:spacing w:val="2"/>
                <w:sz w:val="24"/>
              </w:rPr>
              <w:t>（</w:t>
            </w:r>
            <w:r>
              <w:rPr>
                <w:spacing w:val="-2"/>
                <w:w w:val="155"/>
                <w:sz w:val="24"/>
              </w:rPr>
              <w:t>G</w:t>
            </w:r>
            <w:r>
              <w:rPr>
                <w:w w:val="133"/>
                <w:sz w:val="24"/>
              </w:rPr>
              <w:t>BZ</w:t>
            </w:r>
            <w:r>
              <w:rPr>
                <w:spacing w:val="2"/>
                <w:sz w:val="24"/>
              </w:rPr>
              <w:t>1</w:t>
            </w:r>
            <w:r>
              <w:rPr>
                <w:sz w:val="24"/>
              </w:rPr>
              <w:t>2</w:t>
            </w:r>
            <w:r>
              <w:rPr>
                <w:spacing w:val="-3"/>
                <w:sz w:val="24"/>
              </w:rPr>
              <w:t>8</w:t>
            </w:r>
            <w:r>
              <w:rPr>
                <w:w w:val="66"/>
                <w:sz w:val="24"/>
              </w:rPr>
              <w:t>-</w:t>
            </w:r>
            <w:r>
              <w:rPr>
                <w:spacing w:val="-3"/>
                <w:sz w:val="24"/>
              </w:rPr>
              <w:t>2</w:t>
            </w:r>
            <w:r>
              <w:rPr>
                <w:sz w:val="24"/>
              </w:rPr>
              <w:t>019</w:t>
            </w:r>
            <w:r>
              <w:rPr>
                <w:spacing w:val="-164"/>
                <w:sz w:val="24"/>
              </w:rPr>
              <w:t>）</w:t>
            </w:r>
            <w:r>
              <w:rPr>
                <w:spacing w:val="2"/>
                <w:sz w:val="24"/>
              </w:rPr>
              <w:t>“</w:t>
            </w:r>
            <w:r>
              <w:rPr>
                <w:sz w:val="24"/>
              </w:rPr>
              <w:t>5</w:t>
            </w:r>
            <w:r>
              <w:rPr>
                <w:w w:val="50"/>
                <w:sz w:val="24"/>
              </w:rPr>
              <w:t>.</w:t>
            </w:r>
            <w:r>
              <w:rPr>
                <w:sz w:val="24"/>
              </w:rPr>
              <w:t>3</w:t>
            </w:r>
            <w:r>
              <w:rPr>
                <w:w w:val="50"/>
                <w:sz w:val="24"/>
              </w:rPr>
              <w:t> </w:t>
            </w:r>
            <w:r>
              <w:rPr>
                <w:spacing w:val="-20"/>
                <w:sz w:val="24"/>
              </w:rPr>
              <w:t> 佩戴</w:t>
            </w:r>
            <w:r>
              <w:rPr>
                <w:spacing w:val="-20"/>
                <w:w w:val="50"/>
                <w:sz w:val="24"/>
              </w:rPr>
              <w:t> </w:t>
            </w:r>
            <w:r>
              <w:rPr>
                <w:spacing w:val="-60"/>
                <w:sz w:val="24"/>
              </w:rPr>
              <w:t> </w:t>
            </w:r>
            <w:r>
              <w:rPr>
                <w:sz w:val="24"/>
              </w:rPr>
              <w:t>5</w:t>
            </w:r>
            <w:r>
              <w:rPr>
                <w:w w:val="50"/>
                <w:sz w:val="24"/>
              </w:rPr>
              <w:t>.</w:t>
            </w:r>
            <w:r>
              <w:rPr>
                <w:sz w:val="24"/>
              </w:rPr>
              <w:t>3</w:t>
            </w:r>
            <w:r>
              <w:rPr>
                <w:w w:val="50"/>
                <w:sz w:val="24"/>
              </w:rPr>
              <w:t>.</w:t>
            </w:r>
            <w:r>
              <w:rPr>
                <w:spacing w:val="-3"/>
                <w:sz w:val="24"/>
              </w:rPr>
              <w:t>2</w:t>
            </w:r>
            <w:r>
              <w:rPr>
                <w:spacing w:val="-15"/>
                <w:sz w:val="24"/>
              </w:rPr>
              <w:t>”中要求“对于如介入放射学、核医学放射药物分装与注射等全身受照不均匀的工作情况，应在铅围裙外锁骨对应的领口位置佩戴剂量计”和“5.3</w:t>
            </w:r>
            <w:r>
              <w:rPr>
                <w:spacing w:val="-34"/>
                <w:sz w:val="24"/>
              </w:rPr>
              <w:t> 佩戴 </w:t>
            </w:r>
            <w:r>
              <w:rPr>
                <w:sz w:val="24"/>
              </w:rPr>
              <w:t>5.3.3</w:t>
            </w:r>
            <w:r>
              <w:rPr>
                <w:spacing w:val="-25"/>
                <w:sz w:val="24"/>
              </w:rPr>
              <w:t>”中 “对于 </w:t>
            </w:r>
            <w:r>
              <w:rPr>
                <w:sz w:val="24"/>
              </w:rPr>
              <w:t>5.3.2</w:t>
            </w:r>
            <w:r>
              <w:rPr>
                <w:spacing w:val="-24"/>
                <w:sz w:val="24"/>
              </w:rPr>
              <w:t> 所述工</w:t>
            </w:r>
            <w:r>
              <w:rPr>
                <w:spacing w:val="-6"/>
                <w:sz w:val="24"/>
              </w:rPr>
              <w:t>作的情况，建议采用双剂量计监测方法</w:t>
            </w:r>
            <w:r>
              <w:rPr>
                <w:spacing w:val="2"/>
                <w:sz w:val="24"/>
              </w:rPr>
              <w:t>（</w:t>
            </w:r>
            <w:r>
              <w:rPr>
                <w:sz w:val="24"/>
              </w:rPr>
              <w:t>在铅围裙内躯干上再佩戴另一个剂量计</w:t>
            </w:r>
            <w:r>
              <w:rPr>
                <w:spacing w:val="-118"/>
                <w:sz w:val="24"/>
              </w:rPr>
              <w:t>）</w:t>
            </w:r>
            <w:r>
              <w:rPr>
                <w:spacing w:val="-11"/>
                <w:sz w:val="24"/>
              </w:rPr>
              <w:t>，且</w:t>
            </w:r>
            <w:r>
              <w:rPr>
                <w:spacing w:val="-15"/>
                <w:sz w:val="24"/>
              </w:rPr>
              <w:t>宜在身体可能受到较大照射的部位佩戴局部”剂量计</w:t>
            </w:r>
            <w:r>
              <w:rPr>
                <w:sz w:val="24"/>
              </w:rPr>
              <w:t>（</w:t>
            </w:r>
            <w:r>
              <w:rPr>
                <w:spacing w:val="-10"/>
                <w:sz w:val="24"/>
              </w:rPr>
              <w:t>如头箍剂量计、腕部剂量计、指环剂量计等</w:t>
            </w:r>
            <w:r>
              <w:rPr>
                <w:spacing w:val="-119"/>
                <w:sz w:val="24"/>
              </w:rPr>
              <w:t>）</w:t>
            </w:r>
            <w:r>
              <w:rPr>
                <w:spacing w:val="-60"/>
                <w:sz w:val="24"/>
              </w:rPr>
              <w:t>”。</w:t>
            </w:r>
            <w:r>
              <w:rPr>
                <w:spacing w:val="-60"/>
                <w:w w:val="50"/>
                <w:sz w:val="24"/>
              </w:rPr>
              <w:t> </w:t>
            </w:r>
          </w:p>
          <w:p>
            <w:pPr>
              <w:pStyle w:val="TableParagraph"/>
              <w:spacing w:line="364" w:lineRule="auto" w:before="3"/>
              <w:ind w:left="107" w:right="94" w:firstLine="480"/>
              <w:jc w:val="both"/>
              <w:rPr>
                <w:sz w:val="24"/>
              </w:rPr>
            </w:pPr>
            <w:r>
              <w:rPr>
                <w:sz w:val="24"/>
              </w:rPr>
              <w:t>本项目辐射工作人员均应配备有个人剂量计（</w:t>
            </w:r>
            <w:r>
              <w:rPr>
                <w:spacing w:val="-2"/>
                <w:sz w:val="24"/>
              </w:rPr>
              <w:t>每名介入治疗医生需配备 </w:t>
            </w:r>
            <w:r>
              <w:rPr>
                <w:rFonts w:ascii="Times New Roman" w:eastAsia="Times New Roman"/>
                <w:sz w:val="24"/>
              </w:rPr>
              <w:t>2</w:t>
            </w:r>
            <w:r>
              <w:rPr>
                <w:rFonts w:ascii="Times New Roman" w:eastAsia="Times New Roman"/>
                <w:spacing w:val="45"/>
                <w:sz w:val="24"/>
              </w:rPr>
              <w:t> </w:t>
            </w:r>
            <w:r>
              <w:rPr>
                <w:spacing w:val="-5"/>
                <w:sz w:val="24"/>
              </w:rPr>
              <w:t>套个人</w:t>
            </w:r>
            <w:r>
              <w:rPr>
                <w:sz w:val="24"/>
              </w:rPr>
              <w:t>剂量计</w:t>
            </w:r>
            <w:r>
              <w:rPr>
                <w:spacing w:val="-120"/>
                <w:sz w:val="24"/>
              </w:rPr>
              <w:t>）</w:t>
            </w:r>
            <w:r>
              <w:rPr>
                <w:spacing w:val="-5"/>
                <w:sz w:val="24"/>
              </w:rPr>
              <w:t>，并要求在上班期间必须佩戴。医院定期</w:t>
            </w:r>
            <w:r>
              <w:rPr>
                <w:sz w:val="24"/>
              </w:rPr>
              <w:t>（每季度一次</w:t>
            </w:r>
            <w:r>
              <w:rPr>
                <w:spacing w:val="-8"/>
                <w:sz w:val="24"/>
              </w:rPr>
              <w:t>）</w:t>
            </w:r>
            <w:r>
              <w:rPr>
                <w:spacing w:val="-2"/>
                <w:sz w:val="24"/>
              </w:rPr>
              <w:t>将个人剂量计送有资</w:t>
            </w:r>
            <w:r>
              <w:rPr>
                <w:sz w:val="24"/>
              </w:rPr>
              <w:t>质单位进行检测，检测结果存入个人剂量档案。</w:t>
            </w:r>
          </w:p>
          <w:p>
            <w:pPr>
              <w:pStyle w:val="TableParagraph"/>
              <w:numPr>
                <w:ilvl w:val="0"/>
                <w:numId w:val="17"/>
              </w:numPr>
              <w:tabs>
                <w:tab w:pos="1206" w:val="left" w:leader="none"/>
              </w:tabs>
              <w:spacing w:line="240" w:lineRule="auto" w:before="2" w:after="0"/>
              <w:ind w:left="1205" w:right="0" w:hanging="601"/>
              <w:jc w:val="left"/>
              <w:rPr>
                <w:sz w:val="24"/>
              </w:rPr>
            </w:pPr>
            <w:r>
              <w:rPr>
                <w:sz w:val="24"/>
              </w:rPr>
              <w:t>患者和陪检者的安全防护</w:t>
            </w:r>
          </w:p>
          <w:p>
            <w:pPr>
              <w:pStyle w:val="TableParagraph"/>
              <w:spacing w:line="364" w:lineRule="auto" w:before="161"/>
              <w:ind w:left="124" w:right="34" w:firstLine="480"/>
              <w:jc w:val="both"/>
              <w:rPr>
                <w:sz w:val="24"/>
              </w:rPr>
            </w:pPr>
            <w:r>
              <w:rPr>
                <w:sz w:val="24"/>
              </w:rPr>
              <w:t>医院应为患者配有防护围裙或方巾等防护用品（</w:t>
            </w:r>
            <w:r>
              <w:rPr>
                <w:spacing w:val="-6"/>
                <w:sz w:val="24"/>
              </w:rPr>
              <w:t>其防护铅当量应不低于 </w:t>
            </w:r>
            <w:r>
              <w:rPr>
                <w:rFonts w:ascii="Times New Roman" w:eastAsia="Times New Roman"/>
                <w:spacing w:val="-3"/>
                <w:sz w:val="24"/>
              </w:rPr>
              <w:t>0.5</w:t>
            </w:r>
            <w:r>
              <w:rPr>
                <w:rFonts w:ascii="Times New Roman" w:eastAsia="Times New Roman"/>
                <w:spacing w:val="-3"/>
                <w:w w:val="99"/>
                <w:sz w:val="24"/>
              </w:rPr>
              <w:t>m</w:t>
            </w:r>
            <w:r>
              <w:rPr>
                <w:rFonts w:ascii="Times New Roman" w:eastAsia="Times New Roman"/>
                <w:spacing w:val="-2"/>
                <w:w w:val="99"/>
                <w:sz w:val="24"/>
              </w:rPr>
              <w:t>m</w:t>
            </w:r>
            <w:r>
              <w:rPr>
                <w:spacing w:val="-123"/>
                <w:sz w:val="24"/>
              </w:rPr>
              <w:t>）</w:t>
            </w:r>
            <w:r>
              <w:rPr>
                <w:spacing w:val="-5"/>
                <w:sz w:val="24"/>
              </w:rPr>
              <w:t>，</w:t>
            </w:r>
            <w:r>
              <w:rPr>
                <w:sz w:val="24"/>
              </w:rPr>
              <w:t>用于患者非照射部位的防护。为陪检者至少配备铅衣，以避免受检者受到不必要的照射。此外，在不影响治疗效果的前提下，保持患者与射线装置靶源尽可能远的距离。</w:t>
            </w:r>
          </w:p>
          <w:p>
            <w:pPr>
              <w:pStyle w:val="TableParagraph"/>
              <w:numPr>
                <w:ilvl w:val="0"/>
                <w:numId w:val="17"/>
              </w:numPr>
              <w:tabs>
                <w:tab w:pos="1206" w:val="left" w:leader="none"/>
              </w:tabs>
              <w:spacing w:line="240" w:lineRule="auto" w:before="1" w:after="0"/>
              <w:ind w:left="1205" w:right="0" w:hanging="601"/>
              <w:jc w:val="left"/>
              <w:rPr>
                <w:sz w:val="24"/>
              </w:rPr>
            </w:pPr>
            <w:r>
              <w:rPr>
                <w:sz w:val="24"/>
              </w:rPr>
              <w:t>介入治疗室周边公众的安全防护</w:t>
            </w:r>
          </w:p>
          <w:p>
            <w:pPr>
              <w:pStyle w:val="TableParagraph"/>
              <w:spacing w:line="364" w:lineRule="auto" w:before="161"/>
              <w:ind w:left="124" w:right="94" w:firstLine="480"/>
              <w:jc w:val="both"/>
              <w:rPr>
                <w:sz w:val="24"/>
              </w:rPr>
            </w:pPr>
            <w:r>
              <w:rPr>
                <w:sz w:val="24"/>
              </w:rPr>
              <w:t>周边公众主要依托放射工作场所的屏蔽墙体、防护门窗和楼板等实体屏蔽设施屏</w:t>
            </w:r>
            <w:r>
              <w:rPr>
                <w:spacing w:val="-14"/>
                <w:sz w:val="24"/>
              </w:rPr>
              <w:t>蔽射线。同时，放射工作场所严格实行辐射防护“两区”管理，在介入治疗室门外设置</w:t>
            </w:r>
            <w:r>
              <w:rPr>
                <w:spacing w:val="-13"/>
                <w:sz w:val="24"/>
              </w:rPr>
              <w:t>工作状态指示灯，张贴醒目的电离辐射警告标志，禁止无关人员进入控制区，以增加公</w:t>
            </w:r>
            <w:r>
              <w:rPr>
                <w:sz w:val="24"/>
              </w:rPr>
              <w:t>众与射线源之间的距离，避免受到不必要的照射。</w:t>
            </w:r>
          </w:p>
          <w:p>
            <w:pPr>
              <w:pStyle w:val="TableParagraph"/>
              <w:numPr>
                <w:ilvl w:val="0"/>
                <w:numId w:val="17"/>
              </w:numPr>
              <w:tabs>
                <w:tab w:pos="1206" w:val="left" w:leader="none"/>
              </w:tabs>
              <w:spacing w:line="240" w:lineRule="auto" w:before="2" w:after="0"/>
              <w:ind w:left="1205" w:right="0" w:hanging="601"/>
              <w:jc w:val="left"/>
              <w:rPr>
                <w:sz w:val="24"/>
              </w:rPr>
            </w:pPr>
            <w:r>
              <w:rPr>
                <w:spacing w:val="-10"/>
                <w:sz w:val="24"/>
              </w:rPr>
              <w:t>与《放射诊断放射防护要求》</w:t>
            </w:r>
            <w:r>
              <w:rPr>
                <w:sz w:val="24"/>
              </w:rPr>
              <w:t>（</w:t>
            </w:r>
            <w:r>
              <w:rPr>
                <w:rFonts w:ascii="Times New Roman" w:eastAsia="Times New Roman"/>
                <w:sz w:val="24"/>
              </w:rPr>
              <w:t>GBZ130-2020</w:t>
            </w:r>
            <w:r>
              <w:rPr>
                <w:sz w:val="24"/>
              </w:rPr>
              <w:t>）要求符合性分析</w:t>
            </w:r>
          </w:p>
          <w:p>
            <w:pPr>
              <w:pStyle w:val="TableParagraph"/>
              <w:spacing w:line="364" w:lineRule="auto" w:before="161"/>
              <w:ind w:left="124" w:right="97" w:firstLine="480"/>
              <w:jc w:val="both"/>
              <w:rPr>
                <w:sz w:val="24"/>
              </w:rPr>
            </w:pPr>
            <w:r>
              <w:rPr>
                <w:spacing w:val="-11"/>
                <w:sz w:val="24"/>
              </w:rPr>
              <w:t>对照《放射诊断放射防护要求》</w:t>
            </w:r>
            <w:r>
              <w:rPr>
                <w:sz w:val="24"/>
              </w:rPr>
              <w:t>（</w:t>
            </w:r>
            <w:r>
              <w:rPr>
                <w:rFonts w:ascii="Times New Roman" w:eastAsia="Times New Roman"/>
                <w:sz w:val="24"/>
              </w:rPr>
              <w:t>GBZ130-2020</w:t>
            </w:r>
            <w:r>
              <w:rPr>
                <w:sz w:val="24"/>
              </w:rPr>
              <w:t>）</w:t>
            </w:r>
            <w:r>
              <w:rPr>
                <w:spacing w:val="-2"/>
                <w:sz w:val="24"/>
              </w:rPr>
              <w:t>中人员安全防护的要求，本项目</w:t>
            </w:r>
            <w:r>
              <w:rPr>
                <w:spacing w:val="-3"/>
                <w:sz w:val="24"/>
              </w:rPr>
              <w:t>针对介入操作采取的人员安全防护措施的符合性分析见表 </w:t>
            </w:r>
            <w:r>
              <w:rPr>
                <w:rFonts w:ascii="Times New Roman" w:eastAsia="Times New Roman"/>
                <w:sz w:val="24"/>
              </w:rPr>
              <w:t>10-3</w:t>
            </w:r>
            <w:r>
              <w:rPr>
                <w:sz w:val="24"/>
              </w:rPr>
              <w:t>。</w:t>
            </w:r>
          </w:p>
          <w:p>
            <w:pPr>
              <w:pStyle w:val="TableParagraph"/>
              <w:spacing w:line="211" w:lineRule="exact"/>
              <w:ind w:left="2114"/>
              <w:jc w:val="left"/>
              <w:rPr>
                <w:sz w:val="21"/>
              </w:rPr>
            </w:pPr>
            <w:r>
              <w:rPr>
                <w:spacing w:val="-27"/>
                <w:sz w:val="21"/>
              </w:rPr>
              <w:t>表 </w:t>
            </w:r>
            <w:r>
              <w:rPr>
                <w:rFonts w:ascii="Times New Roman" w:eastAsia="Times New Roman"/>
                <w:sz w:val="21"/>
              </w:rPr>
              <w:t>10-3</w:t>
            </w:r>
            <w:r>
              <w:rPr>
                <w:rFonts w:ascii="Times New Roman" w:eastAsia="Times New Roman"/>
                <w:spacing w:val="51"/>
                <w:sz w:val="21"/>
              </w:rPr>
              <w:t> </w:t>
            </w:r>
            <w:r>
              <w:rPr>
                <w:spacing w:val="-4"/>
                <w:sz w:val="21"/>
              </w:rPr>
              <w:t>项目采取的介入操作人员安全防护措施符合性</w:t>
            </w:r>
          </w:p>
        </w:tc>
      </w:tr>
      <w:tr>
        <w:trPr>
          <w:trHeight w:val="622" w:hRule="atLeast"/>
        </w:trPr>
        <w:tc>
          <w:tcPr>
            <w:tcW w:w="907" w:type="dxa"/>
            <w:tcBorders>
              <w:top w:val="single" w:sz="12" w:space="0" w:color="000000"/>
              <w:bottom w:val="single" w:sz="12" w:space="0" w:color="000000"/>
            </w:tcBorders>
          </w:tcPr>
          <w:p>
            <w:pPr>
              <w:pStyle w:val="TableParagraph"/>
              <w:spacing w:before="22"/>
              <w:ind w:left="299"/>
              <w:jc w:val="left"/>
              <w:rPr>
                <w:sz w:val="21"/>
              </w:rPr>
            </w:pPr>
            <w:r>
              <w:rPr>
                <w:sz w:val="21"/>
              </w:rPr>
              <w:t>场所</w:t>
            </w:r>
          </w:p>
          <w:p>
            <w:pPr>
              <w:pStyle w:val="TableParagraph"/>
              <w:spacing w:line="269" w:lineRule="exact" w:before="43"/>
              <w:ind w:left="299"/>
              <w:jc w:val="left"/>
              <w:rPr>
                <w:sz w:val="21"/>
              </w:rPr>
            </w:pPr>
            <w:r>
              <w:rPr>
                <w:sz w:val="21"/>
              </w:rPr>
              <w:t>名称</w:t>
            </w:r>
          </w:p>
        </w:tc>
        <w:tc>
          <w:tcPr>
            <w:tcW w:w="1843" w:type="dxa"/>
            <w:gridSpan w:val="2"/>
            <w:tcBorders>
              <w:top w:val="single" w:sz="12" w:space="0" w:color="000000"/>
              <w:bottom w:val="single" w:sz="12" w:space="0" w:color="000000"/>
            </w:tcBorders>
          </w:tcPr>
          <w:p>
            <w:pPr>
              <w:pStyle w:val="TableParagraph"/>
              <w:spacing w:before="178"/>
              <w:ind w:left="691" w:right="681"/>
              <w:rPr>
                <w:sz w:val="21"/>
              </w:rPr>
            </w:pPr>
            <w:r>
              <w:rPr>
                <w:sz w:val="21"/>
              </w:rPr>
              <w:t>分项</w:t>
            </w:r>
          </w:p>
        </w:tc>
        <w:tc>
          <w:tcPr>
            <w:tcW w:w="3261" w:type="dxa"/>
            <w:tcBorders>
              <w:top w:val="single" w:sz="12" w:space="0" w:color="000000"/>
              <w:bottom w:val="single" w:sz="12" w:space="0" w:color="000000"/>
            </w:tcBorders>
          </w:tcPr>
          <w:p>
            <w:pPr>
              <w:pStyle w:val="TableParagraph"/>
              <w:spacing w:before="22"/>
              <w:ind w:left="198" w:right="193"/>
              <w:rPr>
                <w:sz w:val="21"/>
              </w:rPr>
            </w:pPr>
            <w:r>
              <w:rPr>
                <w:sz w:val="21"/>
              </w:rPr>
              <w:t>《放射诊断放射防护要求》</w:t>
            </w:r>
          </w:p>
          <w:p>
            <w:pPr>
              <w:pStyle w:val="TableParagraph"/>
              <w:spacing w:line="269" w:lineRule="exact" w:before="43"/>
              <w:ind w:left="204" w:right="193"/>
              <w:rPr>
                <w:sz w:val="21"/>
              </w:rPr>
            </w:pPr>
            <w:r>
              <w:rPr>
                <w:sz w:val="21"/>
              </w:rPr>
              <w:t>（</w:t>
            </w:r>
            <w:r>
              <w:rPr>
                <w:rFonts w:ascii="Times New Roman" w:eastAsia="Times New Roman"/>
                <w:sz w:val="21"/>
              </w:rPr>
              <w:t>GBZ130-2020</w:t>
            </w:r>
            <w:r>
              <w:rPr>
                <w:sz w:val="21"/>
              </w:rPr>
              <w:t>）要求</w:t>
            </w:r>
          </w:p>
        </w:tc>
        <w:tc>
          <w:tcPr>
            <w:tcW w:w="3175" w:type="dxa"/>
            <w:tcBorders>
              <w:top w:val="single" w:sz="12" w:space="0" w:color="000000"/>
              <w:bottom w:val="single" w:sz="12" w:space="0" w:color="000000"/>
            </w:tcBorders>
          </w:tcPr>
          <w:p>
            <w:pPr>
              <w:pStyle w:val="TableParagraph"/>
              <w:spacing w:before="178"/>
              <w:ind w:left="689"/>
              <w:jc w:val="left"/>
              <w:rPr>
                <w:sz w:val="21"/>
              </w:rPr>
            </w:pPr>
            <w:r>
              <w:rPr>
                <w:sz w:val="21"/>
              </w:rPr>
              <w:t>本项目拟采取措施</w:t>
            </w:r>
          </w:p>
        </w:tc>
      </w:tr>
      <w:tr>
        <w:trPr>
          <w:trHeight w:val="920" w:hRule="atLeast"/>
        </w:trPr>
        <w:tc>
          <w:tcPr>
            <w:tcW w:w="907" w:type="dxa"/>
            <w:vMerge w:val="restart"/>
            <w:tcBorders>
              <w:top w:val="single" w:sz="12" w:space="0" w:color="000000"/>
              <w:bottom w:val="single" w:sz="18" w:space="0" w:color="000000"/>
            </w:tcBorders>
          </w:tcPr>
          <w:p>
            <w:pPr>
              <w:pStyle w:val="TableParagraph"/>
              <w:jc w:val="left"/>
              <w:rPr>
                <w:sz w:val="24"/>
              </w:rPr>
            </w:pPr>
          </w:p>
          <w:p>
            <w:pPr>
              <w:pStyle w:val="TableParagraph"/>
              <w:jc w:val="left"/>
              <w:rPr>
                <w:sz w:val="24"/>
              </w:rPr>
            </w:pPr>
          </w:p>
          <w:p>
            <w:pPr>
              <w:pStyle w:val="TableParagraph"/>
              <w:spacing w:before="9"/>
              <w:jc w:val="left"/>
              <w:rPr>
                <w:sz w:val="27"/>
              </w:rPr>
            </w:pPr>
          </w:p>
          <w:p>
            <w:pPr>
              <w:pStyle w:val="TableParagraph"/>
              <w:spacing w:line="278" w:lineRule="auto"/>
              <w:ind w:left="299" w:right="172"/>
              <w:jc w:val="both"/>
              <w:rPr>
                <w:sz w:val="21"/>
              </w:rPr>
            </w:pPr>
            <w:r>
              <w:rPr>
                <w:sz w:val="21"/>
              </w:rPr>
              <w:t>介入治疗室</w:t>
            </w:r>
          </w:p>
        </w:tc>
        <w:tc>
          <w:tcPr>
            <w:tcW w:w="852" w:type="dxa"/>
            <w:vMerge w:val="restart"/>
            <w:tcBorders>
              <w:top w:val="single" w:sz="12" w:space="0" w:color="000000"/>
            </w:tcBorders>
          </w:tcPr>
          <w:p>
            <w:pPr>
              <w:pStyle w:val="TableParagraph"/>
              <w:jc w:val="left"/>
              <w:rPr>
                <w:sz w:val="24"/>
              </w:rPr>
            </w:pPr>
          </w:p>
          <w:p>
            <w:pPr>
              <w:pStyle w:val="TableParagraph"/>
              <w:spacing w:before="12"/>
              <w:jc w:val="left"/>
              <w:rPr>
                <w:sz w:val="26"/>
              </w:rPr>
            </w:pPr>
          </w:p>
          <w:p>
            <w:pPr>
              <w:pStyle w:val="TableParagraph"/>
              <w:spacing w:line="278" w:lineRule="auto"/>
              <w:ind w:left="107" w:right="98"/>
              <w:jc w:val="left"/>
              <w:rPr>
                <w:sz w:val="21"/>
              </w:rPr>
            </w:pPr>
            <w:r>
              <w:rPr>
                <w:sz w:val="21"/>
              </w:rPr>
              <w:t>辐射工作人员</w:t>
            </w:r>
          </w:p>
        </w:tc>
        <w:tc>
          <w:tcPr>
            <w:tcW w:w="991" w:type="dxa"/>
            <w:tcBorders>
              <w:top w:val="single" w:sz="12" w:space="0" w:color="000000"/>
            </w:tcBorders>
          </w:tcPr>
          <w:p>
            <w:pPr>
              <w:pStyle w:val="TableParagraph"/>
              <w:spacing w:line="278" w:lineRule="auto" w:before="180"/>
              <w:ind w:left="177" w:right="167"/>
              <w:jc w:val="left"/>
              <w:rPr>
                <w:sz w:val="21"/>
              </w:rPr>
            </w:pPr>
            <w:r>
              <w:rPr>
                <w:sz w:val="21"/>
              </w:rPr>
              <w:t>个人防护用品</w:t>
            </w:r>
          </w:p>
        </w:tc>
        <w:tc>
          <w:tcPr>
            <w:tcW w:w="3261" w:type="dxa"/>
            <w:tcBorders>
              <w:top w:val="single" w:sz="12" w:space="0" w:color="000000"/>
            </w:tcBorders>
          </w:tcPr>
          <w:p>
            <w:pPr>
              <w:pStyle w:val="TableParagraph"/>
              <w:spacing w:line="278" w:lineRule="auto" w:before="24"/>
              <w:ind w:left="578" w:right="146" w:hanging="420"/>
              <w:jc w:val="left"/>
              <w:rPr>
                <w:sz w:val="21"/>
              </w:rPr>
            </w:pPr>
            <w:r>
              <w:rPr>
                <w:sz w:val="21"/>
              </w:rPr>
              <w:t>铅橡胶围裙、铅橡胶颈套、铅防护眼镜、介入防护手套</w:t>
            </w:r>
          </w:p>
          <w:p>
            <w:pPr>
              <w:pStyle w:val="TableParagraph"/>
              <w:spacing w:line="251" w:lineRule="exact"/>
              <w:ind w:left="578"/>
              <w:jc w:val="left"/>
              <w:rPr>
                <w:sz w:val="21"/>
              </w:rPr>
            </w:pPr>
            <w:r>
              <w:rPr>
                <w:sz w:val="21"/>
              </w:rPr>
              <w:t>选配：铅橡胶帽子</w:t>
            </w:r>
          </w:p>
        </w:tc>
        <w:tc>
          <w:tcPr>
            <w:tcW w:w="3175" w:type="dxa"/>
            <w:tcBorders>
              <w:top w:val="single" w:sz="12" w:space="0" w:color="000000"/>
            </w:tcBorders>
          </w:tcPr>
          <w:p>
            <w:pPr>
              <w:pStyle w:val="TableParagraph"/>
              <w:spacing w:before="24"/>
              <w:ind w:left="163"/>
              <w:jc w:val="left"/>
              <w:rPr>
                <w:sz w:val="21"/>
              </w:rPr>
            </w:pPr>
            <w:r>
              <w:rPr>
                <w:sz w:val="21"/>
              </w:rPr>
              <w:t>拟配备铅橡胶围裙、铅橡胶颈</w:t>
            </w:r>
          </w:p>
          <w:p>
            <w:pPr>
              <w:pStyle w:val="TableParagraph"/>
              <w:spacing w:line="310" w:lineRule="atLeast" w:before="2"/>
              <w:ind w:left="792" w:right="265" w:hanging="629"/>
              <w:jc w:val="left"/>
              <w:rPr>
                <w:sz w:val="21"/>
              </w:rPr>
            </w:pPr>
            <w:r>
              <w:rPr>
                <w:sz w:val="21"/>
              </w:rPr>
              <w:t>套、铅防护眼镜、介入防护手套、铅橡胶帽子</w:t>
            </w:r>
          </w:p>
        </w:tc>
      </w:tr>
      <w:tr>
        <w:trPr>
          <w:trHeight w:val="900" w:hRule="atLeast"/>
        </w:trPr>
        <w:tc>
          <w:tcPr>
            <w:tcW w:w="907" w:type="dxa"/>
            <w:vMerge/>
            <w:tcBorders>
              <w:top w:val="nil"/>
              <w:bottom w:val="single" w:sz="18" w:space="0" w:color="000000"/>
            </w:tcBorders>
          </w:tcPr>
          <w:p>
            <w:pPr>
              <w:rPr>
                <w:sz w:val="2"/>
                <w:szCs w:val="2"/>
              </w:rPr>
            </w:pPr>
          </w:p>
        </w:tc>
        <w:tc>
          <w:tcPr>
            <w:tcW w:w="852" w:type="dxa"/>
            <w:vMerge/>
            <w:tcBorders>
              <w:top w:val="nil"/>
            </w:tcBorders>
          </w:tcPr>
          <w:p>
            <w:pPr>
              <w:rPr>
                <w:sz w:val="2"/>
                <w:szCs w:val="2"/>
              </w:rPr>
            </w:pPr>
          </w:p>
        </w:tc>
        <w:tc>
          <w:tcPr>
            <w:tcW w:w="991" w:type="dxa"/>
          </w:tcPr>
          <w:p>
            <w:pPr>
              <w:pStyle w:val="TableParagraph"/>
              <w:spacing w:line="278" w:lineRule="auto" w:before="161"/>
              <w:ind w:left="177" w:right="167"/>
              <w:jc w:val="left"/>
              <w:rPr>
                <w:sz w:val="21"/>
              </w:rPr>
            </w:pPr>
            <w:r>
              <w:rPr>
                <w:sz w:val="21"/>
              </w:rPr>
              <w:t>辅助防护设施</w:t>
            </w:r>
          </w:p>
        </w:tc>
        <w:tc>
          <w:tcPr>
            <w:tcW w:w="3261" w:type="dxa"/>
          </w:tcPr>
          <w:p>
            <w:pPr>
              <w:pStyle w:val="TableParagraph"/>
              <w:spacing w:line="278" w:lineRule="auto" w:before="5"/>
              <w:ind w:left="206" w:right="193"/>
              <w:rPr>
                <w:sz w:val="21"/>
              </w:rPr>
            </w:pPr>
            <w:r>
              <w:rPr>
                <w:sz w:val="21"/>
              </w:rPr>
              <w:t>铅悬挂防护屏</w:t>
            </w:r>
            <w:r>
              <w:rPr>
                <w:rFonts w:ascii="Times New Roman" w:eastAsia="Times New Roman"/>
                <w:sz w:val="21"/>
              </w:rPr>
              <w:t>/</w:t>
            </w:r>
            <w:r>
              <w:rPr>
                <w:sz w:val="21"/>
              </w:rPr>
              <w:t>铅防护吊帘</w:t>
            </w:r>
            <w:r>
              <w:rPr>
                <w:rFonts w:ascii="Times New Roman" w:eastAsia="Times New Roman"/>
                <w:sz w:val="21"/>
              </w:rPr>
              <w:t>/</w:t>
            </w:r>
            <w:r>
              <w:rPr>
                <w:sz w:val="21"/>
              </w:rPr>
              <w:t>床侧防护帘</w:t>
            </w:r>
            <w:r>
              <w:rPr>
                <w:rFonts w:ascii="Times New Roman" w:eastAsia="Times New Roman"/>
                <w:sz w:val="21"/>
              </w:rPr>
              <w:t>/</w:t>
            </w:r>
            <w:r>
              <w:rPr>
                <w:sz w:val="21"/>
              </w:rPr>
              <w:t>床侧防护屏</w:t>
            </w:r>
          </w:p>
          <w:p>
            <w:pPr>
              <w:pStyle w:val="TableParagraph"/>
              <w:spacing w:line="251" w:lineRule="exact"/>
              <w:ind w:left="200" w:right="193"/>
              <w:rPr>
                <w:sz w:val="21"/>
              </w:rPr>
            </w:pPr>
            <w:r>
              <w:rPr>
                <w:sz w:val="21"/>
              </w:rPr>
              <w:t>选配：移动铅防护屏风</w:t>
            </w:r>
          </w:p>
        </w:tc>
        <w:tc>
          <w:tcPr>
            <w:tcW w:w="3175" w:type="dxa"/>
          </w:tcPr>
          <w:p>
            <w:pPr>
              <w:pStyle w:val="TableParagraph"/>
              <w:spacing w:line="278" w:lineRule="auto" w:before="161"/>
              <w:ind w:left="1003" w:right="241" w:hanging="867"/>
              <w:jc w:val="left"/>
              <w:rPr>
                <w:sz w:val="21"/>
              </w:rPr>
            </w:pPr>
            <w:r>
              <w:rPr>
                <w:rFonts w:ascii="Times New Roman" w:eastAsia="Times New Roman"/>
                <w:sz w:val="21"/>
              </w:rPr>
              <w:t>DSA </w:t>
            </w:r>
            <w:r>
              <w:rPr>
                <w:sz w:val="21"/>
              </w:rPr>
              <w:t>设备自带铅悬挂防护屏及床侧防护帘</w:t>
            </w:r>
          </w:p>
        </w:tc>
      </w:tr>
      <w:tr>
        <w:trPr>
          <w:trHeight w:val="917" w:hRule="atLeast"/>
        </w:trPr>
        <w:tc>
          <w:tcPr>
            <w:tcW w:w="907" w:type="dxa"/>
            <w:vMerge/>
            <w:tcBorders>
              <w:top w:val="nil"/>
              <w:bottom w:val="single" w:sz="18" w:space="0" w:color="000000"/>
            </w:tcBorders>
          </w:tcPr>
          <w:p>
            <w:pPr>
              <w:rPr>
                <w:sz w:val="2"/>
                <w:szCs w:val="2"/>
              </w:rPr>
            </w:pPr>
          </w:p>
        </w:tc>
        <w:tc>
          <w:tcPr>
            <w:tcW w:w="852" w:type="dxa"/>
            <w:tcBorders>
              <w:bottom w:val="single" w:sz="18" w:space="0" w:color="000000"/>
            </w:tcBorders>
          </w:tcPr>
          <w:p>
            <w:pPr>
              <w:pStyle w:val="TableParagraph"/>
              <w:spacing w:line="278" w:lineRule="auto" w:before="161"/>
              <w:ind w:left="107" w:right="98"/>
              <w:jc w:val="left"/>
              <w:rPr>
                <w:sz w:val="21"/>
              </w:rPr>
            </w:pPr>
            <w:r>
              <w:rPr>
                <w:sz w:val="21"/>
              </w:rPr>
              <w:t>患者和陪检者</w:t>
            </w:r>
          </w:p>
        </w:tc>
        <w:tc>
          <w:tcPr>
            <w:tcW w:w="991" w:type="dxa"/>
            <w:tcBorders>
              <w:bottom w:val="single" w:sz="18" w:space="0" w:color="000000"/>
            </w:tcBorders>
          </w:tcPr>
          <w:p>
            <w:pPr>
              <w:pStyle w:val="TableParagraph"/>
              <w:spacing w:line="278" w:lineRule="auto" w:before="161"/>
              <w:ind w:left="177" w:right="167"/>
              <w:jc w:val="left"/>
              <w:rPr>
                <w:sz w:val="21"/>
              </w:rPr>
            </w:pPr>
            <w:r>
              <w:rPr>
                <w:sz w:val="21"/>
              </w:rPr>
              <w:t>个人防护用品</w:t>
            </w:r>
          </w:p>
        </w:tc>
        <w:tc>
          <w:tcPr>
            <w:tcW w:w="3261" w:type="dxa"/>
            <w:tcBorders>
              <w:bottom w:val="single" w:sz="18" w:space="0" w:color="000000"/>
            </w:tcBorders>
          </w:tcPr>
          <w:p>
            <w:pPr>
              <w:pStyle w:val="TableParagraph"/>
              <w:spacing w:line="278" w:lineRule="auto" w:before="5"/>
              <w:ind w:left="158" w:right="146"/>
              <w:rPr>
                <w:sz w:val="21"/>
              </w:rPr>
            </w:pPr>
            <w:r>
              <w:rPr>
                <w:spacing w:val="-4"/>
                <w:sz w:val="21"/>
              </w:rPr>
              <w:t>铅橡胶性腺防护围裙</w:t>
            </w:r>
            <w:r>
              <w:rPr>
                <w:sz w:val="21"/>
              </w:rPr>
              <w:t>（</w:t>
            </w:r>
            <w:r>
              <w:rPr>
                <w:spacing w:val="-2"/>
                <w:sz w:val="21"/>
              </w:rPr>
              <w:t>方形</w:t>
            </w:r>
            <w:r>
              <w:rPr>
                <w:sz w:val="21"/>
              </w:rPr>
              <w:t>）</w:t>
            </w:r>
            <w:r>
              <w:rPr>
                <w:spacing w:val="-13"/>
                <w:sz w:val="21"/>
              </w:rPr>
              <w:t>或</w:t>
            </w:r>
            <w:r>
              <w:rPr>
                <w:spacing w:val="-3"/>
                <w:sz w:val="21"/>
              </w:rPr>
              <w:t>方巾、铅橡胶颈套</w:t>
            </w:r>
          </w:p>
          <w:p>
            <w:pPr>
              <w:pStyle w:val="TableParagraph"/>
              <w:spacing w:line="268" w:lineRule="exact"/>
              <w:ind w:left="204" w:right="193"/>
              <w:rPr>
                <w:sz w:val="21"/>
              </w:rPr>
            </w:pPr>
            <w:r>
              <w:rPr>
                <w:spacing w:val="-3"/>
                <w:sz w:val="21"/>
              </w:rPr>
              <w:t>选配：铅橡胶帽子</w:t>
            </w:r>
          </w:p>
        </w:tc>
        <w:tc>
          <w:tcPr>
            <w:tcW w:w="3175" w:type="dxa"/>
            <w:tcBorders>
              <w:bottom w:val="single" w:sz="18" w:space="0" w:color="000000"/>
            </w:tcBorders>
          </w:tcPr>
          <w:p>
            <w:pPr>
              <w:pStyle w:val="TableParagraph"/>
              <w:spacing w:before="5"/>
              <w:ind w:left="267"/>
              <w:jc w:val="left"/>
              <w:rPr>
                <w:sz w:val="21"/>
              </w:rPr>
            </w:pPr>
            <w:r>
              <w:rPr>
                <w:sz w:val="21"/>
              </w:rPr>
              <w:t>拟配备铅橡胶性腺防护围裙</w:t>
            </w:r>
          </w:p>
          <w:p>
            <w:pPr>
              <w:pStyle w:val="TableParagraph"/>
              <w:spacing w:line="310" w:lineRule="atLeast" w:before="2"/>
              <w:ind w:left="792" w:right="373" w:hanging="526"/>
              <w:jc w:val="left"/>
              <w:rPr>
                <w:sz w:val="21"/>
              </w:rPr>
            </w:pPr>
            <w:r>
              <w:rPr>
                <w:sz w:val="21"/>
              </w:rPr>
              <w:t>（方形）或方巾、铅橡胶颈套、铅橡胶帽子</w:t>
            </w:r>
          </w:p>
        </w:tc>
      </w:tr>
    </w:tbl>
    <w:p>
      <w:pPr>
        <w:spacing w:after="0" w:line="310" w:lineRule="atLeast"/>
        <w:jc w:val="left"/>
        <w:rPr>
          <w:sz w:val="21"/>
        </w:rPr>
        <w:sectPr>
          <w:pgSz w:w="11910" w:h="16840"/>
          <w:pgMar w:header="0" w:footer="881" w:top="1220" w:bottom="1080" w:left="1480" w:right="1020"/>
        </w:sectPr>
      </w:pPr>
    </w:p>
    <w:p>
      <w:pPr>
        <w:pStyle w:val="BodyText"/>
        <w:spacing w:line="364" w:lineRule="auto" w:before="100"/>
        <w:ind w:left="214" w:right="157" w:firstLine="480"/>
      </w:pPr>
      <w:r>
        <w:rPr/>
        <w:pict>
          <v:group style="position:absolute;margin-left:79.080002pt;margin-top:62.399937pt;width:459.85pt;height:695.05pt;mso-position-horizontal-relative:page;mso-position-vertical-relative:page;z-index:-211648" coordorigin="1582,1248" coordsize="9197,13901">
            <v:line style="position:absolute" from="1582,1253" to="10769,1253" stroked="true" strokeweight=".479999pt" strokecolor="#000000">
              <v:stroke dashstyle="solid"/>
            </v:line>
            <v:line style="position:absolute" from="1586,1258" to="1586,15149" stroked="true" strokeweight=".48pt" strokecolor="#000000">
              <v:stroke dashstyle="solid"/>
            </v:line>
            <v:line style="position:absolute" from="1582,15144" to="10769,15144" stroked="true" strokeweight=".479966pt" strokecolor="#000000">
              <v:stroke dashstyle="solid"/>
            </v:line>
            <v:line style="position:absolute" from="10774,1248" to="10774,15149" stroked="true" strokeweight=".480011pt" strokecolor="#000000">
              <v:stroke dashstyle="solid"/>
            </v:line>
            <w10:wrap type="none"/>
          </v:group>
        </w:pict>
      </w:r>
      <w:r>
        <w:rPr/>
        <w:t>由表 </w:t>
      </w:r>
      <w:r>
        <w:rPr>
          <w:rFonts w:ascii="Times New Roman" w:hAnsi="Times New Roman" w:eastAsia="Times New Roman"/>
        </w:rPr>
        <w:t>10‐3 </w:t>
      </w:r>
      <w:r>
        <w:rPr/>
        <w:t>可知，医院拟配置个人防护用品和辅助防护设施情况满足《放射诊断放射防护要求》（</w:t>
      </w:r>
      <w:r>
        <w:rPr>
          <w:rFonts w:ascii="Times New Roman" w:hAnsi="Times New Roman" w:eastAsia="Times New Roman"/>
        </w:rPr>
        <w:t>GBZ130‐2020</w:t>
      </w:r>
      <w:r>
        <w:rPr/>
        <w:t>）相关要求。</w:t>
      </w:r>
    </w:p>
    <w:p>
      <w:pPr>
        <w:pStyle w:val="BodyText"/>
        <w:spacing w:before="2"/>
        <w:ind w:left="696"/>
      </w:pPr>
      <w:r>
        <w:rPr/>
        <w:t>三、射线装置工作场所安防措施</w:t>
      </w:r>
      <w:r>
        <w:rPr>
          <w:w w:val="50"/>
        </w:rPr>
        <w:t> </w:t>
      </w:r>
    </w:p>
    <w:p>
      <w:pPr>
        <w:pStyle w:val="BodyText"/>
        <w:spacing w:before="160"/>
        <w:ind w:left="694"/>
      </w:pPr>
      <w:r>
        <w:rPr/>
        <w:t>为确保本项目射线装置的使用安全，本项目采取的安全保卫措施见表 </w:t>
      </w:r>
      <w:r>
        <w:rPr>
          <w:rFonts w:ascii="Times New Roman" w:eastAsia="Times New Roman"/>
        </w:rPr>
        <w:t>10-4</w:t>
      </w:r>
      <w:r>
        <w:rPr/>
        <w:t>。</w:t>
      </w:r>
    </w:p>
    <w:p>
      <w:pPr>
        <w:tabs>
          <w:tab w:pos="855" w:val="left" w:leader="none"/>
        </w:tabs>
        <w:spacing w:before="102" w:after="20"/>
        <w:ind w:left="0" w:right="6" w:firstLine="0"/>
        <w:jc w:val="center"/>
        <w:rPr>
          <w:sz w:val="21"/>
        </w:rPr>
      </w:pPr>
      <w:r>
        <w:rPr>
          <w:sz w:val="21"/>
        </w:rPr>
        <w:t>表</w:t>
      </w:r>
      <w:r>
        <w:rPr>
          <w:spacing w:val="-53"/>
          <w:sz w:val="21"/>
        </w:rPr>
        <w:t> </w:t>
      </w:r>
      <w:r>
        <w:rPr>
          <w:rFonts w:ascii="Times New Roman" w:eastAsia="Times New Roman"/>
          <w:sz w:val="21"/>
        </w:rPr>
        <w:t>10-4</w:t>
        <w:tab/>
        <w:t>DSA</w:t>
      </w:r>
      <w:r>
        <w:rPr>
          <w:rFonts w:ascii="Times New Roman" w:eastAsia="Times New Roman"/>
          <w:spacing w:val="1"/>
          <w:sz w:val="21"/>
        </w:rPr>
        <w:t> </w:t>
      </w:r>
      <w:r>
        <w:rPr>
          <w:spacing w:val="-3"/>
          <w:sz w:val="21"/>
        </w:rPr>
        <w:t>工</w:t>
      </w:r>
      <w:r>
        <w:rPr>
          <w:sz w:val="21"/>
        </w:rPr>
        <w:t>作</w:t>
      </w:r>
      <w:r>
        <w:rPr>
          <w:spacing w:val="-3"/>
          <w:sz w:val="21"/>
        </w:rPr>
        <w:t>场</w:t>
      </w:r>
      <w:r>
        <w:rPr>
          <w:sz w:val="21"/>
        </w:rPr>
        <w:t>所</w:t>
      </w:r>
      <w:r>
        <w:rPr>
          <w:spacing w:val="-3"/>
          <w:sz w:val="21"/>
        </w:rPr>
        <w:t>安</w:t>
      </w:r>
      <w:r>
        <w:rPr>
          <w:sz w:val="21"/>
        </w:rPr>
        <w:t>防措</w:t>
      </w:r>
      <w:r>
        <w:rPr>
          <w:spacing w:val="-5"/>
          <w:sz w:val="21"/>
        </w:rPr>
        <w:t>施</w:t>
      </w:r>
      <w:r>
        <w:rPr>
          <w:sz w:val="21"/>
        </w:rPr>
        <w:t>一</w:t>
      </w:r>
      <w:r>
        <w:rPr>
          <w:spacing w:val="-3"/>
          <w:sz w:val="21"/>
        </w:rPr>
        <w:t>览</w:t>
      </w:r>
      <w:r>
        <w:rPr>
          <w:sz w:val="21"/>
        </w:rPr>
        <w:t>表</w:t>
      </w:r>
    </w:p>
    <w:tbl>
      <w:tblPr>
        <w:tblW w:w="0" w:type="auto"/>
        <w:jc w:val="left"/>
        <w:tblInd w:w="2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28"/>
        <w:gridCol w:w="1582"/>
        <w:gridCol w:w="6250"/>
      </w:tblGrid>
      <w:tr>
        <w:trPr>
          <w:trHeight w:val="310" w:hRule="atLeast"/>
        </w:trPr>
        <w:tc>
          <w:tcPr>
            <w:tcW w:w="1128" w:type="dxa"/>
            <w:tcBorders>
              <w:left w:val="nil"/>
              <w:right w:val="single" w:sz="4" w:space="0" w:color="000000"/>
            </w:tcBorders>
          </w:tcPr>
          <w:p>
            <w:pPr>
              <w:pStyle w:val="TableParagraph"/>
              <w:spacing w:line="269" w:lineRule="exact" w:before="22"/>
              <w:ind w:left="158"/>
              <w:jc w:val="left"/>
              <w:rPr>
                <w:sz w:val="21"/>
              </w:rPr>
            </w:pPr>
            <w:r>
              <w:rPr>
                <w:sz w:val="21"/>
              </w:rPr>
              <w:t>工作场所</w:t>
            </w:r>
          </w:p>
        </w:tc>
        <w:tc>
          <w:tcPr>
            <w:tcW w:w="1582" w:type="dxa"/>
            <w:tcBorders>
              <w:left w:val="single" w:sz="4" w:space="0" w:color="000000"/>
              <w:right w:val="single" w:sz="4" w:space="0" w:color="000000"/>
            </w:tcBorders>
          </w:tcPr>
          <w:p>
            <w:pPr>
              <w:pStyle w:val="TableParagraph"/>
              <w:spacing w:line="269" w:lineRule="exact" w:before="22"/>
              <w:ind w:left="148" w:right="120"/>
              <w:rPr>
                <w:sz w:val="21"/>
              </w:rPr>
            </w:pPr>
            <w:r>
              <w:rPr>
                <w:sz w:val="21"/>
              </w:rPr>
              <w:t>措施类别</w:t>
            </w:r>
          </w:p>
        </w:tc>
        <w:tc>
          <w:tcPr>
            <w:tcW w:w="6250" w:type="dxa"/>
            <w:tcBorders>
              <w:left w:val="single" w:sz="4" w:space="0" w:color="000000"/>
              <w:right w:val="nil"/>
            </w:tcBorders>
          </w:tcPr>
          <w:p>
            <w:pPr>
              <w:pStyle w:val="TableParagraph"/>
              <w:spacing w:line="269" w:lineRule="exact" w:before="22"/>
              <w:ind w:left="2695" w:right="2670"/>
              <w:rPr>
                <w:sz w:val="21"/>
              </w:rPr>
            </w:pPr>
            <w:r>
              <w:rPr>
                <w:sz w:val="21"/>
              </w:rPr>
              <w:t>对应措施</w:t>
            </w:r>
          </w:p>
        </w:tc>
      </w:tr>
      <w:tr>
        <w:trPr>
          <w:trHeight w:val="1551" w:hRule="atLeast"/>
        </w:trPr>
        <w:tc>
          <w:tcPr>
            <w:tcW w:w="1128" w:type="dxa"/>
            <w:vMerge w:val="restart"/>
            <w:tcBorders>
              <w:left w:val="nil"/>
              <w:right w:val="single" w:sz="4" w:space="0" w:color="000000"/>
            </w:tcBorders>
          </w:tcPr>
          <w:p>
            <w:pPr>
              <w:pStyle w:val="TableParagraph"/>
              <w:jc w:val="left"/>
              <w:rPr>
                <w:sz w:val="22"/>
              </w:rPr>
            </w:pPr>
          </w:p>
          <w:p>
            <w:pPr>
              <w:pStyle w:val="TableParagraph"/>
              <w:jc w:val="left"/>
              <w:rPr>
                <w:sz w:val="22"/>
              </w:rPr>
            </w:pPr>
          </w:p>
          <w:p>
            <w:pPr>
              <w:pStyle w:val="TableParagraph"/>
              <w:spacing w:before="3"/>
              <w:jc w:val="left"/>
              <w:rPr>
                <w:sz w:val="20"/>
              </w:rPr>
            </w:pPr>
          </w:p>
          <w:p>
            <w:pPr>
              <w:pStyle w:val="TableParagraph"/>
              <w:ind w:left="135" w:right="103"/>
              <w:rPr>
                <w:rFonts w:ascii="Times New Roman"/>
                <w:sz w:val="21"/>
              </w:rPr>
            </w:pPr>
            <w:r>
              <w:rPr>
                <w:rFonts w:ascii="Times New Roman"/>
                <w:sz w:val="21"/>
              </w:rPr>
              <w:t>DSA</w:t>
            </w:r>
          </w:p>
          <w:p>
            <w:pPr>
              <w:pStyle w:val="TableParagraph"/>
              <w:spacing w:before="57"/>
              <w:ind w:left="139" w:right="103"/>
              <w:rPr>
                <w:sz w:val="21"/>
              </w:rPr>
            </w:pPr>
            <w:r>
              <w:rPr>
                <w:sz w:val="21"/>
              </w:rPr>
              <w:t>工作场所</w:t>
            </w:r>
          </w:p>
        </w:tc>
        <w:tc>
          <w:tcPr>
            <w:tcW w:w="1582" w:type="dxa"/>
            <w:tcBorders>
              <w:left w:val="single" w:sz="4" w:space="0" w:color="000000"/>
              <w:bottom w:val="single" w:sz="4" w:space="0" w:color="000000"/>
              <w:right w:val="single" w:sz="4" w:space="0" w:color="000000"/>
            </w:tcBorders>
          </w:tcPr>
          <w:p>
            <w:pPr>
              <w:pStyle w:val="TableParagraph"/>
              <w:jc w:val="left"/>
              <w:rPr>
                <w:sz w:val="24"/>
              </w:rPr>
            </w:pPr>
          </w:p>
          <w:p>
            <w:pPr>
              <w:pStyle w:val="TableParagraph"/>
              <w:spacing w:before="7"/>
              <w:jc w:val="left"/>
              <w:rPr>
                <w:sz w:val="26"/>
              </w:rPr>
            </w:pPr>
          </w:p>
          <w:p>
            <w:pPr>
              <w:pStyle w:val="TableParagraph"/>
              <w:spacing w:before="1"/>
              <w:ind w:left="151" w:right="120"/>
              <w:rPr>
                <w:sz w:val="21"/>
              </w:rPr>
            </w:pPr>
            <w:r>
              <w:rPr>
                <w:sz w:val="21"/>
              </w:rPr>
              <w:t>防盗和防破坏</w:t>
            </w:r>
          </w:p>
        </w:tc>
        <w:tc>
          <w:tcPr>
            <w:tcW w:w="6250" w:type="dxa"/>
            <w:tcBorders>
              <w:left w:val="single" w:sz="4" w:space="0" w:color="000000"/>
              <w:bottom w:val="single" w:sz="4" w:space="0" w:color="000000"/>
              <w:right w:val="nil"/>
            </w:tcBorders>
          </w:tcPr>
          <w:p>
            <w:pPr>
              <w:pStyle w:val="TableParagraph"/>
              <w:spacing w:line="278" w:lineRule="auto" w:before="24"/>
              <w:ind w:left="116" w:right="241" w:firstLine="211"/>
              <w:jc w:val="left"/>
              <w:rPr>
                <w:sz w:val="21"/>
              </w:rPr>
            </w:pPr>
            <w:r>
              <w:rPr>
                <w:sz w:val="21"/>
              </w:rPr>
              <w:t>介入治疗室及附属设施纳入医院日常安保巡逻工作范围，并划入重点区域，加强巡视管理，以防遭到破坏；</w:t>
            </w:r>
          </w:p>
          <w:p>
            <w:pPr>
              <w:pStyle w:val="TableParagraph"/>
              <w:spacing w:line="278" w:lineRule="auto"/>
              <w:ind w:left="116" w:right="241" w:firstLine="211"/>
              <w:jc w:val="left"/>
              <w:rPr>
                <w:sz w:val="21"/>
              </w:rPr>
            </w:pPr>
            <w:r>
              <w:rPr>
                <w:sz w:val="21"/>
              </w:rPr>
              <w:t>安排有专人进行管理和维护，并进行台账记录，一旦发生盗窃事件，并立即向公安机关报案；</w:t>
            </w:r>
          </w:p>
          <w:p>
            <w:pPr>
              <w:pStyle w:val="TableParagraph"/>
              <w:spacing w:line="259" w:lineRule="exact"/>
              <w:ind w:left="328"/>
              <w:jc w:val="left"/>
              <w:rPr>
                <w:sz w:val="21"/>
              </w:rPr>
            </w:pPr>
            <w:r>
              <w:rPr>
                <w:sz w:val="21"/>
              </w:rPr>
              <w:t>机房和邻近房间不得存放易燃、易爆、腐蚀性物品等物品。</w:t>
            </w:r>
          </w:p>
        </w:tc>
      </w:tr>
      <w:tr>
        <w:trPr>
          <w:trHeight w:val="613" w:hRule="atLeast"/>
        </w:trPr>
        <w:tc>
          <w:tcPr>
            <w:tcW w:w="1128" w:type="dxa"/>
            <w:vMerge/>
            <w:tcBorders>
              <w:top w:val="nil"/>
              <w:left w:val="nil"/>
              <w:right w:val="single" w:sz="4" w:space="0" w:color="000000"/>
            </w:tcBorders>
          </w:tcPr>
          <w:p>
            <w:pPr>
              <w:rPr>
                <w:sz w:val="2"/>
                <w:szCs w:val="2"/>
              </w:rPr>
            </w:pPr>
          </w:p>
        </w:tc>
        <w:tc>
          <w:tcPr>
            <w:tcW w:w="1582" w:type="dxa"/>
            <w:tcBorders>
              <w:top w:val="single" w:sz="4" w:space="0" w:color="000000"/>
              <w:left w:val="single" w:sz="4" w:space="0" w:color="000000"/>
              <w:right w:val="single" w:sz="4" w:space="0" w:color="000000"/>
            </w:tcBorders>
          </w:tcPr>
          <w:p>
            <w:pPr>
              <w:pStyle w:val="TableParagraph"/>
              <w:spacing w:before="168"/>
              <w:ind w:left="148" w:right="120"/>
              <w:rPr>
                <w:sz w:val="21"/>
              </w:rPr>
            </w:pPr>
            <w:r>
              <w:rPr>
                <w:sz w:val="21"/>
              </w:rPr>
              <w:t>防射线泄漏</w:t>
            </w:r>
          </w:p>
        </w:tc>
        <w:tc>
          <w:tcPr>
            <w:tcW w:w="6250" w:type="dxa"/>
            <w:tcBorders>
              <w:top w:val="single" w:sz="4" w:space="0" w:color="000000"/>
              <w:left w:val="single" w:sz="4" w:space="0" w:color="000000"/>
              <w:right w:val="nil"/>
            </w:tcBorders>
          </w:tcPr>
          <w:p>
            <w:pPr>
              <w:pStyle w:val="TableParagraph"/>
              <w:spacing w:before="12"/>
              <w:ind w:left="116"/>
              <w:jc w:val="left"/>
              <w:rPr>
                <w:sz w:val="21"/>
              </w:rPr>
            </w:pPr>
            <w:r>
              <w:rPr>
                <w:sz w:val="21"/>
              </w:rPr>
              <w:t>本项目</w:t>
            </w:r>
            <w:r>
              <w:rPr>
                <w:rFonts w:ascii="Times New Roman" w:eastAsia="Times New Roman"/>
                <w:sz w:val="21"/>
              </w:rPr>
              <w:t>DSA </w:t>
            </w:r>
            <w:r>
              <w:rPr>
                <w:sz w:val="21"/>
              </w:rPr>
              <w:t>为自屏蔽装置，购置于正规厂家，出厂时 </w:t>
            </w:r>
            <w:r>
              <w:rPr>
                <w:rFonts w:ascii="Times New Roman" w:eastAsia="Times New Roman"/>
                <w:sz w:val="21"/>
              </w:rPr>
              <w:t>DSA </w:t>
            </w:r>
            <w:r>
              <w:rPr>
                <w:sz w:val="21"/>
              </w:rPr>
              <w:t>的杂散</w:t>
            </w:r>
          </w:p>
          <w:p>
            <w:pPr>
              <w:pStyle w:val="TableParagraph"/>
              <w:spacing w:line="269" w:lineRule="exact" w:before="43"/>
              <w:ind w:left="116"/>
              <w:jc w:val="left"/>
              <w:rPr>
                <w:sz w:val="21"/>
              </w:rPr>
            </w:pPr>
            <w:r>
              <w:rPr>
                <w:sz w:val="21"/>
              </w:rPr>
              <w:t>辐射和泄漏辐射不会超过国家规定的限值。</w:t>
            </w:r>
          </w:p>
        </w:tc>
      </w:tr>
    </w:tbl>
    <w:p>
      <w:pPr>
        <w:pStyle w:val="BodyText"/>
        <w:spacing w:before="81"/>
        <w:ind w:left="696"/>
      </w:pPr>
      <w:r>
        <w:rPr/>
        <w:t>四、辐射安全防护设施对照分析</w:t>
      </w:r>
      <w:r>
        <w:rPr>
          <w:w w:val="50"/>
        </w:rPr>
        <w:t> </w:t>
      </w:r>
    </w:p>
    <w:p>
      <w:pPr>
        <w:pStyle w:val="BodyText"/>
        <w:spacing w:line="364" w:lineRule="auto" w:before="161"/>
        <w:ind w:left="214" w:right="218" w:firstLine="480"/>
        <w:jc w:val="both"/>
      </w:pPr>
      <w:r>
        <w:rPr>
          <w:spacing w:val="-4"/>
        </w:rPr>
        <w:t>根据《环境保护部辐射安全与防护监督检查技术程序</w:t>
      </w:r>
      <w:r>
        <w:rPr/>
        <w:t>（第三版</w:t>
      </w:r>
      <w:r>
        <w:rPr>
          <w:spacing w:val="-120"/>
        </w:rPr>
        <w:t>）</w:t>
      </w:r>
      <w:r>
        <w:rPr>
          <w:spacing w:val="-6"/>
        </w:rPr>
        <w:t>》和《四川省核技</w:t>
      </w:r>
      <w:r>
        <w:rPr/>
        <w:t>术利用辐射安全与防护监督检查大纲</w:t>
      </w:r>
      <w:r>
        <w:rPr>
          <w:spacing w:val="-152"/>
        </w:rPr>
        <w:t>》</w:t>
      </w:r>
      <w:r>
        <w:rPr/>
        <w:t>（川环函[</w:t>
      </w:r>
      <w:r>
        <w:rPr>
          <w:rFonts w:ascii="Times New Roman" w:eastAsia="Times New Roman"/>
        </w:rPr>
        <w:t>2016</w:t>
      </w:r>
      <w:r>
        <w:rPr/>
        <w:t>]</w:t>
      </w:r>
      <w:r>
        <w:rPr>
          <w:rFonts w:ascii="Times New Roman" w:eastAsia="Times New Roman"/>
        </w:rPr>
        <w:t>1400 </w:t>
      </w:r>
      <w:r>
        <w:rPr/>
        <w:t>号</w:t>
      </w:r>
      <w:r>
        <w:rPr>
          <w:spacing w:val="-32"/>
        </w:rPr>
        <w:t>）</w:t>
      </w:r>
      <w:r>
        <w:rPr>
          <w:spacing w:val="-7"/>
        </w:rPr>
        <w:t>的要求，本次评价根据</w:t>
      </w:r>
      <w:r>
        <w:rPr>
          <w:spacing w:val="-3"/>
        </w:rPr>
        <w:t>建设单位采取的辐射安全措施进行了对照分析，具体情况见表 </w:t>
      </w:r>
      <w:r>
        <w:rPr>
          <w:rFonts w:ascii="Times New Roman" w:eastAsia="Times New Roman"/>
        </w:rPr>
        <w:t>10-5</w:t>
      </w:r>
      <w:r>
        <w:rPr/>
        <w:t>。</w:t>
      </w:r>
    </w:p>
    <w:p>
      <w:pPr>
        <w:tabs>
          <w:tab w:pos="859" w:val="left" w:leader="none"/>
        </w:tabs>
        <w:spacing w:line="212" w:lineRule="exact" w:before="0" w:after="20"/>
        <w:ind w:left="0" w:right="1" w:firstLine="0"/>
        <w:jc w:val="center"/>
        <w:rPr>
          <w:sz w:val="21"/>
        </w:rPr>
      </w:pPr>
      <w:r>
        <w:rPr>
          <w:sz w:val="21"/>
        </w:rPr>
        <w:t>表</w:t>
      </w:r>
      <w:r>
        <w:rPr>
          <w:spacing w:val="-53"/>
          <w:sz w:val="21"/>
        </w:rPr>
        <w:t> </w:t>
      </w:r>
      <w:r>
        <w:rPr>
          <w:rFonts w:ascii="Times New Roman" w:eastAsia="Times New Roman"/>
          <w:sz w:val="21"/>
        </w:rPr>
        <w:t>10-5</w:t>
        <w:tab/>
      </w:r>
      <w:r>
        <w:rPr>
          <w:spacing w:val="-3"/>
          <w:sz w:val="21"/>
        </w:rPr>
        <w:t>本</w:t>
      </w:r>
      <w:r>
        <w:rPr>
          <w:sz w:val="21"/>
        </w:rPr>
        <w:t>项</w:t>
      </w:r>
      <w:r>
        <w:rPr>
          <w:spacing w:val="-3"/>
          <w:sz w:val="21"/>
        </w:rPr>
        <w:t>目</w:t>
      </w:r>
      <w:r>
        <w:rPr>
          <w:sz w:val="21"/>
        </w:rPr>
        <w:t>辐</w:t>
      </w:r>
      <w:r>
        <w:rPr>
          <w:spacing w:val="-3"/>
          <w:sz w:val="21"/>
        </w:rPr>
        <w:t>射</w:t>
      </w:r>
      <w:r>
        <w:rPr>
          <w:sz w:val="21"/>
        </w:rPr>
        <w:t>安</w:t>
      </w:r>
      <w:r>
        <w:rPr>
          <w:spacing w:val="-5"/>
          <w:sz w:val="21"/>
        </w:rPr>
        <w:t>全</w:t>
      </w:r>
      <w:r>
        <w:rPr>
          <w:sz w:val="21"/>
        </w:rPr>
        <w:t>防护</w:t>
      </w:r>
      <w:r>
        <w:rPr>
          <w:spacing w:val="-3"/>
          <w:sz w:val="21"/>
        </w:rPr>
        <w:t>设</w:t>
      </w:r>
      <w:r>
        <w:rPr>
          <w:sz w:val="21"/>
        </w:rPr>
        <w:t>施</w:t>
      </w:r>
      <w:r>
        <w:rPr>
          <w:spacing w:val="-3"/>
          <w:sz w:val="21"/>
        </w:rPr>
        <w:t>对</w:t>
      </w:r>
      <w:r>
        <w:rPr>
          <w:sz w:val="21"/>
        </w:rPr>
        <w:t>照</w:t>
      </w:r>
      <w:r>
        <w:rPr>
          <w:spacing w:val="-3"/>
          <w:sz w:val="21"/>
        </w:rPr>
        <w:t>分</w:t>
      </w:r>
      <w:r>
        <w:rPr>
          <w:sz w:val="21"/>
        </w:rPr>
        <w:t>析表</w:t>
      </w:r>
    </w:p>
    <w:tbl>
      <w:tblPr>
        <w:tblW w:w="0" w:type="auto"/>
        <w:jc w:val="left"/>
        <w:tblInd w:w="2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3"/>
        <w:gridCol w:w="991"/>
        <w:gridCol w:w="4541"/>
        <w:gridCol w:w="1440"/>
        <w:gridCol w:w="1344"/>
      </w:tblGrid>
      <w:tr>
        <w:trPr>
          <w:trHeight w:val="313" w:hRule="atLeast"/>
        </w:trPr>
        <w:tc>
          <w:tcPr>
            <w:tcW w:w="1634" w:type="dxa"/>
            <w:gridSpan w:val="2"/>
            <w:tcBorders>
              <w:left w:val="nil"/>
              <w:right w:val="single" w:sz="4" w:space="0" w:color="000000"/>
            </w:tcBorders>
          </w:tcPr>
          <w:p>
            <w:pPr>
              <w:pStyle w:val="TableParagraph"/>
              <w:spacing w:line="269" w:lineRule="exact" w:before="24"/>
              <w:ind w:left="600" w:right="569"/>
              <w:rPr>
                <w:sz w:val="21"/>
              </w:rPr>
            </w:pPr>
            <w:r>
              <w:rPr>
                <w:sz w:val="21"/>
              </w:rPr>
              <w:t>项目</w:t>
            </w:r>
          </w:p>
        </w:tc>
        <w:tc>
          <w:tcPr>
            <w:tcW w:w="4541" w:type="dxa"/>
            <w:tcBorders>
              <w:left w:val="single" w:sz="4" w:space="0" w:color="000000"/>
              <w:right w:val="single" w:sz="4" w:space="0" w:color="000000"/>
            </w:tcBorders>
          </w:tcPr>
          <w:p>
            <w:pPr>
              <w:pStyle w:val="TableParagraph"/>
              <w:spacing w:line="269" w:lineRule="exact" w:before="24"/>
              <w:ind w:left="476" w:right="444"/>
              <w:rPr>
                <w:sz w:val="21"/>
              </w:rPr>
            </w:pPr>
            <w:r>
              <w:rPr>
                <w:sz w:val="21"/>
              </w:rPr>
              <w:t>应具备条件</w:t>
            </w:r>
          </w:p>
        </w:tc>
        <w:tc>
          <w:tcPr>
            <w:tcW w:w="1440" w:type="dxa"/>
            <w:tcBorders>
              <w:left w:val="single" w:sz="4" w:space="0" w:color="000000"/>
              <w:right w:val="single" w:sz="4" w:space="0" w:color="000000"/>
            </w:tcBorders>
          </w:tcPr>
          <w:p>
            <w:pPr>
              <w:pStyle w:val="TableParagraph"/>
              <w:spacing w:line="269" w:lineRule="exact" w:before="24"/>
              <w:ind w:left="288" w:right="261"/>
              <w:rPr>
                <w:sz w:val="21"/>
              </w:rPr>
            </w:pPr>
            <w:r>
              <w:rPr>
                <w:sz w:val="21"/>
              </w:rPr>
              <w:t>落实情况</w:t>
            </w:r>
          </w:p>
        </w:tc>
        <w:tc>
          <w:tcPr>
            <w:tcW w:w="1344" w:type="dxa"/>
            <w:tcBorders>
              <w:left w:val="single" w:sz="4" w:space="0" w:color="000000"/>
              <w:right w:val="nil"/>
            </w:tcBorders>
          </w:tcPr>
          <w:p>
            <w:pPr>
              <w:pStyle w:val="TableParagraph"/>
              <w:spacing w:line="269" w:lineRule="exact" w:before="24"/>
              <w:ind w:left="31" w:right="7"/>
              <w:rPr>
                <w:sz w:val="21"/>
              </w:rPr>
            </w:pPr>
            <w:r>
              <w:rPr>
                <w:sz w:val="21"/>
              </w:rPr>
              <w:t>要求新增措施</w:t>
            </w:r>
          </w:p>
        </w:tc>
      </w:tr>
      <w:tr>
        <w:trPr>
          <w:trHeight w:val="301" w:hRule="atLeast"/>
        </w:trPr>
        <w:tc>
          <w:tcPr>
            <w:tcW w:w="643" w:type="dxa"/>
            <w:vMerge w:val="restart"/>
            <w:tcBorders>
              <w:left w:val="nil"/>
              <w:right w:val="single" w:sz="4" w:space="0" w:color="000000"/>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5"/>
              <w:jc w:val="left"/>
              <w:rPr>
                <w:sz w:val="31"/>
              </w:rPr>
            </w:pPr>
          </w:p>
          <w:p>
            <w:pPr>
              <w:pStyle w:val="TableParagraph"/>
              <w:ind w:left="122"/>
              <w:jc w:val="left"/>
              <w:rPr>
                <w:rFonts w:ascii="Times New Roman"/>
                <w:sz w:val="21"/>
              </w:rPr>
            </w:pPr>
            <w:r>
              <w:rPr>
                <w:rFonts w:ascii="Times New Roman"/>
                <w:sz w:val="21"/>
              </w:rPr>
              <w:t>DSA</w:t>
            </w:r>
          </w:p>
          <w:p>
            <w:pPr>
              <w:pStyle w:val="TableParagraph"/>
              <w:spacing w:before="57"/>
              <w:ind w:left="122"/>
              <w:jc w:val="left"/>
              <w:rPr>
                <w:sz w:val="21"/>
              </w:rPr>
            </w:pPr>
            <w:r>
              <w:rPr>
                <w:sz w:val="21"/>
              </w:rPr>
              <w:t>项目</w:t>
            </w:r>
          </w:p>
        </w:tc>
        <w:tc>
          <w:tcPr>
            <w:tcW w:w="991" w:type="dxa"/>
            <w:vMerge w:val="restart"/>
            <w:tcBorders>
              <w:left w:val="single" w:sz="4" w:space="0" w:color="000000"/>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spacing w:before="2"/>
              <w:jc w:val="left"/>
              <w:rPr>
                <w:sz w:val="29"/>
              </w:rPr>
            </w:pPr>
          </w:p>
          <w:p>
            <w:pPr>
              <w:pStyle w:val="TableParagraph"/>
              <w:spacing w:before="1"/>
              <w:ind w:left="84"/>
              <w:jc w:val="left"/>
              <w:rPr>
                <w:sz w:val="21"/>
              </w:rPr>
            </w:pPr>
            <w:r>
              <w:rPr>
                <w:sz w:val="21"/>
              </w:rPr>
              <w:t>场所设施</w:t>
            </w:r>
          </w:p>
        </w:tc>
        <w:tc>
          <w:tcPr>
            <w:tcW w:w="4541" w:type="dxa"/>
            <w:tcBorders>
              <w:left w:val="single" w:sz="4" w:space="0" w:color="000000"/>
              <w:bottom w:val="single" w:sz="4" w:space="0" w:color="000000"/>
              <w:right w:val="single" w:sz="4" w:space="0" w:color="000000"/>
            </w:tcBorders>
          </w:tcPr>
          <w:p>
            <w:pPr>
              <w:pStyle w:val="TableParagraph"/>
              <w:spacing w:line="259" w:lineRule="exact" w:before="22"/>
              <w:ind w:left="476" w:right="445"/>
              <w:rPr>
                <w:sz w:val="21"/>
              </w:rPr>
            </w:pPr>
            <w:r>
              <w:rPr>
                <w:sz w:val="21"/>
              </w:rPr>
              <w:t>机房墙体、屋顶、门窗等实体防护措施</w:t>
            </w:r>
          </w:p>
        </w:tc>
        <w:tc>
          <w:tcPr>
            <w:tcW w:w="1440" w:type="dxa"/>
            <w:tcBorders>
              <w:left w:val="single" w:sz="4" w:space="0" w:color="000000"/>
              <w:bottom w:val="single" w:sz="4" w:space="0" w:color="000000"/>
              <w:right w:val="single" w:sz="4" w:space="0" w:color="000000"/>
            </w:tcBorders>
          </w:tcPr>
          <w:p>
            <w:pPr>
              <w:pStyle w:val="TableParagraph"/>
              <w:spacing w:line="259" w:lineRule="exact" w:before="22"/>
              <w:ind w:left="288" w:right="216"/>
              <w:rPr>
                <w:sz w:val="21"/>
              </w:rPr>
            </w:pPr>
            <w:r>
              <w:rPr>
                <w:sz w:val="21"/>
              </w:rPr>
              <w:t>拟配备</w:t>
            </w:r>
          </w:p>
        </w:tc>
        <w:tc>
          <w:tcPr>
            <w:tcW w:w="1344" w:type="dxa"/>
            <w:tcBorders>
              <w:left w:val="single" w:sz="4" w:space="0" w:color="000000"/>
              <w:bottom w:val="single" w:sz="4" w:space="0" w:color="000000"/>
              <w:right w:val="nil"/>
            </w:tcBorders>
          </w:tcPr>
          <w:p>
            <w:pPr>
              <w:pStyle w:val="TableParagraph"/>
              <w:spacing w:before="36"/>
              <w:ind w:left="23"/>
              <w:rPr>
                <w:rFonts w:ascii="Times New Roman"/>
                <w:sz w:val="21"/>
              </w:rPr>
            </w:pPr>
            <w:r>
              <w:rPr>
                <w:rFonts w:ascii="Times New Roman"/>
                <w:w w:val="100"/>
                <w:sz w:val="21"/>
              </w:rPr>
              <w:t>/</w:t>
            </w:r>
          </w:p>
        </w:tc>
      </w:tr>
      <w:tr>
        <w:trPr>
          <w:trHeight w:val="294"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476" w:right="444"/>
              <w:rPr>
                <w:sz w:val="21"/>
              </w:rPr>
            </w:pPr>
            <w:r>
              <w:rPr>
                <w:sz w:val="21"/>
              </w:rPr>
              <w:t>通风设施</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288" w:right="216"/>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9"/>
              <w:ind w:left="23"/>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5" w:right="445"/>
              <w:rPr>
                <w:sz w:val="21"/>
              </w:rPr>
            </w:pPr>
            <w:r>
              <w:rPr>
                <w:sz w:val="21"/>
              </w:rPr>
              <w:t>紧急停机开关</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16"/>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3"/>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6" w:right="444"/>
              <w:rPr>
                <w:sz w:val="21"/>
              </w:rPr>
            </w:pPr>
            <w:r>
              <w:rPr>
                <w:sz w:val="21"/>
              </w:rPr>
              <w:t>门灯连锁</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16"/>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3"/>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6" w:right="444"/>
              <w:rPr>
                <w:sz w:val="21"/>
              </w:rPr>
            </w:pPr>
            <w:r>
              <w:rPr>
                <w:sz w:val="21"/>
              </w:rPr>
              <w:t>对讲系统</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16"/>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3"/>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3" w:right="445"/>
              <w:rPr>
                <w:sz w:val="21"/>
              </w:rPr>
            </w:pPr>
            <w:r>
              <w:rPr>
                <w:sz w:val="21"/>
              </w:rPr>
              <w:t>入口处电离辐射警告标志</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16"/>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3"/>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6" w:right="444"/>
              <w:rPr>
                <w:sz w:val="21"/>
              </w:rPr>
            </w:pPr>
            <w:r>
              <w:rPr>
                <w:sz w:val="21"/>
              </w:rPr>
              <w:t>入口处工作状态显示</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16"/>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3"/>
              <w:rPr>
                <w:rFonts w:ascii="Times New Roman"/>
                <w:sz w:val="21"/>
              </w:rPr>
            </w:pPr>
            <w:r>
              <w:rPr>
                <w:rFonts w:ascii="Times New Roman"/>
                <w:w w:val="100"/>
                <w:sz w:val="21"/>
              </w:rPr>
              <w:t>/</w:t>
            </w:r>
          </w:p>
        </w:tc>
      </w:tr>
      <w:tr>
        <w:trPr>
          <w:trHeight w:val="294" w:hRule="atLeast"/>
        </w:trPr>
        <w:tc>
          <w:tcPr>
            <w:tcW w:w="643" w:type="dxa"/>
            <w:vMerge/>
            <w:tcBorders>
              <w:top w:val="nil"/>
              <w:left w:val="nil"/>
              <w:right w:val="single" w:sz="4" w:space="0" w:color="000000"/>
            </w:tcBorders>
          </w:tcPr>
          <w:p>
            <w:pPr>
              <w:rPr>
                <w:sz w:val="2"/>
                <w:szCs w:val="2"/>
              </w:rPr>
            </w:pPr>
          </w:p>
        </w:tc>
        <w:tc>
          <w:tcPr>
            <w:tcW w:w="99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
              <w:jc w:val="left"/>
              <w:rPr>
                <w:sz w:val="26"/>
              </w:rPr>
            </w:pPr>
          </w:p>
          <w:p>
            <w:pPr>
              <w:pStyle w:val="TableParagraph"/>
              <w:ind w:left="84"/>
              <w:jc w:val="left"/>
              <w:rPr>
                <w:sz w:val="21"/>
              </w:rPr>
            </w:pPr>
            <w:r>
              <w:rPr>
                <w:sz w:val="21"/>
              </w:rPr>
              <w:t>监测设备</w:t>
            </w: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476" w:right="444"/>
              <w:rPr>
                <w:sz w:val="21"/>
              </w:rPr>
            </w:pPr>
            <w:r>
              <w:rPr>
                <w:sz w:val="21"/>
              </w:rPr>
              <w:t>便携式辐射监测仪</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288" w:right="259"/>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9"/>
              <w:ind w:left="26"/>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6" w:right="444"/>
              <w:rPr>
                <w:sz w:val="21"/>
              </w:rPr>
            </w:pPr>
            <w:r>
              <w:rPr>
                <w:sz w:val="21"/>
              </w:rPr>
              <w:t>个人剂量计</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59"/>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6"/>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5" w:right="445"/>
              <w:rPr>
                <w:sz w:val="21"/>
              </w:rPr>
            </w:pPr>
            <w:r>
              <w:rPr>
                <w:sz w:val="21"/>
              </w:rPr>
              <w:t>个人剂量报警仪</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59"/>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6"/>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val="restart"/>
            <w:tcBorders>
              <w:top w:val="single" w:sz="4" w:space="0" w:color="000000"/>
              <w:left w:val="single" w:sz="4" w:space="0" w:color="000000"/>
              <w:right w:val="single" w:sz="4" w:space="0" w:color="000000"/>
            </w:tcBorders>
          </w:tcPr>
          <w:p>
            <w:pPr>
              <w:pStyle w:val="TableParagraph"/>
              <w:spacing w:before="1"/>
              <w:jc w:val="left"/>
              <w:rPr>
                <w:sz w:val="26"/>
              </w:rPr>
            </w:pPr>
          </w:p>
          <w:p>
            <w:pPr>
              <w:pStyle w:val="TableParagraph"/>
              <w:ind w:left="84"/>
              <w:jc w:val="left"/>
              <w:rPr>
                <w:sz w:val="21"/>
              </w:rPr>
            </w:pPr>
            <w:r>
              <w:rPr>
                <w:sz w:val="21"/>
              </w:rPr>
              <w:t>个人防护</w:t>
            </w: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6" w:right="444"/>
              <w:rPr>
                <w:sz w:val="21"/>
              </w:rPr>
            </w:pPr>
            <w:r>
              <w:rPr>
                <w:sz w:val="21"/>
              </w:rPr>
              <w:t>医护人员个人防护</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59"/>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6"/>
              <w:rPr>
                <w:rFonts w:ascii="Times New Roman"/>
                <w:sz w:val="21"/>
              </w:rPr>
            </w:pPr>
            <w:r>
              <w:rPr>
                <w:rFonts w:ascii="Times New Roman"/>
                <w:w w:val="100"/>
                <w:sz w:val="21"/>
              </w:rPr>
              <w:t>/</w:t>
            </w:r>
          </w:p>
        </w:tc>
      </w:tr>
      <w:tr>
        <w:trPr>
          <w:trHeight w:val="291"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right w:val="single" w:sz="4" w:space="0" w:color="000000"/>
            </w:tcBorders>
          </w:tcPr>
          <w:p>
            <w:pPr>
              <w:rPr>
                <w:sz w:val="2"/>
                <w:szCs w:val="2"/>
              </w:rPr>
            </w:pPr>
          </w:p>
        </w:tc>
        <w:tc>
          <w:tcPr>
            <w:tcW w:w="4541"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76" w:right="444"/>
              <w:rPr>
                <w:sz w:val="21"/>
              </w:rPr>
            </w:pPr>
            <w:r>
              <w:rPr>
                <w:sz w:val="21"/>
              </w:rPr>
              <w:t>患者防护</w:t>
            </w:r>
          </w:p>
        </w:tc>
        <w:tc>
          <w:tcPr>
            <w:tcW w:w="1440"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8" w:right="259"/>
              <w:rPr>
                <w:sz w:val="21"/>
              </w:rPr>
            </w:pPr>
            <w:r>
              <w:rPr>
                <w:sz w:val="21"/>
              </w:rPr>
              <w:t>拟配备</w:t>
            </w:r>
          </w:p>
        </w:tc>
        <w:tc>
          <w:tcPr>
            <w:tcW w:w="1344" w:type="dxa"/>
            <w:tcBorders>
              <w:top w:val="single" w:sz="4" w:space="0" w:color="000000"/>
              <w:left w:val="single" w:sz="4" w:space="0" w:color="000000"/>
              <w:bottom w:val="single" w:sz="4" w:space="0" w:color="000000"/>
              <w:right w:val="nil"/>
            </w:tcBorders>
          </w:tcPr>
          <w:p>
            <w:pPr>
              <w:pStyle w:val="TableParagraph"/>
              <w:spacing w:before="26"/>
              <w:ind w:left="26"/>
              <w:rPr>
                <w:rFonts w:ascii="Times New Roman"/>
                <w:sz w:val="21"/>
              </w:rPr>
            </w:pPr>
            <w:r>
              <w:rPr>
                <w:rFonts w:ascii="Times New Roman"/>
                <w:w w:val="100"/>
                <w:sz w:val="21"/>
              </w:rPr>
              <w:t>/</w:t>
            </w:r>
          </w:p>
        </w:tc>
      </w:tr>
      <w:tr>
        <w:trPr>
          <w:trHeight w:val="303" w:hRule="atLeast"/>
        </w:trPr>
        <w:tc>
          <w:tcPr>
            <w:tcW w:w="643" w:type="dxa"/>
            <w:vMerge/>
            <w:tcBorders>
              <w:top w:val="nil"/>
              <w:left w:val="nil"/>
              <w:right w:val="single" w:sz="4" w:space="0" w:color="000000"/>
            </w:tcBorders>
          </w:tcPr>
          <w:p>
            <w:pPr>
              <w:rPr>
                <w:sz w:val="2"/>
                <w:szCs w:val="2"/>
              </w:rPr>
            </w:pPr>
          </w:p>
        </w:tc>
        <w:tc>
          <w:tcPr>
            <w:tcW w:w="991" w:type="dxa"/>
            <w:vMerge/>
            <w:tcBorders>
              <w:top w:val="nil"/>
              <w:left w:val="single" w:sz="4" w:space="0" w:color="000000"/>
              <w:right w:val="single" w:sz="4" w:space="0" w:color="000000"/>
            </w:tcBorders>
          </w:tcPr>
          <w:p>
            <w:pPr>
              <w:rPr>
                <w:sz w:val="2"/>
                <w:szCs w:val="2"/>
              </w:rPr>
            </w:pPr>
          </w:p>
        </w:tc>
        <w:tc>
          <w:tcPr>
            <w:tcW w:w="4541" w:type="dxa"/>
            <w:tcBorders>
              <w:top w:val="single" w:sz="4" w:space="0" w:color="000000"/>
              <w:left w:val="single" w:sz="4" w:space="0" w:color="000000"/>
              <w:right w:val="single" w:sz="4" w:space="0" w:color="000000"/>
            </w:tcBorders>
          </w:tcPr>
          <w:p>
            <w:pPr>
              <w:pStyle w:val="TableParagraph"/>
              <w:spacing w:before="12"/>
              <w:ind w:left="476" w:right="444"/>
              <w:rPr>
                <w:sz w:val="21"/>
              </w:rPr>
            </w:pPr>
            <w:r>
              <w:rPr>
                <w:sz w:val="21"/>
              </w:rPr>
              <w:t>灭火器材</w:t>
            </w:r>
          </w:p>
        </w:tc>
        <w:tc>
          <w:tcPr>
            <w:tcW w:w="1440" w:type="dxa"/>
            <w:tcBorders>
              <w:top w:val="single" w:sz="4" w:space="0" w:color="000000"/>
              <w:left w:val="single" w:sz="4" w:space="0" w:color="000000"/>
              <w:right w:val="single" w:sz="4" w:space="0" w:color="000000"/>
            </w:tcBorders>
          </w:tcPr>
          <w:p>
            <w:pPr>
              <w:pStyle w:val="TableParagraph"/>
              <w:spacing w:before="12"/>
              <w:ind w:left="288" w:right="259"/>
              <w:rPr>
                <w:sz w:val="21"/>
              </w:rPr>
            </w:pPr>
            <w:r>
              <w:rPr>
                <w:sz w:val="21"/>
              </w:rPr>
              <w:t>已设置</w:t>
            </w:r>
          </w:p>
        </w:tc>
        <w:tc>
          <w:tcPr>
            <w:tcW w:w="1344" w:type="dxa"/>
            <w:tcBorders>
              <w:top w:val="single" w:sz="4" w:space="0" w:color="000000"/>
              <w:left w:val="single" w:sz="4" w:space="0" w:color="000000"/>
              <w:right w:val="nil"/>
            </w:tcBorders>
          </w:tcPr>
          <w:p>
            <w:pPr>
              <w:pStyle w:val="TableParagraph"/>
              <w:spacing w:before="26"/>
              <w:ind w:left="26"/>
              <w:rPr>
                <w:rFonts w:ascii="Times New Roman"/>
                <w:sz w:val="21"/>
              </w:rPr>
            </w:pPr>
            <w:r>
              <w:rPr>
                <w:rFonts w:ascii="Times New Roman"/>
                <w:w w:val="100"/>
                <w:sz w:val="21"/>
              </w:rPr>
              <w:t>/</w:t>
            </w:r>
          </w:p>
        </w:tc>
      </w:tr>
    </w:tbl>
    <w:p>
      <w:pPr>
        <w:pStyle w:val="BodyText"/>
        <w:spacing w:before="79"/>
        <w:ind w:left="696"/>
      </w:pPr>
      <w:r>
        <w:rPr>
          <w:w w:val="50"/>
        </w:rPr>
        <w:t> </w:t>
      </w:r>
    </w:p>
    <w:p>
      <w:pPr>
        <w:pStyle w:val="BodyText"/>
        <w:spacing w:before="160"/>
        <w:ind w:left="696"/>
      </w:pPr>
      <w:r>
        <w:rPr>
          <w:w w:val="50"/>
        </w:rPr>
        <w:t> </w:t>
      </w:r>
    </w:p>
    <w:p>
      <w:pPr>
        <w:pStyle w:val="BodyText"/>
        <w:spacing w:before="161"/>
        <w:ind w:left="696"/>
      </w:pPr>
      <w:r>
        <w:rPr>
          <w:w w:val="50"/>
        </w:rPr>
        <w:t> </w:t>
      </w:r>
    </w:p>
    <w:p>
      <w:pPr>
        <w:pStyle w:val="BodyText"/>
        <w:spacing w:before="160"/>
        <w:ind w:left="696"/>
      </w:pPr>
      <w:r>
        <w:rPr>
          <w:w w:val="50"/>
        </w:rPr>
        <w:t> </w:t>
      </w:r>
    </w:p>
    <w:p>
      <w:pPr>
        <w:pStyle w:val="BodyText"/>
        <w:spacing w:before="161"/>
        <w:ind w:left="696"/>
      </w:pPr>
      <w:r>
        <w:rPr>
          <w:w w:val="50"/>
        </w:rPr>
        <w:t> </w:t>
      </w:r>
    </w:p>
    <w:p>
      <w:pPr>
        <w:spacing w:after="0"/>
        <w:sectPr>
          <w:pgSz w:w="11910" w:h="16840"/>
          <w:pgMar w:header="0" w:footer="881" w:top="1220" w:bottom="1080" w:left="1480" w:right="1020"/>
        </w:sectPr>
      </w:pPr>
    </w:p>
    <w:p>
      <w:pPr>
        <w:pStyle w:val="BodyText"/>
        <w:spacing w:before="100"/>
        <w:ind w:left="696"/>
      </w:pPr>
      <w:r>
        <w:rPr/>
        <w:pict>
          <v:group style="position:absolute;margin-left:79.080002pt;margin-top:62.399937pt;width:459.85pt;height:692.55pt;mso-position-horizontal-relative:page;mso-position-vertical-relative:page;z-index:-211624" coordorigin="1582,1248" coordsize="9197,13851">
            <v:line style="position:absolute" from="1582,1253" to="10769,1253" stroked="true" strokeweight=".479999pt" strokecolor="#000000">
              <v:stroke dashstyle="solid"/>
            </v:line>
            <v:line style="position:absolute" from="1586,1258" to="1586,15098" stroked="true" strokeweight=".48pt" strokecolor="#000000">
              <v:stroke dashstyle="solid"/>
            </v:line>
            <v:line style="position:absolute" from="1582,15094" to="10769,15094" stroked="true" strokeweight=".480011pt" strokecolor="#000000">
              <v:stroke dashstyle="solid"/>
            </v:line>
            <v:line style="position:absolute" from="10774,1248" to="10774,15098" stroked="true" strokeweight=".480011pt" strokecolor="#000000">
              <v:stroke dashstyle="solid"/>
            </v:line>
            <w10:wrap type="none"/>
          </v:group>
        </w:pict>
      </w:r>
      <w:r>
        <w:rPr/>
        <w:t>五、环保设施及投资分析</w:t>
      </w:r>
      <w:r>
        <w:rPr>
          <w:w w:val="50"/>
        </w:rPr>
        <w:t> </w:t>
      </w:r>
    </w:p>
    <w:p>
      <w:pPr>
        <w:pStyle w:val="BodyText"/>
        <w:spacing w:line="364" w:lineRule="auto" w:before="161"/>
        <w:ind w:left="214" w:right="170" w:firstLine="480"/>
        <w:rPr>
          <w:rFonts w:ascii="Times New Roman" w:eastAsia="Times New Roman"/>
        </w:rPr>
      </w:pPr>
      <w:r>
        <w:rPr/>
        <w:t>本项目环保投资主要用于辐射防护屏蔽工程建设、场所和人员的安全防护措施建设等。项目总投资</w:t>
      </w:r>
      <w:r>
        <w:rPr>
          <w:rFonts w:ascii="Times New Roman" w:eastAsia="Times New Roman"/>
          <w:sz w:val="21"/>
        </w:rPr>
        <w:t>**</w:t>
      </w:r>
      <w:r>
        <w:rPr/>
        <w:t>万元，环保投资</w:t>
      </w:r>
      <w:r>
        <w:rPr>
          <w:rFonts w:ascii="Times New Roman" w:eastAsia="Times New Roman"/>
          <w:sz w:val="21"/>
        </w:rPr>
        <w:t>**</w:t>
      </w:r>
      <w:r>
        <w:rPr/>
        <w:t>万元，占总投资的</w:t>
      </w:r>
      <w:r>
        <w:rPr>
          <w:rFonts w:ascii="Times New Roman" w:eastAsia="Times New Roman"/>
          <w:sz w:val="21"/>
        </w:rPr>
        <w:t>**</w:t>
      </w:r>
      <w:r>
        <w:rPr/>
        <w:t>。本项目环保投资见表 </w:t>
      </w:r>
      <w:r>
        <w:rPr>
          <w:rFonts w:ascii="Times New Roman" w:eastAsia="Times New Roman"/>
        </w:rPr>
        <w:t>10-</w:t>
      </w:r>
    </w:p>
    <w:p>
      <w:pPr>
        <w:pStyle w:val="BodyText"/>
        <w:spacing w:before="1"/>
        <w:ind w:left="214"/>
      </w:pPr>
      <w:r>
        <w:rPr>
          <w:rFonts w:ascii="Times New Roman" w:eastAsia="Times New Roman"/>
        </w:rPr>
        <w:t>6</w:t>
      </w:r>
      <w:r>
        <w:rPr/>
        <w:t>。</w:t>
      </w:r>
    </w:p>
    <w:p>
      <w:pPr>
        <w:spacing w:before="102" w:after="20"/>
        <w:ind w:left="2012" w:right="0" w:firstLine="0"/>
        <w:jc w:val="left"/>
        <w:rPr>
          <w:sz w:val="21"/>
        </w:rPr>
      </w:pPr>
      <w:r>
        <w:rPr>
          <w:spacing w:val="-27"/>
          <w:sz w:val="21"/>
        </w:rPr>
        <w:t>表 </w:t>
      </w:r>
      <w:r>
        <w:rPr>
          <w:rFonts w:ascii="Times New Roman" w:eastAsia="Times New Roman"/>
          <w:sz w:val="21"/>
        </w:rPr>
        <w:t>10-6</w:t>
      </w:r>
      <w:r>
        <w:rPr>
          <w:rFonts w:ascii="Times New Roman" w:eastAsia="Times New Roman"/>
          <w:spacing w:val="51"/>
          <w:sz w:val="21"/>
        </w:rPr>
        <w:t> </w:t>
      </w:r>
      <w:r>
        <w:rPr>
          <w:spacing w:val="-4"/>
          <w:sz w:val="21"/>
        </w:rPr>
        <w:t>项目辐射安全防护与环保设施</w:t>
      </w:r>
      <w:r>
        <w:rPr>
          <w:sz w:val="21"/>
        </w:rPr>
        <w:t>（</w:t>
      </w:r>
      <w:r>
        <w:rPr>
          <w:spacing w:val="-2"/>
          <w:sz w:val="21"/>
        </w:rPr>
        <w:t>措施</w:t>
      </w:r>
      <w:r>
        <w:rPr>
          <w:spacing w:val="-3"/>
          <w:sz w:val="21"/>
        </w:rPr>
        <w:t>）</w:t>
      </w:r>
      <w:r>
        <w:rPr>
          <w:spacing w:val="-2"/>
          <w:sz w:val="21"/>
        </w:rPr>
        <w:t>投资一览表</w:t>
      </w:r>
    </w:p>
    <w:tbl>
      <w:tblPr>
        <w:tblW w:w="0" w:type="auto"/>
        <w:jc w:val="left"/>
        <w:tblInd w:w="2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617"/>
        <w:gridCol w:w="4366"/>
        <w:gridCol w:w="1983"/>
        <w:gridCol w:w="1580"/>
      </w:tblGrid>
      <w:tr>
        <w:trPr>
          <w:trHeight w:val="310" w:hRule="atLeast"/>
        </w:trPr>
        <w:tc>
          <w:tcPr>
            <w:tcW w:w="1044" w:type="dxa"/>
            <w:gridSpan w:val="2"/>
            <w:tcBorders>
              <w:left w:val="nil"/>
              <w:right w:val="single" w:sz="4" w:space="0" w:color="000000"/>
            </w:tcBorders>
          </w:tcPr>
          <w:p>
            <w:pPr>
              <w:pStyle w:val="TableParagraph"/>
              <w:spacing w:line="269" w:lineRule="exact" w:before="22"/>
              <w:ind w:left="324"/>
              <w:jc w:val="left"/>
              <w:rPr>
                <w:sz w:val="21"/>
              </w:rPr>
            </w:pPr>
            <w:r>
              <w:rPr>
                <w:sz w:val="21"/>
              </w:rPr>
              <w:t>项目</w:t>
            </w:r>
          </w:p>
        </w:tc>
        <w:tc>
          <w:tcPr>
            <w:tcW w:w="4366" w:type="dxa"/>
            <w:tcBorders>
              <w:left w:val="single" w:sz="4" w:space="0" w:color="000000"/>
              <w:right w:val="single" w:sz="4" w:space="0" w:color="000000"/>
            </w:tcBorders>
          </w:tcPr>
          <w:p>
            <w:pPr>
              <w:pStyle w:val="TableParagraph"/>
              <w:spacing w:line="269" w:lineRule="exact" w:before="22"/>
              <w:ind w:left="48" w:right="14"/>
              <w:rPr>
                <w:sz w:val="21"/>
              </w:rPr>
            </w:pPr>
            <w:r>
              <w:rPr>
                <w:sz w:val="21"/>
              </w:rPr>
              <w:t>辐射安全防护设施</w:t>
            </w:r>
          </w:p>
        </w:tc>
        <w:tc>
          <w:tcPr>
            <w:tcW w:w="1983" w:type="dxa"/>
            <w:tcBorders>
              <w:left w:val="single" w:sz="4" w:space="0" w:color="000000"/>
              <w:right w:val="single" w:sz="4" w:space="0" w:color="000000"/>
            </w:tcBorders>
          </w:tcPr>
          <w:p>
            <w:pPr>
              <w:pStyle w:val="TableParagraph"/>
              <w:spacing w:line="269" w:lineRule="exact" w:before="22"/>
              <w:ind w:left="532" w:right="505"/>
              <w:rPr>
                <w:sz w:val="21"/>
              </w:rPr>
            </w:pPr>
            <w:r>
              <w:rPr>
                <w:sz w:val="21"/>
              </w:rPr>
              <w:t>数量</w:t>
            </w:r>
          </w:p>
        </w:tc>
        <w:tc>
          <w:tcPr>
            <w:tcW w:w="1580" w:type="dxa"/>
            <w:tcBorders>
              <w:left w:val="single" w:sz="4" w:space="0" w:color="000000"/>
              <w:right w:val="nil"/>
            </w:tcBorders>
          </w:tcPr>
          <w:p>
            <w:pPr>
              <w:pStyle w:val="TableParagraph"/>
              <w:spacing w:line="269" w:lineRule="exact" w:before="22"/>
              <w:ind w:left="153" w:right="122"/>
              <w:rPr>
                <w:sz w:val="21"/>
              </w:rPr>
            </w:pPr>
            <w:r>
              <w:rPr>
                <w:sz w:val="21"/>
              </w:rPr>
              <w:t>投资（万元）</w:t>
            </w:r>
          </w:p>
        </w:tc>
      </w:tr>
      <w:tr>
        <w:trPr>
          <w:trHeight w:val="303" w:hRule="atLeast"/>
        </w:trPr>
        <w:tc>
          <w:tcPr>
            <w:tcW w:w="427" w:type="dxa"/>
            <w:vMerge w:val="restart"/>
            <w:tcBorders>
              <w:left w:val="nil"/>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line="278" w:lineRule="auto" w:before="158"/>
              <w:ind w:left="14" w:right="-29"/>
              <w:jc w:val="both"/>
              <w:rPr>
                <w:sz w:val="21"/>
              </w:rPr>
            </w:pPr>
            <w:r>
              <w:rPr>
                <w:sz w:val="21"/>
              </w:rPr>
              <w:t>介入治疗室</w:t>
            </w:r>
          </w:p>
        </w:tc>
        <w:tc>
          <w:tcPr>
            <w:tcW w:w="617" w:type="dxa"/>
            <w:vMerge w:val="restart"/>
            <w:tcBorders>
              <w:left w:val="single" w:sz="4" w:space="0" w:color="000000"/>
              <w:bottom w:val="single" w:sz="4" w:space="0" w:color="000000"/>
              <w:right w:val="single" w:sz="4" w:space="0" w:color="000000"/>
            </w:tcBorders>
          </w:tcPr>
          <w:p>
            <w:pPr>
              <w:pStyle w:val="TableParagraph"/>
              <w:jc w:val="left"/>
              <w:rPr>
                <w:sz w:val="24"/>
              </w:rPr>
            </w:pPr>
          </w:p>
          <w:p>
            <w:pPr>
              <w:pStyle w:val="TableParagraph"/>
              <w:spacing w:line="278" w:lineRule="auto" w:before="199"/>
              <w:ind w:left="108" w:right="74"/>
              <w:jc w:val="left"/>
              <w:rPr>
                <w:sz w:val="21"/>
              </w:rPr>
            </w:pPr>
            <w:r>
              <w:rPr>
                <w:sz w:val="21"/>
              </w:rPr>
              <w:t>实体防护</w:t>
            </w:r>
          </w:p>
        </w:tc>
        <w:tc>
          <w:tcPr>
            <w:tcW w:w="4366" w:type="dxa"/>
            <w:tcBorders>
              <w:left w:val="single" w:sz="4" w:space="0" w:color="000000"/>
              <w:bottom w:val="single" w:sz="4" w:space="0" w:color="000000"/>
              <w:right w:val="single" w:sz="4" w:space="0" w:color="000000"/>
            </w:tcBorders>
          </w:tcPr>
          <w:p>
            <w:pPr>
              <w:pStyle w:val="TableParagraph"/>
              <w:spacing w:line="259" w:lineRule="exact" w:before="24"/>
              <w:ind w:left="48" w:right="12"/>
              <w:rPr>
                <w:sz w:val="21"/>
              </w:rPr>
            </w:pPr>
            <w:r>
              <w:rPr>
                <w:sz w:val="21"/>
              </w:rPr>
              <w:t>四周墙体</w:t>
            </w:r>
            <w:r>
              <w:rPr>
                <w:rFonts w:ascii="Times New Roman" w:eastAsia="Times New Roman"/>
                <w:sz w:val="21"/>
              </w:rPr>
              <w:t>+</w:t>
            </w:r>
            <w:r>
              <w:rPr>
                <w:sz w:val="21"/>
              </w:rPr>
              <w:t>屋顶屏蔽</w:t>
            </w:r>
          </w:p>
        </w:tc>
        <w:tc>
          <w:tcPr>
            <w:tcW w:w="1983" w:type="dxa"/>
            <w:tcBorders>
              <w:left w:val="single" w:sz="4" w:space="0" w:color="000000"/>
              <w:bottom w:val="single" w:sz="4" w:space="0" w:color="000000"/>
              <w:right w:val="single" w:sz="4" w:space="0" w:color="000000"/>
            </w:tcBorders>
          </w:tcPr>
          <w:p>
            <w:pPr>
              <w:pStyle w:val="TableParagraph"/>
              <w:spacing w:before="38"/>
              <w:ind w:left="26"/>
              <w:rPr>
                <w:rFonts w:ascii="Times New Roman"/>
                <w:sz w:val="21"/>
              </w:rPr>
            </w:pPr>
            <w:r>
              <w:rPr>
                <w:rFonts w:ascii="Times New Roman"/>
                <w:w w:val="100"/>
                <w:sz w:val="21"/>
              </w:rPr>
              <w:t>/</w:t>
            </w:r>
          </w:p>
        </w:tc>
        <w:tc>
          <w:tcPr>
            <w:tcW w:w="1580" w:type="dxa"/>
            <w:vMerge w:val="restart"/>
            <w:tcBorders>
              <w:left w:val="single" w:sz="4" w:space="0" w:color="000000"/>
              <w:bottom w:val="single" w:sz="4" w:space="0" w:color="000000"/>
              <w:right w:val="nil"/>
            </w:tcBorders>
          </w:tcPr>
          <w:p>
            <w:pPr>
              <w:pStyle w:val="TableParagraph"/>
              <w:spacing w:before="1"/>
              <w:jc w:val="left"/>
              <w:rPr>
                <w:sz w:val="28"/>
              </w:rPr>
            </w:pPr>
          </w:p>
          <w:p>
            <w:pPr>
              <w:pStyle w:val="TableParagraph"/>
              <w:ind w:left="147" w:right="122"/>
              <w:rPr>
                <w:rFonts w:ascii="Times New Roman"/>
                <w:sz w:val="21"/>
              </w:rPr>
            </w:pPr>
            <w:r>
              <w:rPr>
                <w:rFonts w:ascii="Times New Roman"/>
                <w:sz w:val="21"/>
              </w:rPr>
              <w:t>**</w:t>
            </w:r>
          </w:p>
        </w:tc>
      </w:tr>
      <w:tr>
        <w:trPr>
          <w:trHeight w:val="291"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8" w:right="15"/>
              <w:rPr>
                <w:sz w:val="21"/>
              </w:rPr>
            </w:pPr>
            <w:r>
              <w:rPr>
                <w:sz w:val="21"/>
              </w:rPr>
              <w:t>铅防护门</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532" w:right="505"/>
              <w:rPr>
                <w:sz w:val="21"/>
              </w:rPr>
            </w:pPr>
            <w:r>
              <w:rPr>
                <w:rFonts w:ascii="Times New Roman" w:eastAsia="Times New Roman"/>
                <w:sz w:val="21"/>
              </w:rPr>
              <w:t>2 </w:t>
            </w:r>
            <w:r>
              <w:rPr>
                <w:sz w:val="21"/>
              </w:rPr>
              <w:t>扇</w:t>
            </w:r>
          </w:p>
        </w:tc>
        <w:tc>
          <w:tcPr>
            <w:tcW w:w="1580" w:type="dxa"/>
            <w:vMerge/>
            <w:tcBorders>
              <w:top w:val="nil"/>
              <w:left w:val="single" w:sz="4" w:space="0" w:color="000000"/>
              <w:bottom w:val="single" w:sz="4" w:space="0" w:color="000000"/>
              <w:right w:val="nil"/>
            </w:tcBorders>
          </w:tcPr>
          <w:p>
            <w:pPr>
              <w:rPr>
                <w:sz w:val="2"/>
                <w:szCs w:val="2"/>
              </w:rPr>
            </w:pPr>
          </w:p>
        </w:tc>
      </w:tr>
      <w:tr>
        <w:trPr>
          <w:trHeight w:val="291"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8" w:right="12"/>
              <w:rPr>
                <w:sz w:val="21"/>
              </w:rPr>
            </w:pPr>
            <w:r>
              <w:rPr>
                <w:sz w:val="21"/>
              </w:rPr>
              <w:t>铅玻璃观察窗</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532" w:right="505"/>
              <w:rPr>
                <w:sz w:val="21"/>
              </w:rPr>
            </w:pPr>
            <w:r>
              <w:rPr>
                <w:rFonts w:ascii="Times New Roman" w:eastAsia="Times New Roman"/>
                <w:sz w:val="21"/>
              </w:rPr>
              <w:t>2 </w:t>
            </w:r>
            <w:r>
              <w:rPr>
                <w:sz w:val="21"/>
              </w:rPr>
              <w:t>扇</w:t>
            </w:r>
          </w:p>
        </w:tc>
        <w:tc>
          <w:tcPr>
            <w:tcW w:w="1580" w:type="dxa"/>
            <w:vMerge/>
            <w:tcBorders>
              <w:top w:val="nil"/>
              <w:left w:val="single" w:sz="4" w:space="0" w:color="000000"/>
              <w:bottom w:val="single" w:sz="4" w:space="0" w:color="000000"/>
              <w:right w:val="nil"/>
            </w:tcBorders>
          </w:tcPr>
          <w:p>
            <w:pPr>
              <w:rPr>
                <w:sz w:val="2"/>
                <w:szCs w:val="2"/>
              </w:rPr>
            </w:pPr>
          </w:p>
        </w:tc>
      </w:tr>
      <w:tr>
        <w:trPr>
          <w:trHeight w:val="603"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before="12"/>
              <w:ind w:left="48" w:right="15"/>
              <w:rPr>
                <w:sz w:val="21"/>
              </w:rPr>
            </w:pPr>
            <w:r>
              <w:rPr>
                <w:rFonts w:ascii="Times New Roman" w:eastAsia="Times New Roman"/>
                <w:sz w:val="21"/>
              </w:rPr>
              <w:t>DSA </w:t>
            </w:r>
            <w:r>
              <w:rPr>
                <w:sz w:val="21"/>
              </w:rPr>
              <w:t>配有铅防护吊屏、手术床下设铅帘（防护</w:t>
            </w:r>
          </w:p>
          <w:p>
            <w:pPr>
              <w:pStyle w:val="TableParagraph"/>
              <w:spacing w:line="259" w:lineRule="exact" w:before="43"/>
              <w:ind w:left="48" w:right="15"/>
              <w:rPr>
                <w:sz w:val="21"/>
              </w:rPr>
            </w:pPr>
            <w:r>
              <w:rPr>
                <w:sz w:val="21"/>
              </w:rPr>
              <w:t>铅当量不低于 </w:t>
            </w:r>
            <w:r>
              <w:rPr>
                <w:rFonts w:ascii="Times New Roman" w:eastAsia="Times New Roman"/>
                <w:sz w:val="21"/>
              </w:rPr>
              <w:t>0.5mm</w:t>
            </w:r>
            <w:r>
              <w:rPr>
                <w:sz w:val="21"/>
              </w:rPr>
              <w:t>）</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168"/>
              <w:ind w:left="534" w:right="504"/>
              <w:rPr>
                <w:sz w:val="21"/>
              </w:rPr>
            </w:pPr>
            <w:r>
              <w:rPr>
                <w:sz w:val="21"/>
              </w:rPr>
              <w:t>设备自带</w:t>
            </w:r>
          </w:p>
        </w:tc>
        <w:tc>
          <w:tcPr>
            <w:tcW w:w="1580" w:type="dxa"/>
            <w:tcBorders>
              <w:top w:val="single" w:sz="4" w:space="0" w:color="000000"/>
              <w:left w:val="single" w:sz="4" w:space="0" w:color="000000"/>
              <w:bottom w:val="single" w:sz="4" w:space="0" w:color="000000"/>
              <w:right w:val="nil"/>
            </w:tcBorders>
          </w:tcPr>
          <w:p>
            <w:pPr>
              <w:pStyle w:val="TableParagraph"/>
              <w:spacing w:before="182"/>
              <w:ind w:left="27"/>
              <w:rPr>
                <w:rFonts w:ascii="Times New Roman"/>
                <w:sz w:val="21"/>
              </w:rPr>
            </w:pPr>
            <w:r>
              <w:rPr>
                <w:rFonts w:ascii="Times New Roman"/>
                <w:w w:val="100"/>
                <w:sz w:val="21"/>
              </w:rPr>
              <w:t>/</w:t>
            </w:r>
          </w:p>
        </w:tc>
      </w:tr>
      <w:tr>
        <w:trPr>
          <w:trHeight w:val="291" w:hRule="atLeast"/>
        </w:trPr>
        <w:tc>
          <w:tcPr>
            <w:tcW w:w="427" w:type="dxa"/>
            <w:vMerge/>
            <w:tcBorders>
              <w:top w:val="nil"/>
              <w:left w:val="nil"/>
              <w:right w:val="single" w:sz="4" w:space="0" w:color="000000"/>
            </w:tcBorders>
          </w:tcPr>
          <w:p>
            <w:pPr>
              <w:rPr>
                <w:sz w:val="2"/>
                <w:szCs w:val="2"/>
              </w:rPr>
            </w:pPr>
          </w:p>
        </w:tc>
        <w:tc>
          <w:tcPr>
            <w:tcW w:w="617"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180"/>
              <w:ind w:left="108" w:right="74"/>
              <w:jc w:val="left"/>
              <w:rPr>
                <w:sz w:val="21"/>
              </w:rPr>
            </w:pPr>
            <w:r>
              <w:rPr>
                <w:sz w:val="21"/>
              </w:rPr>
              <w:t>安全装置</w:t>
            </w: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8" w:right="15"/>
              <w:rPr>
                <w:sz w:val="21"/>
              </w:rPr>
            </w:pPr>
            <w:r>
              <w:rPr>
                <w:sz w:val="21"/>
              </w:rPr>
              <w:t>门灯联锁</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532" w:right="505"/>
              <w:rPr>
                <w:sz w:val="21"/>
              </w:rPr>
            </w:pPr>
            <w:r>
              <w:rPr>
                <w:rFonts w:ascii="Times New Roman" w:eastAsia="Times New Roman"/>
                <w:sz w:val="21"/>
              </w:rPr>
              <w:t>1 </w:t>
            </w:r>
            <w:r>
              <w:rPr>
                <w:sz w:val="21"/>
              </w:rPr>
              <w:t>套</w:t>
            </w:r>
          </w:p>
        </w:tc>
        <w:tc>
          <w:tcPr>
            <w:tcW w:w="1580" w:type="dxa"/>
            <w:tcBorders>
              <w:top w:val="single" w:sz="4" w:space="0" w:color="000000"/>
              <w:left w:val="single" w:sz="4" w:space="0" w:color="000000"/>
              <w:bottom w:val="single" w:sz="4" w:space="0" w:color="000000"/>
              <w:right w:val="nil"/>
            </w:tcBorders>
          </w:tcPr>
          <w:p>
            <w:pPr>
              <w:pStyle w:val="TableParagraph"/>
              <w:spacing w:before="26"/>
              <w:ind w:left="148" w:right="122"/>
              <w:rPr>
                <w:rFonts w:ascii="Times New Roman"/>
                <w:sz w:val="21"/>
              </w:rPr>
            </w:pPr>
            <w:r>
              <w:rPr>
                <w:rFonts w:ascii="Times New Roman"/>
                <w:sz w:val="21"/>
              </w:rPr>
              <w:t>**</w:t>
            </w:r>
          </w:p>
        </w:tc>
      </w:tr>
      <w:tr>
        <w:trPr>
          <w:trHeight w:val="294"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48" w:right="13"/>
              <w:rPr>
                <w:sz w:val="21"/>
              </w:rPr>
            </w:pPr>
            <w:r>
              <w:rPr>
                <w:sz w:val="21"/>
              </w:rPr>
              <w:t>紧急停机开关（设备床旁、控制室操作台旁）</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534" w:right="504"/>
              <w:rPr>
                <w:sz w:val="21"/>
              </w:rPr>
            </w:pPr>
            <w:r>
              <w:rPr>
                <w:sz w:val="21"/>
              </w:rPr>
              <w:t>设备自带</w:t>
            </w:r>
          </w:p>
        </w:tc>
        <w:tc>
          <w:tcPr>
            <w:tcW w:w="1580" w:type="dxa"/>
            <w:tcBorders>
              <w:top w:val="single" w:sz="4" w:space="0" w:color="000000"/>
              <w:left w:val="single" w:sz="4" w:space="0" w:color="000000"/>
              <w:bottom w:val="single" w:sz="4" w:space="0" w:color="000000"/>
              <w:right w:val="nil"/>
            </w:tcBorders>
          </w:tcPr>
          <w:p>
            <w:pPr>
              <w:pStyle w:val="TableParagraph"/>
              <w:spacing w:line="259" w:lineRule="exact" w:before="15"/>
              <w:ind w:left="150" w:right="122"/>
              <w:rPr>
                <w:sz w:val="21"/>
              </w:rPr>
            </w:pPr>
            <w:r>
              <w:rPr>
                <w:sz w:val="21"/>
              </w:rPr>
              <w:t>设备自带</w:t>
            </w:r>
          </w:p>
        </w:tc>
      </w:tr>
      <w:tr>
        <w:trPr>
          <w:trHeight w:val="291"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8" w:right="15"/>
              <w:rPr>
                <w:sz w:val="21"/>
              </w:rPr>
            </w:pPr>
            <w:r>
              <w:rPr>
                <w:sz w:val="21"/>
              </w:rPr>
              <w:t>病员出入防护门外顶部设工作状态指示灯</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531" w:right="505"/>
              <w:rPr>
                <w:sz w:val="21"/>
              </w:rPr>
            </w:pPr>
            <w:r>
              <w:rPr>
                <w:rFonts w:ascii="Times New Roman" w:eastAsia="Times New Roman"/>
                <w:sz w:val="21"/>
              </w:rPr>
              <w:t>1 </w:t>
            </w:r>
            <w:r>
              <w:rPr>
                <w:sz w:val="21"/>
              </w:rPr>
              <w:t>套</w:t>
            </w:r>
          </w:p>
        </w:tc>
        <w:tc>
          <w:tcPr>
            <w:tcW w:w="1580" w:type="dxa"/>
            <w:tcBorders>
              <w:top w:val="single" w:sz="4" w:space="0" w:color="000000"/>
              <w:left w:val="single" w:sz="4" w:space="0" w:color="000000"/>
              <w:bottom w:val="single" w:sz="4" w:space="0" w:color="000000"/>
              <w:right w:val="nil"/>
            </w:tcBorders>
          </w:tcPr>
          <w:p>
            <w:pPr>
              <w:pStyle w:val="TableParagraph"/>
              <w:spacing w:before="26"/>
              <w:ind w:left="148" w:right="122"/>
              <w:rPr>
                <w:rFonts w:ascii="Times New Roman"/>
                <w:sz w:val="21"/>
              </w:rPr>
            </w:pPr>
            <w:r>
              <w:rPr>
                <w:rFonts w:ascii="Times New Roman"/>
                <w:sz w:val="21"/>
              </w:rPr>
              <w:t>**</w:t>
            </w:r>
          </w:p>
        </w:tc>
      </w:tr>
      <w:tr>
        <w:trPr>
          <w:trHeight w:val="603" w:hRule="atLeast"/>
        </w:trPr>
        <w:tc>
          <w:tcPr>
            <w:tcW w:w="427" w:type="dxa"/>
            <w:vMerge/>
            <w:tcBorders>
              <w:top w:val="nil"/>
              <w:left w:val="nil"/>
              <w:right w:val="single" w:sz="4" w:space="0" w:color="000000"/>
            </w:tcBorders>
          </w:tcPr>
          <w:p>
            <w:pPr>
              <w:rPr>
                <w:sz w:val="2"/>
                <w:szCs w:val="2"/>
              </w:rPr>
            </w:pP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before="12"/>
              <w:ind w:left="108"/>
              <w:jc w:val="left"/>
              <w:rPr>
                <w:sz w:val="21"/>
              </w:rPr>
            </w:pPr>
            <w:r>
              <w:rPr>
                <w:sz w:val="21"/>
              </w:rPr>
              <w:t>警示</w:t>
            </w:r>
          </w:p>
          <w:p>
            <w:pPr>
              <w:pStyle w:val="TableParagraph"/>
              <w:spacing w:line="259" w:lineRule="exact" w:before="43"/>
              <w:ind w:left="108"/>
              <w:jc w:val="left"/>
              <w:rPr>
                <w:sz w:val="21"/>
              </w:rPr>
            </w:pPr>
            <w:r>
              <w:rPr>
                <w:sz w:val="21"/>
              </w:rPr>
              <w:t>措施</w:t>
            </w: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before="168"/>
              <w:ind w:left="151" w:right="15"/>
              <w:rPr>
                <w:sz w:val="21"/>
              </w:rPr>
            </w:pPr>
            <w:r>
              <w:rPr>
                <w:sz w:val="21"/>
              </w:rPr>
              <w:t>“当心电离辐射警告”标志</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168"/>
              <w:ind w:left="532" w:right="505"/>
              <w:rPr>
                <w:sz w:val="21"/>
              </w:rPr>
            </w:pPr>
            <w:r>
              <w:rPr>
                <w:sz w:val="21"/>
              </w:rPr>
              <w:t>若干</w:t>
            </w:r>
          </w:p>
        </w:tc>
        <w:tc>
          <w:tcPr>
            <w:tcW w:w="1580" w:type="dxa"/>
            <w:tcBorders>
              <w:top w:val="single" w:sz="4" w:space="0" w:color="000000"/>
              <w:left w:val="single" w:sz="4" w:space="0" w:color="000000"/>
              <w:bottom w:val="single" w:sz="4" w:space="0" w:color="000000"/>
              <w:right w:val="nil"/>
            </w:tcBorders>
          </w:tcPr>
          <w:p>
            <w:pPr>
              <w:pStyle w:val="TableParagraph"/>
              <w:spacing w:before="182"/>
              <w:ind w:left="145" w:right="122"/>
              <w:rPr>
                <w:rFonts w:ascii="Times New Roman"/>
                <w:sz w:val="21"/>
              </w:rPr>
            </w:pPr>
            <w:r>
              <w:rPr>
                <w:rFonts w:ascii="Times New Roman"/>
                <w:sz w:val="21"/>
              </w:rPr>
              <w:t>**</w:t>
            </w:r>
          </w:p>
        </w:tc>
      </w:tr>
      <w:tr>
        <w:trPr>
          <w:trHeight w:val="291" w:hRule="atLeast"/>
        </w:trPr>
        <w:tc>
          <w:tcPr>
            <w:tcW w:w="427" w:type="dxa"/>
            <w:vMerge/>
            <w:tcBorders>
              <w:top w:val="nil"/>
              <w:left w:val="nil"/>
              <w:right w:val="single" w:sz="4" w:space="0" w:color="000000"/>
            </w:tcBorders>
          </w:tcPr>
          <w:p>
            <w:pPr>
              <w:rPr>
                <w:sz w:val="2"/>
                <w:szCs w:val="2"/>
              </w:rPr>
            </w:pPr>
          </w:p>
        </w:tc>
        <w:tc>
          <w:tcPr>
            <w:tcW w:w="61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73"/>
              <w:ind w:left="108"/>
              <w:jc w:val="left"/>
              <w:rPr>
                <w:sz w:val="21"/>
              </w:rPr>
            </w:pPr>
            <w:r>
              <w:rPr>
                <w:sz w:val="21"/>
              </w:rPr>
              <w:t>监测</w:t>
            </w: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8" w:right="12"/>
              <w:rPr>
                <w:sz w:val="21"/>
              </w:rPr>
            </w:pPr>
            <w:r>
              <w:rPr>
                <w:sz w:val="21"/>
              </w:rPr>
              <w:t>便携式</w:t>
            </w:r>
            <w:r>
              <w:rPr>
                <w:rFonts w:ascii="Times New Roman" w:hAnsi="Times New Roman" w:eastAsia="Times New Roman"/>
                <w:sz w:val="21"/>
              </w:rPr>
              <w:t>X-γ </w:t>
            </w:r>
            <w:r>
              <w:rPr>
                <w:sz w:val="21"/>
              </w:rPr>
              <w:t>剂量监测仪</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532" w:right="505"/>
              <w:rPr>
                <w:sz w:val="21"/>
              </w:rPr>
            </w:pPr>
            <w:r>
              <w:rPr>
                <w:rFonts w:ascii="Times New Roman" w:eastAsia="Times New Roman"/>
                <w:sz w:val="21"/>
              </w:rPr>
              <w:t>1 </w:t>
            </w:r>
            <w:r>
              <w:rPr>
                <w:sz w:val="21"/>
              </w:rPr>
              <w:t>台</w:t>
            </w:r>
          </w:p>
        </w:tc>
        <w:tc>
          <w:tcPr>
            <w:tcW w:w="1580" w:type="dxa"/>
            <w:tcBorders>
              <w:top w:val="single" w:sz="4" w:space="0" w:color="000000"/>
              <w:left w:val="single" w:sz="4" w:space="0" w:color="000000"/>
              <w:bottom w:val="single" w:sz="4" w:space="0" w:color="000000"/>
              <w:right w:val="nil"/>
            </w:tcBorders>
          </w:tcPr>
          <w:p>
            <w:pPr>
              <w:pStyle w:val="TableParagraph"/>
              <w:spacing w:before="26"/>
              <w:ind w:left="148" w:right="122"/>
              <w:rPr>
                <w:rFonts w:ascii="Times New Roman"/>
                <w:sz w:val="21"/>
              </w:rPr>
            </w:pPr>
            <w:r>
              <w:rPr>
                <w:rFonts w:ascii="Times New Roman"/>
                <w:sz w:val="21"/>
              </w:rPr>
              <w:t>**</w:t>
            </w:r>
          </w:p>
        </w:tc>
      </w:tr>
      <w:tr>
        <w:trPr>
          <w:trHeight w:val="291"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8" w:right="12"/>
              <w:rPr>
                <w:sz w:val="21"/>
              </w:rPr>
            </w:pPr>
            <w:r>
              <w:rPr>
                <w:sz w:val="21"/>
              </w:rPr>
              <w:t>个人剂量报警仪</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532" w:right="505"/>
              <w:rPr>
                <w:sz w:val="21"/>
              </w:rPr>
            </w:pPr>
            <w:r>
              <w:rPr>
                <w:rFonts w:ascii="Times New Roman" w:eastAsia="Times New Roman"/>
                <w:sz w:val="21"/>
              </w:rPr>
              <w:t>2 </w:t>
            </w:r>
            <w:r>
              <w:rPr>
                <w:sz w:val="21"/>
              </w:rPr>
              <w:t>台</w:t>
            </w:r>
          </w:p>
        </w:tc>
        <w:tc>
          <w:tcPr>
            <w:tcW w:w="1580" w:type="dxa"/>
            <w:tcBorders>
              <w:top w:val="single" w:sz="4" w:space="0" w:color="000000"/>
              <w:left w:val="single" w:sz="4" w:space="0" w:color="000000"/>
              <w:bottom w:val="single" w:sz="4" w:space="0" w:color="000000"/>
              <w:right w:val="nil"/>
            </w:tcBorders>
          </w:tcPr>
          <w:p>
            <w:pPr>
              <w:pStyle w:val="TableParagraph"/>
              <w:spacing w:before="26"/>
              <w:ind w:left="148" w:right="122"/>
              <w:rPr>
                <w:rFonts w:ascii="Times New Roman"/>
                <w:sz w:val="21"/>
              </w:rPr>
            </w:pPr>
            <w:r>
              <w:rPr>
                <w:rFonts w:ascii="Times New Roman"/>
                <w:sz w:val="21"/>
              </w:rPr>
              <w:t>**</w:t>
            </w:r>
          </w:p>
        </w:tc>
      </w:tr>
      <w:tr>
        <w:trPr>
          <w:trHeight w:val="603" w:hRule="atLeast"/>
        </w:trPr>
        <w:tc>
          <w:tcPr>
            <w:tcW w:w="427" w:type="dxa"/>
            <w:vMerge/>
            <w:tcBorders>
              <w:top w:val="nil"/>
              <w:left w:val="nil"/>
              <w:right w:val="single" w:sz="4" w:space="0" w:color="000000"/>
            </w:tcBorders>
          </w:tcPr>
          <w:p>
            <w:pPr>
              <w:rPr>
                <w:sz w:val="2"/>
                <w:szCs w:val="2"/>
              </w:rPr>
            </w:pPr>
          </w:p>
        </w:tc>
        <w:tc>
          <w:tcPr>
            <w:tcW w:w="617" w:type="dxa"/>
            <w:vMerge w:val="restart"/>
            <w:tcBorders>
              <w:top w:val="single" w:sz="4" w:space="0" w:color="000000"/>
              <w:left w:val="single" w:sz="4" w:space="0" w:color="000000"/>
              <w:bottom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spacing w:before="9"/>
              <w:jc w:val="left"/>
              <w:rPr>
                <w:sz w:val="27"/>
              </w:rPr>
            </w:pPr>
          </w:p>
          <w:p>
            <w:pPr>
              <w:pStyle w:val="TableParagraph"/>
              <w:spacing w:line="278" w:lineRule="auto"/>
              <w:ind w:left="108" w:right="74"/>
              <w:jc w:val="both"/>
              <w:rPr>
                <w:sz w:val="21"/>
              </w:rPr>
            </w:pPr>
            <w:r>
              <w:rPr>
                <w:sz w:val="21"/>
              </w:rPr>
              <w:t>个人防护用品</w:t>
            </w: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before="12"/>
              <w:ind w:left="48" w:right="13"/>
              <w:rPr>
                <w:sz w:val="21"/>
              </w:rPr>
            </w:pPr>
            <w:r>
              <w:rPr>
                <w:sz w:val="21"/>
              </w:rPr>
              <w:t>介入手术医生和护士配铅橡胶围裙、铅橡胶颈</w:t>
            </w:r>
          </w:p>
          <w:p>
            <w:pPr>
              <w:pStyle w:val="TableParagraph"/>
              <w:spacing w:line="259" w:lineRule="exact" w:before="43"/>
              <w:ind w:left="47" w:right="15"/>
              <w:rPr>
                <w:sz w:val="21"/>
              </w:rPr>
            </w:pPr>
            <w:r>
              <w:rPr>
                <w:sz w:val="21"/>
              </w:rPr>
              <w:t>套、铅防护眼镜等个人防护用品</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168"/>
              <w:ind w:left="532" w:right="505"/>
              <w:rPr>
                <w:sz w:val="21"/>
              </w:rPr>
            </w:pPr>
            <w:r>
              <w:rPr>
                <w:sz w:val="21"/>
              </w:rPr>
              <w:t>共 </w:t>
            </w:r>
            <w:r>
              <w:rPr>
                <w:rFonts w:ascii="Times New Roman" w:eastAsia="Times New Roman"/>
                <w:sz w:val="21"/>
              </w:rPr>
              <w:t>4 </w:t>
            </w:r>
            <w:r>
              <w:rPr>
                <w:sz w:val="21"/>
              </w:rPr>
              <w:t>套</w:t>
            </w:r>
          </w:p>
        </w:tc>
        <w:tc>
          <w:tcPr>
            <w:tcW w:w="1580" w:type="dxa"/>
            <w:vMerge w:val="restart"/>
            <w:tcBorders>
              <w:top w:val="single" w:sz="4" w:space="0" w:color="000000"/>
              <w:left w:val="single" w:sz="4" w:space="0" w:color="000000"/>
              <w:bottom w:val="single" w:sz="4" w:space="0" w:color="000000"/>
              <w:right w:val="nil"/>
            </w:tcBorders>
          </w:tcPr>
          <w:p>
            <w:pPr>
              <w:pStyle w:val="TableParagraph"/>
              <w:jc w:val="left"/>
              <w:rPr>
                <w:sz w:val="22"/>
              </w:rPr>
            </w:pPr>
          </w:p>
          <w:p>
            <w:pPr>
              <w:pStyle w:val="TableParagraph"/>
              <w:jc w:val="left"/>
              <w:rPr>
                <w:sz w:val="22"/>
              </w:rPr>
            </w:pPr>
          </w:p>
          <w:p>
            <w:pPr>
              <w:pStyle w:val="TableParagraph"/>
              <w:spacing w:before="5"/>
              <w:jc w:val="left"/>
              <w:rPr>
                <w:sz w:val="32"/>
              </w:rPr>
            </w:pPr>
          </w:p>
          <w:p>
            <w:pPr>
              <w:pStyle w:val="TableParagraph"/>
              <w:ind w:left="147" w:right="122"/>
              <w:rPr>
                <w:rFonts w:ascii="Times New Roman"/>
                <w:sz w:val="21"/>
              </w:rPr>
            </w:pPr>
            <w:r>
              <w:rPr>
                <w:rFonts w:ascii="Times New Roman"/>
                <w:sz w:val="21"/>
              </w:rPr>
              <w:t>**</w:t>
            </w:r>
          </w:p>
        </w:tc>
      </w:tr>
      <w:tr>
        <w:trPr>
          <w:trHeight w:val="293"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47" w:right="15"/>
              <w:rPr>
                <w:sz w:val="21"/>
              </w:rPr>
            </w:pPr>
            <w:r>
              <w:rPr>
                <w:sz w:val="21"/>
              </w:rPr>
              <w:t>患者配备铅方巾等个人防护用品</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534" w:right="505"/>
              <w:rPr>
                <w:sz w:val="21"/>
              </w:rPr>
            </w:pPr>
            <w:r>
              <w:rPr>
                <w:sz w:val="21"/>
              </w:rPr>
              <w:t>至少 </w:t>
            </w:r>
            <w:r>
              <w:rPr>
                <w:rFonts w:ascii="Times New Roman" w:eastAsia="Times New Roman"/>
                <w:sz w:val="21"/>
              </w:rPr>
              <w:t>1 </w:t>
            </w:r>
            <w:r>
              <w:rPr>
                <w:sz w:val="21"/>
              </w:rPr>
              <w:t>套</w:t>
            </w:r>
          </w:p>
        </w:tc>
        <w:tc>
          <w:tcPr>
            <w:tcW w:w="1580" w:type="dxa"/>
            <w:vMerge/>
            <w:tcBorders>
              <w:top w:val="nil"/>
              <w:left w:val="single" w:sz="4" w:space="0" w:color="000000"/>
              <w:bottom w:val="single" w:sz="4" w:space="0" w:color="000000"/>
              <w:right w:val="nil"/>
            </w:tcBorders>
          </w:tcPr>
          <w:p>
            <w:pPr>
              <w:rPr>
                <w:sz w:val="2"/>
                <w:szCs w:val="2"/>
              </w:rPr>
            </w:pPr>
          </w:p>
        </w:tc>
      </w:tr>
      <w:tr>
        <w:trPr>
          <w:trHeight w:val="603"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before="12"/>
              <w:ind w:left="48" w:right="13"/>
              <w:rPr>
                <w:sz w:val="21"/>
              </w:rPr>
            </w:pPr>
            <w:r>
              <w:rPr>
                <w:sz w:val="21"/>
              </w:rPr>
              <w:t>成人受检者铅橡胶围裙、铅橡胶颈套</w:t>
            </w:r>
          </w:p>
          <w:p>
            <w:pPr>
              <w:pStyle w:val="TableParagraph"/>
              <w:spacing w:line="259" w:lineRule="exact" w:before="43"/>
              <w:ind w:left="48" w:right="13"/>
              <w:rPr>
                <w:sz w:val="21"/>
              </w:rPr>
            </w:pPr>
            <w:r>
              <w:rPr>
                <w:sz w:val="21"/>
              </w:rPr>
              <w:t>（</w:t>
            </w:r>
            <w:r>
              <w:rPr>
                <w:rFonts w:ascii="Times New Roman" w:eastAsia="Times New Roman"/>
                <w:sz w:val="21"/>
              </w:rPr>
              <w:t>0.5mmPb</w:t>
            </w:r>
            <w:r>
              <w:rPr>
                <w:sz w:val="21"/>
              </w:rPr>
              <w:t>）</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168"/>
              <w:ind w:left="532" w:right="505"/>
              <w:rPr>
                <w:sz w:val="21"/>
              </w:rPr>
            </w:pPr>
            <w:r>
              <w:rPr>
                <w:sz w:val="21"/>
              </w:rPr>
              <w:t>各 </w:t>
            </w:r>
            <w:r>
              <w:rPr>
                <w:rFonts w:ascii="Times New Roman" w:eastAsia="Times New Roman"/>
                <w:sz w:val="21"/>
              </w:rPr>
              <w:t>1 </w:t>
            </w:r>
            <w:r>
              <w:rPr>
                <w:sz w:val="21"/>
              </w:rPr>
              <w:t>套</w:t>
            </w:r>
          </w:p>
        </w:tc>
        <w:tc>
          <w:tcPr>
            <w:tcW w:w="1580" w:type="dxa"/>
            <w:vMerge/>
            <w:tcBorders>
              <w:top w:val="nil"/>
              <w:left w:val="single" w:sz="4" w:space="0" w:color="000000"/>
              <w:bottom w:val="single" w:sz="4" w:space="0" w:color="000000"/>
              <w:right w:val="nil"/>
            </w:tcBorders>
          </w:tcPr>
          <w:p>
            <w:pPr>
              <w:rPr>
                <w:sz w:val="2"/>
                <w:szCs w:val="2"/>
              </w:rPr>
            </w:pPr>
          </w:p>
        </w:tc>
      </w:tr>
      <w:tr>
        <w:trPr>
          <w:trHeight w:val="603"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before="12"/>
              <w:ind w:left="48" w:right="13"/>
              <w:rPr>
                <w:sz w:val="21"/>
              </w:rPr>
            </w:pPr>
            <w:r>
              <w:rPr>
                <w:sz w:val="21"/>
              </w:rPr>
              <w:t>儿童受检者儿童专用铅橡胶围裙、儿童专用铅</w:t>
            </w:r>
          </w:p>
          <w:p>
            <w:pPr>
              <w:pStyle w:val="TableParagraph"/>
              <w:spacing w:line="259" w:lineRule="exact" w:before="43"/>
              <w:ind w:left="48" w:right="13"/>
              <w:rPr>
                <w:sz w:val="21"/>
              </w:rPr>
            </w:pPr>
            <w:r>
              <w:rPr>
                <w:sz w:val="21"/>
              </w:rPr>
              <w:t>橡胶颈套（</w:t>
            </w:r>
            <w:r>
              <w:rPr>
                <w:rFonts w:ascii="Times New Roman" w:eastAsia="Times New Roman"/>
                <w:sz w:val="21"/>
              </w:rPr>
              <w:t>0.5mmPb</w:t>
            </w:r>
            <w:r>
              <w:rPr>
                <w:sz w:val="21"/>
              </w:rPr>
              <w:t>）</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168"/>
              <w:ind w:left="532" w:right="505"/>
              <w:rPr>
                <w:sz w:val="21"/>
              </w:rPr>
            </w:pPr>
            <w:r>
              <w:rPr>
                <w:sz w:val="21"/>
              </w:rPr>
              <w:t>各 </w:t>
            </w:r>
            <w:r>
              <w:rPr>
                <w:rFonts w:ascii="Times New Roman" w:eastAsia="Times New Roman"/>
                <w:sz w:val="21"/>
              </w:rPr>
              <w:t>1 </w:t>
            </w:r>
            <w:r>
              <w:rPr>
                <w:sz w:val="21"/>
              </w:rPr>
              <w:t>套</w:t>
            </w:r>
          </w:p>
        </w:tc>
        <w:tc>
          <w:tcPr>
            <w:tcW w:w="1580" w:type="dxa"/>
            <w:vMerge/>
            <w:tcBorders>
              <w:top w:val="nil"/>
              <w:left w:val="single" w:sz="4" w:space="0" w:color="000000"/>
              <w:bottom w:val="single" w:sz="4" w:space="0" w:color="000000"/>
              <w:right w:val="nil"/>
            </w:tcBorders>
          </w:tcPr>
          <w:p>
            <w:pPr>
              <w:rPr>
                <w:sz w:val="2"/>
                <w:szCs w:val="2"/>
              </w:rPr>
            </w:pPr>
          </w:p>
        </w:tc>
      </w:tr>
      <w:tr>
        <w:trPr>
          <w:trHeight w:val="603" w:hRule="atLeast"/>
        </w:trPr>
        <w:tc>
          <w:tcPr>
            <w:tcW w:w="427" w:type="dxa"/>
            <w:vMerge/>
            <w:tcBorders>
              <w:top w:val="nil"/>
              <w:left w:val="nil"/>
              <w:right w:val="single" w:sz="4" w:space="0" w:color="000000"/>
            </w:tcBorders>
          </w:tcPr>
          <w:p>
            <w:pPr>
              <w:rPr>
                <w:sz w:val="2"/>
                <w:szCs w:val="2"/>
              </w:rPr>
            </w:pPr>
          </w:p>
        </w:tc>
        <w:tc>
          <w:tcPr>
            <w:tcW w:w="617" w:type="dxa"/>
            <w:vMerge/>
            <w:tcBorders>
              <w:top w:val="nil"/>
              <w:left w:val="single" w:sz="4" w:space="0" w:color="000000"/>
              <w:bottom w:val="single" w:sz="4" w:space="0" w:color="000000"/>
              <w:right w:val="single" w:sz="4" w:space="0" w:color="000000"/>
            </w:tcBorders>
          </w:tcPr>
          <w:p>
            <w:pPr>
              <w:rPr>
                <w:sz w:val="2"/>
                <w:szCs w:val="2"/>
              </w:rPr>
            </w:pP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before="168"/>
              <w:ind w:left="48" w:right="15"/>
              <w:rPr>
                <w:sz w:val="21"/>
              </w:rPr>
            </w:pPr>
            <w:r>
              <w:rPr>
                <w:sz w:val="21"/>
              </w:rPr>
              <w:t>个人剂量计</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12"/>
              <w:ind w:left="54"/>
              <w:jc w:val="left"/>
              <w:rPr>
                <w:sz w:val="21"/>
              </w:rPr>
            </w:pPr>
            <w:r>
              <w:rPr>
                <w:spacing w:val="-16"/>
                <w:sz w:val="21"/>
              </w:rPr>
              <w:t>每人 </w:t>
            </w:r>
            <w:r>
              <w:rPr>
                <w:rFonts w:ascii="Times New Roman" w:eastAsia="Times New Roman"/>
                <w:sz w:val="21"/>
              </w:rPr>
              <w:t>1</w:t>
            </w:r>
            <w:r>
              <w:rPr>
                <w:rFonts w:ascii="Times New Roman" w:eastAsia="Times New Roman"/>
                <w:spacing w:val="2"/>
                <w:sz w:val="21"/>
              </w:rPr>
              <w:t> </w:t>
            </w:r>
            <w:r>
              <w:rPr>
                <w:spacing w:val="-3"/>
                <w:sz w:val="21"/>
              </w:rPr>
              <w:t>套，介入手术</w:t>
            </w:r>
          </w:p>
          <w:p>
            <w:pPr>
              <w:pStyle w:val="TableParagraph"/>
              <w:spacing w:line="259" w:lineRule="exact" w:before="43"/>
              <w:ind w:left="54"/>
              <w:jc w:val="left"/>
              <w:rPr>
                <w:sz w:val="21"/>
              </w:rPr>
            </w:pPr>
            <w:r>
              <w:rPr>
                <w:spacing w:val="-9"/>
                <w:sz w:val="21"/>
              </w:rPr>
              <w:t>医生和护士每人 </w:t>
            </w:r>
            <w:r>
              <w:rPr>
                <w:rFonts w:ascii="Times New Roman" w:eastAsia="Times New Roman"/>
                <w:sz w:val="21"/>
              </w:rPr>
              <w:t>2</w:t>
            </w:r>
            <w:r>
              <w:rPr>
                <w:rFonts w:ascii="Times New Roman" w:eastAsia="Times New Roman"/>
                <w:spacing w:val="5"/>
                <w:sz w:val="21"/>
              </w:rPr>
              <w:t> </w:t>
            </w:r>
            <w:r>
              <w:rPr>
                <w:sz w:val="21"/>
              </w:rPr>
              <w:t>套</w:t>
            </w:r>
          </w:p>
        </w:tc>
        <w:tc>
          <w:tcPr>
            <w:tcW w:w="1580" w:type="dxa"/>
            <w:tcBorders>
              <w:top w:val="single" w:sz="4" w:space="0" w:color="000000"/>
              <w:left w:val="single" w:sz="4" w:space="0" w:color="000000"/>
              <w:bottom w:val="single" w:sz="4" w:space="0" w:color="000000"/>
              <w:right w:val="nil"/>
            </w:tcBorders>
          </w:tcPr>
          <w:p>
            <w:pPr>
              <w:pStyle w:val="TableParagraph"/>
              <w:spacing w:before="182"/>
              <w:ind w:left="147" w:right="122"/>
              <w:rPr>
                <w:rFonts w:ascii="Times New Roman"/>
                <w:sz w:val="21"/>
              </w:rPr>
            </w:pPr>
            <w:r>
              <w:rPr>
                <w:rFonts w:ascii="Times New Roman"/>
                <w:sz w:val="21"/>
              </w:rPr>
              <w:t>**</w:t>
            </w:r>
          </w:p>
        </w:tc>
      </w:tr>
      <w:tr>
        <w:trPr>
          <w:trHeight w:val="603" w:hRule="atLeast"/>
        </w:trPr>
        <w:tc>
          <w:tcPr>
            <w:tcW w:w="427" w:type="dxa"/>
            <w:vMerge/>
            <w:tcBorders>
              <w:top w:val="nil"/>
              <w:left w:val="nil"/>
              <w:right w:val="single" w:sz="4" w:space="0" w:color="000000"/>
            </w:tcBorders>
          </w:tcPr>
          <w:p>
            <w:pPr>
              <w:rPr>
                <w:sz w:val="2"/>
                <w:szCs w:val="2"/>
              </w:rPr>
            </w:pPr>
          </w:p>
        </w:tc>
        <w:tc>
          <w:tcPr>
            <w:tcW w:w="617" w:type="dxa"/>
            <w:tcBorders>
              <w:top w:val="single" w:sz="4" w:space="0" w:color="000000"/>
              <w:left w:val="single" w:sz="4" w:space="0" w:color="000000"/>
              <w:bottom w:val="single" w:sz="4" w:space="0" w:color="000000"/>
              <w:right w:val="single" w:sz="4" w:space="0" w:color="000000"/>
            </w:tcBorders>
          </w:tcPr>
          <w:p>
            <w:pPr>
              <w:pStyle w:val="TableParagraph"/>
              <w:spacing w:before="12"/>
              <w:ind w:left="108"/>
              <w:jc w:val="left"/>
              <w:rPr>
                <w:sz w:val="21"/>
              </w:rPr>
            </w:pPr>
            <w:r>
              <w:rPr>
                <w:sz w:val="21"/>
              </w:rPr>
              <w:t>通风</w:t>
            </w:r>
          </w:p>
          <w:p>
            <w:pPr>
              <w:pStyle w:val="TableParagraph"/>
              <w:spacing w:line="259" w:lineRule="exact" w:before="43"/>
              <w:ind w:left="108"/>
              <w:jc w:val="left"/>
              <w:rPr>
                <w:sz w:val="21"/>
              </w:rPr>
            </w:pPr>
            <w:r>
              <w:rPr>
                <w:sz w:val="21"/>
              </w:rPr>
              <w:t>系统</w:t>
            </w:r>
          </w:p>
        </w:tc>
        <w:tc>
          <w:tcPr>
            <w:tcW w:w="4366" w:type="dxa"/>
            <w:tcBorders>
              <w:top w:val="single" w:sz="4" w:space="0" w:color="000000"/>
              <w:left w:val="single" w:sz="4" w:space="0" w:color="000000"/>
              <w:bottom w:val="single" w:sz="4" w:space="0" w:color="000000"/>
              <w:right w:val="single" w:sz="4" w:space="0" w:color="000000"/>
            </w:tcBorders>
          </w:tcPr>
          <w:p>
            <w:pPr>
              <w:pStyle w:val="TableParagraph"/>
              <w:spacing w:before="168"/>
              <w:ind w:left="48" w:right="15"/>
              <w:rPr>
                <w:sz w:val="21"/>
              </w:rPr>
            </w:pPr>
            <w:r>
              <w:rPr>
                <w:sz w:val="21"/>
              </w:rPr>
              <w:t>通排风系统</w:t>
            </w:r>
          </w:p>
        </w:tc>
        <w:tc>
          <w:tcPr>
            <w:tcW w:w="1983" w:type="dxa"/>
            <w:tcBorders>
              <w:top w:val="single" w:sz="4" w:space="0" w:color="000000"/>
              <w:left w:val="single" w:sz="4" w:space="0" w:color="000000"/>
              <w:bottom w:val="single" w:sz="4" w:space="0" w:color="000000"/>
              <w:right w:val="single" w:sz="4" w:space="0" w:color="000000"/>
            </w:tcBorders>
          </w:tcPr>
          <w:p>
            <w:pPr>
              <w:pStyle w:val="TableParagraph"/>
              <w:spacing w:before="168"/>
              <w:ind w:left="532" w:right="505"/>
              <w:rPr>
                <w:sz w:val="21"/>
              </w:rPr>
            </w:pPr>
            <w:r>
              <w:rPr>
                <w:rFonts w:ascii="Times New Roman" w:eastAsia="Times New Roman"/>
                <w:sz w:val="21"/>
              </w:rPr>
              <w:t>1 </w:t>
            </w:r>
            <w:r>
              <w:rPr>
                <w:sz w:val="21"/>
              </w:rPr>
              <w:t>套</w:t>
            </w:r>
          </w:p>
        </w:tc>
        <w:tc>
          <w:tcPr>
            <w:tcW w:w="1580" w:type="dxa"/>
            <w:tcBorders>
              <w:top w:val="single" w:sz="4" w:space="0" w:color="000000"/>
              <w:left w:val="single" w:sz="4" w:space="0" w:color="000000"/>
              <w:bottom w:val="single" w:sz="4" w:space="0" w:color="000000"/>
              <w:right w:val="nil"/>
            </w:tcBorders>
          </w:tcPr>
          <w:p>
            <w:pPr>
              <w:pStyle w:val="TableParagraph"/>
              <w:spacing w:before="182"/>
              <w:ind w:left="148" w:right="122"/>
              <w:rPr>
                <w:rFonts w:ascii="Times New Roman"/>
                <w:sz w:val="21"/>
              </w:rPr>
            </w:pPr>
            <w:r>
              <w:rPr>
                <w:rFonts w:ascii="Times New Roman"/>
                <w:sz w:val="21"/>
              </w:rPr>
              <w:t>**</w:t>
            </w:r>
          </w:p>
        </w:tc>
      </w:tr>
      <w:tr>
        <w:trPr>
          <w:trHeight w:val="291" w:hRule="atLeast"/>
        </w:trPr>
        <w:tc>
          <w:tcPr>
            <w:tcW w:w="427" w:type="dxa"/>
            <w:vMerge/>
            <w:tcBorders>
              <w:top w:val="nil"/>
              <w:left w:val="nil"/>
              <w:right w:val="single" w:sz="4" w:space="0" w:color="000000"/>
            </w:tcBorders>
          </w:tcPr>
          <w:p>
            <w:pPr>
              <w:rPr>
                <w:sz w:val="2"/>
                <w:szCs w:val="2"/>
              </w:rPr>
            </w:pPr>
          </w:p>
        </w:tc>
        <w:tc>
          <w:tcPr>
            <w:tcW w:w="6966" w:type="dxa"/>
            <w:gridSpan w:val="3"/>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1600"/>
              <w:jc w:val="left"/>
              <w:rPr>
                <w:sz w:val="21"/>
              </w:rPr>
            </w:pPr>
            <w:r>
              <w:rPr>
                <w:sz w:val="21"/>
              </w:rPr>
              <w:t>其他环保投资（人员培训、应急物资等）</w:t>
            </w:r>
          </w:p>
        </w:tc>
        <w:tc>
          <w:tcPr>
            <w:tcW w:w="1580" w:type="dxa"/>
            <w:tcBorders>
              <w:top w:val="single" w:sz="4" w:space="0" w:color="000000"/>
              <w:left w:val="single" w:sz="4" w:space="0" w:color="000000"/>
              <w:bottom w:val="single" w:sz="4" w:space="0" w:color="000000"/>
              <w:right w:val="nil"/>
            </w:tcBorders>
          </w:tcPr>
          <w:p>
            <w:pPr>
              <w:pStyle w:val="TableParagraph"/>
              <w:spacing w:before="26"/>
              <w:ind w:left="146" w:right="122"/>
              <w:rPr>
                <w:rFonts w:ascii="Times New Roman"/>
                <w:sz w:val="21"/>
              </w:rPr>
            </w:pPr>
            <w:r>
              <w:rPr>
                <w:rFonts w:ascii="Times New Roman"/>
                <w:sz w:val="21"/>
              </w:rPr>
              <w:t>**</w:t>
            </w:r>
          </w:p>
        </w:tc>
      </w:tr>
      <w:tr>
        <w:trPr>
          <w:trHeight w:val="303" w:hRule="atLeast"/>
        </w:trPr>
        <w:tc>
          <w:tcPr>
            <w:tcW w:w="427" w:type="dxa"/>
            <w:vMerge/>
            <w:tcBorders>
              <w:top w:val="nil"/>
              <w:left w:val="nil"/>
              <w:right w:val="single" w:sz="4" w:space="0" w:color="000000"/>
            </w:tcBorders>
          </w:tcPr>
          <w:p>
            <w:pPr>
              <w:rPr>
                <w:sz w:val="2"/>
                <w:szCs w:val="2"/>
              </w:rPr>
            </w:pPr>
          </w:p>
        </w:tc>
        <w:tc>
          <w:tcPr>
            <w:tcW w:w="6966" w:type="dxa"/>
            <w:gridSpan w:val="3"/>
            <w:tcBorders>
              <w:top w:val="single" w:sz="4" w:space="0" w:color="000000"/>
              <w:left w:val="single" w:sz="4" w:space="0" w:color="000000"/>
              <w:right w:val="single" w:sz="4" w:space="0" w:color="000000"/>
            </w:tcBorders>
          </w:tcPr>
          <w:p>
            <w:pPr>
              <w:pStyle w:val="TableParagraph"/>
              <w:spacing w:line="269" w:lineRule="exact" w:before="15"/>
              <w:ind w:left="3262" w:right="3234"/>
              <w:rPr>
                <w:sz w:val="21"/>
              </w:rPr>
            </w:pPr>
            <w:r>
              <w:rPr>
                <w:sz w:val="21"/>
              </w:rPr>
              <w:t>合计</w:t>
            </w:r>
          </w:p>
        </w:tc>
        <w:tc>
          <w:tcPr>
            <w:tcW w:w="1580" w:type="dxa"/>
            <w:tcBorders>
              <w:top w:val="single" w:sz="4" w:space="0" w:color="000000"/>
              <w:left w:val="single" w:sz="4" w:space="0" w:color="000000"/>
              <w:right w:val="nil"/>
            </w:tcBorders>
          </w:tcPr>
          <w:p>
            <w:pPr>
              <w:pStyle w:val="TableParagraph"/>
              <w:spacing w:before="29"/>
              <w:ind w:left="148" w:right="122"/>
              <w:rPr>
                <w:rFonts w:ascii="Times New Roman"/>
                <w:sz w:val="21"/>
              </w:rPr>
            </w:pPr>
            <w:r>
              <w:rPr>
                <w:rFonts w:ascii="Times New Roman"/>
                <w:sz w:val="21"/>
              </w:rPr>
              <w:t>**</w:t>
            </w:r>
          </w:p>
        </w:tc>
      </w:tr>
    </w:tbl>
    <w:p>
      <w:pPr>
        <w:pStyle w:val="BodyText"/>
        <w:spacing w:line="364" w:lineRule="auto" w:before="81"/>
        <w:ind w:left="231" w:right="290" w:firstLine="448"/>
      </w:pPr>
      <w:r>
        <w:rPr/>
        <w:t>今后在实践中，医院应根据国家发布的法规内容，结合自身实际情况对环保设施做相应补充，使之更能满足实际需要和法规要求。</w:t>
      </w:r>
    </w:p>
    <w:p>
      <w:pPr>
        <w:spacing w:after="0" w:line="364" w:lineRule="auto"/>
        <w:sectPr>
          <w:pgSz w:w="11910" w:h="16840"/>
          <w:pgMar w:header="0" w:footer="881" w:top="1220" w:bottom="1160" w:left="1480" w:right="1020"/>
        </w:sectPr>
      </w:pPr>
    </w:p>
    <w:p>
      <w:pPr>
        <w:pStyle w:val="Heading1"/>
        <w:spacing w:before="152"/>
        <w:ind w:left="204"/>
      </w:pPr>
      <w:r>
        <w:rPr/>
        <w:pict>
          <v:group style="position:absolute;margin-left:79.080002pt;margin-top:62.399937pt;width:459.85pt;height:710.8pt;mso-position-horizontal-relative:page;mso-position-vertical-relative:page;z-index:-211600" coordorigin="1582,1248" coordsize="9197,14216">
            <v:line style="position:absolute" from="1582,1253" to="10769,1253" stroked="true" strokeweight=".479999pt" strokecolor="#000000">
              <v:stroke dashstyle="solid"/>
            </v:line>
            <v:line style="position:absolute" from="1586,1258" to="1586,15463" stroked="true" strokeweight=".48pt" strokecolor="#000000">
              <v:stroke dashstyle="solid"/>
            </v:line>
            <v:line style="position:absolute" from="1582,15458" to="10769,15458" stroked="true" strokeweight=".480011pt" strokecolor="#000000">
              <v:stroke dashstyle="solid"/>
            </v:line>
            <v:line style="position:absolute" from="10774,1248" to="10774,15463" stroked="true" strokeweight=".480011pt" strokecolor="#000000">
              <v:stroke dashstyle="solid"/>
            </v:line>
            <w10:wrap type="none"/>
          </v:group>
        </w:pict>
      </w:r>
      <w:r>
        <w:rPr/>
        <w:t>三废治理</w:t>
      </w:r>
      <w:r>
        <w:rPr>
          <w:w w:val="50"/>
        </w:rPr>
        <w:t> </w:t>
      </w:r>
    </w:p>
    <w:p>
      <w:pPr>
        <w:pStyle w:val="BodyText"/>
        <w:spacing w:before="214"/>
        <w:ind w:left="696"/>
      </w:pPr>
      <w:r>
        <w:rPr/>
        <w:t>一、施工期</w:t>
      </w:r>
      <w:r>
        <w:rPr>
          <w:w w:val="50"/>
        </w:rPr>
        <w:t> </w:t>
      </w:r>
    </w:p>
    <w:p>
      <w:pPr>
        <w:pStyle w:val="BodyText"/>
        <w:spacing w:line="364" w:lineRule="auto" w:before="160"/>
        <w:ind w:left="214" w:right="218" w:firstLine="480"/>
        <w:jc w:val="both"/>
      </w:pPr>
      <w:r>
        <w:rPr/>
        <w:t>医院在非放环评时，已经考虑医院各科室和医院大楼整体装修和设备安装可能产</w:t>
      </w:r>
      <w:r>
        <w:rPr>
          <w:spacing w:val="-13"/>
        </w:rPr>
        <w:t>生的污染，本项目对原有房间进行改造及室内装饰，产生的污染物处置依托医院非放环</w:t>
      </w:r>
      <w:r>
        <w:rPr/>
        <w:t>评处理设施。</w:t>
      </w:r>
    </w:p>
    <w:p>
      <w:pPr>
        <w:pStyle w:val="BodyText"/>
        <w:spacing w:before="2"/>
        <w:ind w:left="696"/>
      </w:pPr>
      <w:r>
        <w:rPr/>
        <w:t>二、营运期</w:t>
      </w:r>
      <w:r>
        <w:rPr>
          <w:w w:val="50"/>
        </w:rPr>
        <w:t> </w:t>
      </w:r>
    </w:p>
    <w:p>
      <w:pPr>
        <w:pStyle w:val="BodyText"/>
        <w:spacing w:before="161"/>
        <w:ind w:left="694"/>
      </w:pPr>
      <w:r>
        <w:rPr>
          <w:rFonts w:ascii="Times New Roman" w:eastAsia="Times New Roman"/>
        </w:rPr>
        <w:t>1</w:t>
      </w:r>
      <w:r>
        <w:rPr/>
        <w:t>、废气治理</w:t>
      </w:r>
    </w:p>
    <w:p>
      <w:pPr>
        <w:pStyle w:val="BodyText"/>
        <w:spacing w:line="364" w:lineRule="auto" w:before="159"/>
        <w:ind w:left="214" w:right="218" w:firstLine="480"/>
      </w:pPr>
      <w:r>
        <w:rPr>
          <w:rFonts w:ascii="Times New Roman" w:hAnsi="Times New Roman" w:eastAsia="Times New Roman"/>
          <w:position w:val="2"/>
        </w:rPr>
        <w:t>DSA </w:t>
      </w:r>
      <w:r>
        <w:rPr>
          <w:spacing w:val="-8"/>
          <w:position w:val="2"/>
        </w:rPr>
        <w:t>在开机出束期间，产生的 </w:t>
      </w:r>
      <w:r>
        <w:rPr>
          <w:rFonts w:ascii="Times New Roman" w:hAnsi="Times New Roman" w:eastAsia="Times New Roman"/>
          <w:position w:val="2"/>
        </w:rPr>
        <w:t>X </w:t>
      </w:r>
      <w:r>
        <w:rPr>
          <w:position w:val="2"/>
        </w:rPr>
        <w:t>射线与空气相互作用产生少量的臭氧(</w:t>
      </w:r>
      <w:r>
        <w:rPr>
          <w:rFonts w:ascii="Times New Roman" w:hAnsi="Times New Roman" w:eastAsia="Times New Roman"/>
          <w:position w:val="2"/>
        </w:rPr>
        <w:t>O</w:t>
      </w:r>
      <w:r>
        <w:rPr>
          <w:rFonts w:ascii="Times New Roman" w:hAnsi="Times New Roman" w:eastAsia="Times New Roman"/>
          <w:sz w:val="16"/>
        </w:rPr>
        <w:t>3</w:t>
      </w:r>
      <w:r>
        <w:rPr>
          <w:spacing w:val="-6"/>
          <w:position w:val="2"/>
        </w:rPr>
        <w:t>)。本项</w:t>
      </w:r>
      <w:r>
        <w:rPr>
          <w:spacing w:val="9"/>
        </w:rPr>
        <w:t>目介入治疗室内设置通排风系统，其动力排风（</w:t>
      </w:r>
      <w:r>
        <w:rPr>
          <w:spacing w:val="8"/>
        </w:rPr>
        <w:t>带初效过滤网百叶风口，</w:t>
      </w:r>
      <w:r>
        <w:rPr>
          <w:rFonts w:ascii="Times New Roman" w:hAnsi="Times New Roman" w:eastAsia="Times New Roman"/>
          <w:spacing w:val="2"/>
        </w:rPr>
        <w:t>400mm</w:t>
      </w:r>
      <w:r>
        <w:rPr>
          <w:spacing w:val="2"/>
        </w:rPr>
        <w:t>×</w:t>
      </w:r>
    </w:p>
    <w:p>
      <w:pPr>
        <w:pStyle w:val="BodyText"/>
        <w:spacing w:line="364" w:lineRule="auto" w:before="2"/>
        <w:ind w:left="214" w:right="218"/>
      </w:pPr>
      <w:r>
        <w:rPr>
          <w:rFonts w:ascii="Times New Roman" w:hAnsi="Times New Roman" w:eastAsia="Times New Roman"/>
        </w:rPr>
        <w:t>400</w:t>
      </w:r>
      <w:r>
        <w:rPr>
          <w:rFonts w:ascii="Times New Roman" w:hAnsi="Times New Roman" w:eastAsia="Times New Roman"/>
          <w:w w:val="99"/>
        </w:rPr>
        <w:t>m</w:t>
      </w:r>
      <w:r>
        <w:rPr>
          <w:rFonts w:ascii="Times New Roman" w:hAnsi="Times New Roman" w:eastAsia="Times New Roman"/>
          <w:spacing w:val="1"/>
          <w:w w:val="99"/>
        </w:rPr>
        <w:t>m</w:t>
      </w:r>
      <w:r>
        <w:rPr>
          <w:spacing w:val="-11"/>
        </w:rPr>
        <w:t>，排风量约为 </w:t>
      </w:r>
      <w:r>
        <w:rPr>
          <w:rFonts w:ascii="Times New Roman" w:hAnsi="Times New Roman" w:eastAsia="Times New Roman"/>
        </w:rPr>
        <w:t>4500</w:t>
      </w:r>
      <w:r>
        <w:rPr>
          <w:rFonts w:ascii="Times New Roman" w:hAnsi="Times New Roman" w:eastAsia="Times New Roman"/>
          <w:w w:val="99"/>
        </w:rPr>
        <w:t>m</w:t>
      </w:r>
      <w:r>
        <w:rPr>
          <w:rFonts w:ascii="Times New Roman" w:hAnsi="Times New Roman" w:eastAsia="Times New Roman"/>
          <w:w w:val="99"/>
        </w:rPr>
        <w:t>³</w:t>
      </w:r>
      <w:r>
        <w:rPr>
          <w:rFonts w:ascii="Times New Roman" w:hAnsi="Times New Roman" w:eastAsia="Times New Roman"/>
          <w:w w:val="99"/>
        </w:rPr>
        <w:t>/</w:t>
      </w:r>
      <w:r>
        <w:rPr>
          <w:rFonts w:ascii="Times New Roman" w:hAnsi="Times New Roman" w:eastAsia="Times New Roman"/>
          <w:spacing w:val="1"/>
        </w:rPr>
        <w:t>h</w:t>
      </w:r>
      <w:r>
        <w:rPr>
          <w:spacing w:val="-120"/>
        </w:rPr>
        <w:t>）</w:t>
      </w:r>
      <w:r>
        <w:rPr>
          <w:spacing w:val="-8"/>
        </w:rPr>
        <w:t>，通排风口均位于机房顶板约 </w:t>
      </w:r>
      <w:r>
        <w:rPr>
          <w:rFonts w:ascii="Times New Roman" w:hAnsi="Times New Roman" w:eastAsia="Times New Roman"/>
        </w:rPr>
        <w:t>3</w:t>
      </w:r>
      <w:r>
        <w:rPr>
          <w:rFonts w:ascii="Times New Roman" w:hAnsi="Times New Roman" w:eastAsia="Times New Roman"/>
          <w:w w:val="99"/>
        </w:rPr>
        <w:t>m</w:t>
      </w:r>
      <w:r>
        <w:rPr>
          <w:rFonts w:ascii="Times New Roman" w:hAnsi="Times New Roman" w:eastAsia="Times New Roman"/>
        </w:rPr>
        <w:t> </w:t>
      </w:r>
      <w:r>
        <w:rPr>
          <w:spacing w:val="-4"/>
        </w:rPr>
        <w:t>处，室内气体由通排</w:t>
      </w:r>
      <w:r>
        <w:rPr/>
        <w:t>风系统统一抽排至室外排放。</w:t>
      </w:r>
    </w:p>
    <w:p>
      <w:pPr>
        <w:pStyle w:val="BodyText"/>
        <w:spacing w:line="364" w:lineRule="auto" w:before="1"/>
        <w:ind w:left="214" w:right="218" w:firstLine="480"/>
        <w:jc w:val="both"/>
      </w:pPr>
      <w:r>
        <w:rPr>
          <w:spacing w:val="-8"/>
        </w:rPr>
        <w:t>本项目产生的臭氧通过换气系统排入环境大气后，经自然分解扩散，对环境产生影</w:t>
      </w:r>
      <w:r>
        <w:rPr>
          <w:spacing w:val="-13"/>
        </w:rPr>
        <w:t>响较小。从保护患者、医护人员的健康安全角度考虑，本项目辐射场所能保持较好的通</w:t>
      </w:r>
      <w:r>
        <w:rPr/>
        <w:t>风，其通风系统进、排风口位置的设置合理。</w:t>
      </w:r>
    </w:p>
    <w:p>
      <w:pPr>
        <w:pStyle w:val="BodyText"/>
        <w:spacing w:before="2"/>
        <w:ind w:left="694"/>
      </w:pPr>
      <w:r>
        <w:rPr>
          <w:rFonts w:ascii="Times New Roman" w:eastAsia="Times New Roman"/>
        </w:rPr>
        <w:t>2</w:t>
      </w:r>
      <w:r>
        <w:rPr/>
        <w:t>、废水</w:t>
      </w:r>
    </w:p>
    <w:p>
      <w:pPr>
        <w:pStyle w:val="BodyText"/>
        <w:spacing w:line="364" w:lineRule="auto" w:before="161"/>
        <w:ind w:left="214" w:right="101" w:firstLine="480"/>
      </w:pPr>
      <w:r>
        <w:rPr/>
        <w:t>本项目废水主要为辐射工作人员和患者产生的少量的生活污水及医疗废水。依托</w:t>
      </w:r>
      <w:r>
        <w:rPr>
          <w:spacing w:val="-12"/>
        </w:rPr>
        <w:t>医院污水处理站，废水经预处理后，经自建污水管网与医院原有污水管网碰管，汇入医院现污水处理系统（处理工艺：化粪池</w:t>
      </w:r>
      <w:r>
        <w:rPr>
          <w:rFonts w:ascii="Times New Roman" w:hAnsi="Times New Roman" w:eastAsia="Times New Roman"/>
          <w:spacing w:val="-12"/>
        </w:rPr>
        <w:t>+</w:t>
      </w:r>
      <w:r>
        <w:rPr>
          <w:spacing w:val="-12"/>
        </w:rPr>
        <w:t>格栅</w:t>
      </w:r>
      <w:r>
        <w:rPr>
          <w:rFonts w:ascii="Times New Roman" w:hAnsi="Times New Roman" w:eastAsia="Times New Roman"/>
          <w:spacing w:val="-12"/>
        </w:rPr>
        <w:t>+</w:t>
      </w:r>
      <w:r>
        <w:rPr>
          <w:spacing w:val="-12"/>
        </w:rPr>
        <w:t>调节池</w:t>
      </w:r>
      <w:r>
        <w:rPr>
          <w:rFonts w:ascii="Times New Roman" w:hAnsi="Times New Roman" w:eastAsia="Times New Roman"/>
          <w:spacing w:val="-12"/>
        </w:rPr>
        <w:t>+</w:t>
      </w:r>
      <w:r>
        <w:rPr>
          <w:spacing w:val="-12"/>
        </w:rPr>
        <w:t>一体化污水处理设备</w:t>
      </w:r>
      <w:r>
        <w:rPr>
          <w:rFonts w:ascii="Times New Roman" w:hAnsi="Times New Roman" w:eastAsia="Times New Roman"/>
          <w:spacing w:val="-12"/>
        </w:rPr>
        <w:t>+</w:t>
      </w:r>
      <w:r>
        <w:rPr>
          <w:spacing w:val="-12"/>
        </w:rPr>
        <w:t>消毒，处</w:t>
      </w:r>
      <w:r>
        <w:rPr>
          <w:spacing w:val="-23"/>
        </w:rPr>
        <w:t>理规模为 </w:t>
      </w:r>
      <w:r>
        <w:rPr>
          <w:rFonts w:ascii="Times New Roman" w:hAnsi="Times New Roman" w:eastAsia="Times New Roman"/>
          <w:spacing w:val="-5"/>
        </w:rPr>
        <w:t>400m</w:t>
      </w:r>
      <w:r>
        <w:rPr>
          <w:spacing w:val="-5"/>
        </w:rPr>
        <w:t>³</w:t>
      </w:r>
      <w:r>
        <w:rPr>
          <w:rFonts w:ascii="Times New Roman" w:hAnsi="Times New Roman" w:eastAsia="Times New Roman"/>
          <w:spacing w:val="-5"/>
        </w:rPr>
        <w:t>/d</w:t>
      </w:r>
      <w:r>
        <w:rPr>
          <w:spacing w:val="-5"/>
        </w:rPr>
        <w:t>）</w:t>
      </w:r>
      <w:r>
        <w:rPr>
          <w:spacing w:val="-10"/>
        </w:rPr>
        <w:t>处理，经处理达到《医疗机构水污染物排放标准</w:t>
      </w:r>
      <w:r>
        <w:rPr>
          <w:spacing w:val="-159"/>
        </w:rPr>
        <w:t>》</w:t>
      </w:r>
      <w:r>
        <w:rPr/>
        <w:t>（</w:t>
      </w:r>
      <w:r>
        <w:rPr>
          <w:rFonts w:ascii="Times New Roman" w:hAnsi="Times New Roman" w:eastAsia="Times New Roman"/>
        </w:rPr>
        <w:t>GB18466-2005</w:t>
      </w:r>
      <w:r>
        <w:rPr/>
        <w:t>） </w:t>
      </w:r>
      <w:r>
        <w:rPr>
          <w:spacing w:val="-16"/>
        </w:rPr>
        <w:t>中的表 </w:t>
      </w:r>
      <w:r>
        <w:rPr>
          <w:rFonts w:ascii="Times New Roman" w:hAnsi="Times New Roman" w:eastAsia="Times New Roman"/>
          <w:spacing w:val="-16"/>
        </w:rPr>
        <w:t>2</w:t>
      </w:r>
      <w:r>
        <w:rPr>
          <w:spacing w:val="-10"/>
        </w:rPr>
        <w:t>“排放标准”限值要求后，可排入市政污水管网送三台县城市生活污水处理厂</w:t>
      </w:r>
      <w:r>
        <w:rPr>
          <w:spacing w:val="-12"/>
        </w:rPr>
        <w:t>进一步处理，最终达《城镇污水处理厂污染物排放标准</w:t>
      </w:r>
      <w:r>
        <w:rPr>
          <w:spacing w:val="-154"/>
        </w:rPr>
        <w:t>》</w:t>
      </w:r>
      <w:r>
        <w:rPr>
          <w:spacing w:val="-3"/>
        </w:rPr>
        <w:t>（</w:t>
      </w:r>
      <w:r>
        <w:rPr>
          <w:rFonts w:ascii="Times New Roman" w:hAnsi="Times New Roman" w:eastAsia="Times New Roman"/>
          <w:spacing w:val="-3"/>
        </w:rPr>
        <w:t>GB18918-2002</w:t>
      </w:r>
      <w:r>
        <w:rPr>
          <w:spacing w:val="-3"/>
        </w:rPr>
        <w:t>）</w:t>
      </w:r>
      <w:r>
        <w:rPr>
          <w:spacing w:val="-15"/>
        </w:rPr>
        <w:t>的一级 </w:t>
      </w:r>
      <w:r>
        <w:rPr>
          <w:rFonts w:ascii="Times New Roman" w:hAnsi="Times New Roman" w:eastAsia="Times New Roman"/>
        </w:rPr>
        <w:t>A </w:t>
      </w:r>
      <w:r>
        <w:rPr/>
        <w:t>标准限值要求后排入涪江。</w:t>
      </w:r>
    </w:p>
    <w:p>
      <w:pPr>
        <w:pStyle w:val="BodyText"/>
        <w:spacing w:before="4"/>
        <w:ind w:left="694"/>
      </w:pPr>
      <w:r>
        <w:rPr>
          <w:rFonts w:ascii="Times New Roman" w:eastAsia="Times New Roman"/>
        </w:rPr>
        <w:t>3</w:t>
      </w:r>
      <w:r>
        <w:rPr/>
        <w:t>、噪声</w:t>
      </w:r>
    </w:p>
    <w:p>
      <w:pPr>
        <w:pStyle w:val="BodyText"/>
        <w:spacing w:line="364" w:lineRule="auto" w:before="160"/>
        <w:ind w:left="214" w:right="76" w:firstLine="480"/>
      </w:pPr>
      <w:r>
        <w:rPr/>
        <w:t>项目噪声源为介入治疗室通排风装置，该装置采用低噪声设备且带有消声静压箱， 经建筑物墙体隔声及医院场址内的距离衰减后，运行期间厂界噪声可达到相关标准要求。</w:t>
      </w:r>
    </w:p>
    <w:p>
      <w:pPr>
        <w:pStyle w:val="BodyText"/>
        <w:spacing w:before="2"/>
        <w:ind w:left="694"/>
      </w:pPr>
      <w:r>
        <w:rPr>
          <w:rFonts w:ascii="Times New Roman" w:eastAsia="Times New Roman"/>
        </w:rPr>
        <w:t>4</w:t>
      </w:r>
      <w:r>
        <w:rPr/>
        <w:t>、固体废物</w:t>
      </w:r>
    </w:p>
    <w:p>
      <w:pPr>
        <w:pStyle w:val="BodyText"/>
        <w:spacing w:line="364" w:lineRule="auto" w:before="161"/>
        <w:ind w:left="214" w:right="220" w:firstLine="480"/>
        <w:jc w:val="both"/>
      </w:pPr>
      <w:r>
        <w:rPr>
          <w:spacing w:val="-7"/>
        </w:rPr>
        <w:t>本项目产生的固体废物主要为介入手术时产生的医用器具、药棉、纱布、废造影剂</w:t>
      </w:r>
      <w:r>
        <w:rPr>
          <w:spacing w:val="-6"/>
        </w:rPr>
        <w:t>及废造影剂瓶等医用废物，产生量约为 </w:t>
      </w:r>
      <w:r>
        <w:rPr>
          <w:rFonts w:ascii="Times New Roman" w:eastAsia="Times New Roman"/>
        </w:rPr>
        <w:t>10kg/</w:t>
      </w:r>
      <w:r>
        <w:rPr>
          <w:spacing w:val="-6"/>
        </w:rPr>
        <w:t>月。其中外购的造影剂均采用不锈钢药品</w:t>
      </w:r>
      <w:r>
        <w:rPr/>
        <w:t>柜单独密闭并加锁保存，钥匙交专人保管</w:t>
      </w:r>
      <w:r>
        <w:rPr>
          <w:rFonts w:ascii="Times New Roman" w:eastAsia="Times New Roman"/>
        </w:rPr>
        <w:t>;</w:t>
      </w:r>
      <w:r>
        <w:rPr>
          <w:spacing w:val="-1"/>
        </w:rPr>
        <w:t>在进行介入手术时，使用带托盘的不锈钢推</w:t>
      </w:r>
    </w:p>
    <w:p>
      <w:pPr>
        <w:spacing w:after="0" w:line="364" w:lineRule="auto"/>
        <w:jc w:val="both"/>
        <w:sectPr>
          <w:pgSz w:w="11910" w:h="16840"/>
          <w:pgMar w:header="0" w:footer="881" w:top="1220" w:bottom="1160" w:left="1480" w:right="1020"/>
        </w:sectPr>
      </w:pPr>
    </w:p>
    <w:p>
      <w:pPr>
        <w:pStyle w:val="BodyText"/>
        <w:spacing w:line="364" w:lineRule="auto" w:before="100"/>
        <w:ind w:left="214" w:right="218"/>
        <w:jc w:val="both"/>
      </w:pPr>
      <w:r>
        <w:rPr/>
        <w:pict>
          <v:group style="position:absolute;margin-left:79.080002pt;margin-top:62.399937pt;width:459.85pt;height:703pt;mso-position-horizontal-relative:page;mso-position-vertical-relative:page;z-index:-211576" coordorigin="1582,1248" coordsize="9197,14060">
            <v:line style="position:absolute" from="1582,1253" to="10769,1253" stroked="true" strokeweight=".479999pt" strokecolor="#000000">
              <v:stroke dashstyle="solid"/>
            </v:line>
            <v:line style="position:absolute" from="1586,1258" to="1586,15307" stroked="true" strokeweight=".48pt" strokecolor="#000000">
              <v:stroke dashstyle="solid"/>
            </v:line>
            <v:line style="position:absolute" from="1582,15302" to="10769,15302" stroked="true" strokeweight=".479965pt" strokecolor="#000000">
              <v:stroke dashstyle="solid"/>
            </v:line>
            <v:line style="position:absolute" from="10774,1248" to="10774,15307" stroked="true" strokeweight=".480011pt" strokecolor="#000000">
              <v:stroke dashstyle="solid"/>
            </v:line>
            <w10:wrap type="none"/>
          </v:group>
        </w:pict>
      </w:r>
      <w:r>
        <w:rPr>
          <w:spacing w:val="-13"/>
        </w:rPr>
        <w:t>车进行运送；未使用完和过期的造影剂均作为医疗废物处理，介入手术产生的医疗废物</w:t>
      </w:r>
      <w:r>
        <w:rPr/>
        <w:t>采用专门的收集容器统一收集并暂存于医院现有的危险废物污物间，定期由有资质的医疗废物处置单位统一收集处置。</w:t>
      </w:r>
    </w:p>
    <w:p>
      <w:pPr>
        <w:pStyle w:val="BodyText"/>
        <w:spacing w:line="364" w:lineRule="auto" w:before="2"/>
        <w:ind w:left="214" w:right="220" w:firstLine="480"/>
        <w:jc w:val="both"/>
      </w:pPr>
      <w:r>
        <w:rPr/>
        <w:t>本项目工作人员产生的生活垃圾不属于医疗废物，集中暂存于院区内生活垃圾暂存间，由环卫部门定期统一收集、清运至垃圾处理厂处置。</w:t>
      </w:r>
    </w:p>
    <w:p>
      <w:pPr>
        <w:pStyle w:val="BodyText"/>
        <w:spacing w:before="1"/>
        <w:ind w:left="694"/>
      </w:pPr>
      <w:r>
        <w:rPr>
          <w:rFonts w:ascii="Times New Roman" w:eastAsia="Times New Roman"/>
        </w:rPr>
        <w:t>5</w:t>
      </w:r>
      <w:r>
        <w:rPr/>
        <w:t>、射线装置报废处理</w:t>
      </w:r>
    </w:p>
    <w:p>
      <w:pPr>
        <w:pStyle w:val="BodyText"/>
        <w:spacing w:line="364" w:lineRule="auto" w:before="161"/>
        <w:ind w:left="214" w:right="218" w:firstLine="480"/>
        <w:jc w:val="both"/>
      </w:pPr>
      <w:r>
        <w:rPr>
          <w:spacing w:val="-12"/>
        </w:rPr>
        <w:t>根据《四川省辐射污染防治条例》，“射线装置在报废处置时，使用单位应当对射</w:t>
      </w:r>
      <w:r>
        <w:rPr/>
        <w:t>线装置内的高压射线管进行拆解和去功能化”。本项目使用的 </w:t>
      </w:r>
      <w:r>
        <w:rPr>
          <w:rFonts w:ascii="Times New Roman" w:hAnsi="Times New Roman" w:eastAsia="Times New Roman"/>
        </w:rPr>
        <w:t>DSA </w:t>
      </w:r>
      <w:r>
        <w:rPr/>
        <w:t>在进行报废处理时，应将该射线装置的高压射线管进行拆卸并破碎处理等去功能化措施并按相应要求执行报废程序。</w:t>
      </w:r>
    </w:p>
    <w:p>
      <w:pPr>
        <w:pStyle w:val="BodyText"/>
        <w:ind w:left="214"/>
        <w:jc w:val="both"/>
      </w:pPr>
      <w:r>
        <w:rPr>
          <w:w w:val="50"/>
        </w:rPr>
        <w:t> </w:t>
      </w:r>
    </w:p>
    <w:p>
      <w:pPr>
        <w:pStyle w:val="BodyText"/>
        <w:spacing w:before="160"/>
        <w:ind w:left="214"/>
        <w:jc w:val="both"/>
      </w:pPr>
      <w:r>
        <w:rPr>
          <w:w w:val="50"/>
        </w:rPr>
        <w:t> </w:t>
      </w:r>
    </w:p>
    <w:p>
      <w:pPr>
        <w:pStyle w:val="BodyText"/>
        <w:spacing w:before="161"/>
        <w:ind w:left="214"/>
        <w:jc w:val="both"/>
      </w:pPr>
      <w:r>
        <w:rPr>
          <w:w w:val="50"/>
        </w:rPr>
        <w:t> </w:t>
      </w:r>
    </w:p>
    <w:p>
      <w:pPr>
        <w:pStyle w:val="BodyText"/>
        <w:spacing w:before="160"/>
        <w:ind w:left="214"/>
        <w:jc w:val="both"/>
      </w:pPr>
      <w:r>
        <w:rPr>
          <w:w w:val="50"/>
        </w:rPr>
        <w:t> </w:t>
      </w:r>
    </w:p>
    <w:p>
      <w:pPr>
        <w:pStyle w:val="BodyText"/>
        <w:spacing w:before="161"/>
        <w:ind w:left="214"/>
        <w:jc w:val="both"/>
      </w:pPr>
      <w:r>
        <w:rPr>
          <w:w w:val="50"/>
        </w:rPr>
        <w:t> </w:t>
      </w:r>
    </w:p>
    <w:p>
      <w:pPr>
        <w:pStyle w:val="BodyText"/>
        <w:spacing w:before="160"/>
        <w:ind w:left="214"/>
        <w:jc w:val="both"/>
      </w:pPr>
      <w:r>
        <w:rPr>
          <w:w w:val="50"/>
        </w:rPr>
        <w:t> </w:t>
      </w:r>
    </w:p>
    <w:p>
      <w:pPr>
        <w:spacing w:after="0"/>
        <w:jc w:val="both"/>
        <w:sectPr>
          <w:pgSz w:w="11910" w:h="16840"/>
          <w:pgMar w:header="0" w:footer="881" w:top="1220" w:bottom="1160" w:left="1480" w:right="1020"/>
        </w:sectPr>
      </w:pPr>
    </w:p>
    <w:p>
      <w:pPr>
        <w:pStyle w:val="Heading1"/>
      </w:pPr>
      <w:r>
        <w:rPr/>
        <w:pict>
          <v:group style="position:absolute;margin-left:81.959999pt;margin-top:93.599945pt;width:454.2pt;height:664pt;mso-position-horizontal-relative:page;mso-position-vertical-relative:page;z-index:-211552" coordorigin="1639,1872" coordsize="9084,13280">
            <v:line style="position:absolute" from="1639,1877" to="10714,1877" stroked="true" strokeweight=".479999pt" strokecolor="#000000">
              <v:stroke dashstyle="solid"/>
            </v:line>
            <v:line style="position:absolute" from="1644,1882" to="1644,15151" stroked="true" strokeweight=".479999pt" strokecolor="#000000">
              <v:stroke dashstyle="solid"/>
            </v:line>
            <v:line style="position:absolute" from="1639,15146" to="10714,15146" stroked="true" strokeweight=".480011pt" strokecolor="#000000">
              <v:stroke dashstyle="solid"/>
            </v:line>
            <v:line style="position:absolute" from="10718,1872" to="10718,15151" stroked="true" strokeweight=".480011pt" strokecolor="#000000">
              <v:stroke dashstyle="solid"/>
            </v:line>
            <w10:wrap type="none"/>
          </v:group>
        </w:pict>
      </w:r>
      <w:r>
        <w:rPr/>
        <w:t>表 11 环境影响分析</w:t>
      </w:r>
      <w:r>
        <w:rPr>
          <w:w w:val="50"/>
        </w:rPr>
        <w:t> </w:t>
      </w:r>
    </w:p>
    <w:p>
      <w:pPr>
        <w:spacing w:before="275"/>
        <w:ind w:left="262" w:right="0" w:firstLine="0"/>
        <w:jc w:val="left"/>
        <w:rPr>
          <w:sz w:val="28"/>
        </w:rPr>
      </w:pPr>
      <w:r>
        <w:rPr>
          <w:sz w:val="28"/>
        </w:rPr>
        <w:t>建设阶段对环境的影响</w:t>
      </w:r>
      <w:r>
        <w:rPr>
          <w:w w:val="50"/>
          <w:sz w:val="28"/>
        </w:rPr>
        <w:t> </w:t>
      </w:r>
    </w:p>
    <w:p>
      <w:pPr>
        <w:pStyle w:val="BodyText"/>
        <w:spacing w:before="214"/>
        <w:ind w:left="754"/>
        <w:rPr>
          <w:sz w:val="28"/>
        </w:rPr>
      </w:pPr>
      <w:r>
        <w:rPr/>
        <w:t>一、土建、装饰施工的环境影响分析</w:t>
      </w:r>
      <w:r>
        <w:rPr>
          <w:w w:val="50"/>
          <w:sz w:val="28"/>
        </w:rPr>
        <w:t> </w:t>
      </w:r>
      <w:r>
        <w:rPr>
          <w:sz w:val="28"/>
        </w:rPr>
        <w:t> </w:t>
      </w:r>
      <w:r>
        <w:rPr>
          <w:w w:val="50"/>
          <w:sz w:val="28"/>
        </w:rPr>
        <w:t> </w:t>
      </w:r>
    </w:p>
    <w:p>
      <w:pPr>
        <w:pStyle w:val="BodyText"/>
        <w:spacing w:line="364" w:lineRule="auto" w:before="160"/>
        <w:ind w:left="272" w:right="156" w:firstLine="480"/>
        <w:jc w:val="both"/>
      </w:pPr>
      <w:r>
        <w:rPr>
          <w:spacing w:val="-11"/>
        </w:rPr>
        <w:t>根据前节工程分析介绍，本项目主要房间改造和装修。施工期主要的污染因子有： </w:t>
      </w:r>
      <w:r>
        <w:rPr>
          <w:spacing w:val="-14"/>
        </w:rPr>
        <w:t>噪声、扬尘、废水、固体废物等。项目建设过程中，医院医疗服务工作仍将正常进行。</w:t>
      </w:r>
      <w:r>
        <w:rPr/>
        <w:t>施工产生的污染特别是扬尘和噪声可对医院自身环境以及周围的环境带来影响。</w:t>
      </w:r>
    </w:p>
    <w:p>
      <w:pPr>
        <w:pStyle w:val="BodyText"/>
        <w:spacing w:before="2"/>
        <w:ind w:left="752"/>
      </w:pPr>
      <w:r>
        <w:rPr/>
        <w:t>施工期主要的污染因子有：噪声、扬尘、废水、废气、固体废物等。</w:t>
      </w:r>
    </w:p>
    <w:p>
      <w:pPr>
        <w:pStyle w:val="ListParagraph"/>
        <w:numPr>
          <w:ilvl w:val="0"/>
          <w:numId w:val="18"/>
        </w:numPr>
        <w:tabs>
          <w:tab w:pos="1472" w:val="left" w:leader="none"/>
        </w:tabs>
        <w:spacing w:line="240" w:lineRule="auto" w:before="161" w:after="0"/>
        <w:ind w:left="1472" w:right="0" w:hanging="720"/>
        <w:jc w:val="left"/>
        <w:rPr>
          <w:sz w:val="24"/>
        </w:rPr>
      </w:pPr>
      <w:r>
        <w:rPr>
          <w:sz w:val="24"/>
        </w:rPr>
        <w:t>扬尘及防治措施</w:t>
      </w:r>
    </w:p>
    <w:p>
      <w:pPr>
        <w:pStyle w:val="BodyText"/>
        <w:spacing w:line="364" w:lineRule="auto" w:before="160"/>
        <w:ind w:left="272" w:right="273" w:firstLine="480"/>
        <w:jc w:val="both"/>
      </w:pPr>
      <w:r>
        <w:rPr>
          <w:spacing w:val="-3"/>
        </w:rPr>
        <w:t>主要为房间的建设及改造时机械敲打、钻动墙体等产生的粉尘。为减小施工期间</w:t>
      </w:r>
      <w:r>
        <w:rPr>
          <w:spacing w:val="-4"/>
        </w:rPr>
        <w:t>扬尘对外界环境的影响，施工单位应做到以下几点：加强施工现场管理，应进行适当</w:t>
      </w:r>
      <w:r>
        <w:rPr/>
        <w:t>的加湿处理。</w:t>
      </w:r>
    </w:p>
    <w:p>
      <w:pPr>
        <w:pStyle w:val="ListParagraph"/>
        <w:numPr>
          <w:ilvl w:val="0"/>
          <w:numId w:val="18"/>
        </w:numPr>
        <w:tabs>
          <w:tab w:pos="1472" w:val="left" w:leader="none"/>
        </w:tabs>
        <w:spacing w:line="240" w:lineRule="auto" w:before="2" w:after="0"/>
        <w:ind w:left="1472" w:right="0" w:hanging="720"/>
        <w:jc w:val="left"/>
        <w:rPr>
          <w:sz w:val="24"/>
        </w:rPr>
      </w:pPr>
      <w:r>
        <w:rPr>
          <w:sz w:val="24"/>
        </w:rPr>
        <w:t>废水及防治措施</w:t>
      </w:r>
    </w:p>
    <w:p>
      <w:pPr>
        <w:pStyle w:val="BodyText"/>
        <w:spacing w:line="364" w:lineRule="auto" w:before="161"/>
        <w:ind w:left="272" w:right="227" w:firstLine="480"/>
      </w:pPr>
      <w:r>
        <w:rPr/>
        <w:t>施工期间产生的废水主要表现为施工废水及施工人员的生活污水，依托医院原有污水处理设施处理。</w:t>
      </w:r>
    </w:p>
    <w:p>
      <w:pPr>
        <w:pStyle w:val="ListParagraph"/>
        <w:numPr>
          <w:ilvl w:val="0"/>
          <w:numId w:val="18"/>
        </w:numPr>
        <w:tabs>
          <w:tab w:pos="1472" w:val="left" w:leader="none"/>
        </w:tabs>
        <w:spacing w:line="240" w:lineRule="auto" w:before="1" w:after="0"/>
        <w:ind w:left="1472" w:right="0" w:hanging="720"/>
        <w:jc w:val="left"/>
        <w:rPr>
          <w:sz w:val="24"/>
        </w:rPr>
      </w:pPr>
      <w:r>
        <w:rPr>
          <w:sz w:val="24"/>
        </w:rPr>
        <w:t>噪声及防治措施</w:t>
      </w:r>
    </w:p>
    <w:p>
      <w:pPr>
        <w:pStyle w:val="BodyText"/>
        <w:spacing w:line="364" w:lineRule="auto" w:before="160"/>
        <w:ind w:left="272" w:right="252" w:firstLine="480"/>
      </w:pPr>
      <w:r>
        <w:rPr/>
        <w:t>主要来自于房间的改造及现场处理等。通过选取噪音低、振动小的设备操作等， 并合理安排施工时间等措施能减轻对外界的影响。</w:t>
      </w:r>
    </w:p>
    <w:p>
      <w:pPr>
        <w:pStyle w:val="ListParagraph"/>
        <w:numPr>
          <w:ilvl w:val="0"/>
          <w:numId w:val="18"/>
        </w:numPr>
        <w:tabs>
          <w:tab w:pos="1353" w:val="left" w:leader="none"/>
        </w:tabs>
        <w:spacing w:line="240" w:lineRule="auto" w:before="1" w:after="0"/>
        <w:ind w:left="1353" w:right="0" w:hanging="601"/>
        <w:jc w:val="left"/>
        <w:rPr>
          <w:sz w:val="24"/>
        </w:rPr>
      </w:pPr>
      <w:r>
        <w:rPr>
          <w:sz w:val="24"/>
        </w:rPr>
        <w:t>废气</w:t>
      </w:r>
    </w:p>
    <w:p>
      <w:pPr>
        <w:pStyle w:val="BodyText"/>
        <w:spacing w:line="364" w:lineRule="auto" w:before="161"/>
        <w:ind w:left="272" w:right="273" w:firstLine="480"/>
        <w:jc w:val="both"/>
      </w:pPr>
      <w:r>
        <w:rPr>
          <w:spacing w:val="-3"/>
        </w:rPr>
        <w:t>施工期的废气主要产生在装修过程中，在装修时喷涂等工序产生的废气和装修材</w:t>
      </w:r>
      <w:r>
        <w:rPr>
          <w:spacing w:val="-4"/>
        </w:rPr>
        <w:t>料中释放的废气，影响装修人员的身体健康，该废气的排放属无组织排放。在装修期</w:t>
      </w:r>
      <w:r>
        <w:rPr>
          <w:spacing w:val="-6"/>
        </w:rPr>
        <w:t>间，应加强室内的通风换气，装修结束后，也应每天进行通风换气一段时间后才能投</w:t>
      </w:r>
      <w:r>
        <w:rPr/>
        <w:t>入使用。</w:t>
      </w:r>
    </w:p>
    <w:p>
      <w:pPr>
        <w:pStyle w:val="ListParagraph"/>
        <w:numPr>
          <w:ilvl w:val="0"/>
          <w:numId w:val="18"/>
        </w:numPr>
        <w:tabs>
          <w:tab w:pos="1353" w:val="left" w:leader="none"/>
        </w:tabs>
        <w:spacing w:line="240" w:lineRule="auto" w:before="2" w:after="0"/>
        <w:ind w:left="1353" w:right="0" w:hanging="601"/>
        <w:jc w:val="left"/>
        <w:rPr>
          <w:sz w:val="24"/>
        </w:rPr>
      </w:pPr>
      <w:r>
        <w:rPr>
          <w:sz w:val="24"/>
        </w:rPr>
        <w:t>固体废物及防治措施</w:t>
      </w:r>
    </w:p>
    <w:p>
      <w:pPr>
        <w:pStyle w:val="BodyText"/>
        <w:spacing w:line="364" w:lineRule="auto" w:before="161"/>
        <w:ind w:left="272" w:right="276" w:firstLine="480"/>
        <w:jc w:val="both"/>
      </w:pPr>
      <w:r>
        <w:rPr>
          <w:spacing w:val="-2"/>
        </w:rPr>
        <w:t>施工过程中固体废物主要为建筑垃圾以及施工人员产生的生活垃圾。施工期产生</w:t>
      </w:r>
      <w:r>
        <w:rPr>
          <w:spacing w:val="-4"/>
        </w:rPr>
        <w:t>的固体废物应妥善处理，施工垃圾由施工单位集中收集到指定地点进行处理；生活垃</w:t>
      </w:r>
      <w:r>
        <w:rPr/>
        <w:t>圾经统一收集后交由市政环卫部门处理。</w:t>
      </w:r>
    </w:p>
    <w:p>
      <w:pPr>
        <w:pStyle w:val="BodyText"/>
        <w:spacing w:line="364" w:lineRule="auto" w:before="2"/>
        <w:ind w:left="272" w:right="225" w:firstLine="480"/>
      </w:pPr>
      <w:r>
        <w:rPr/>
        <w:t>本项目工程量小，施工期短，对外界的影响是暂时的，随着施工期的结束，影响也将消失。通过采取相应的污染防治措施后，本项目对外界的影响较小。</w:t>
      </w:r>
    </w:p>
    <w:p>
      <w:pPr>
        <w:spacing w:after="0" w:line="364" w:lineRule="auto"/>
        <w:sectPr>
          <w:pgSz w:w="11910" w:h="16840"/>
          <w:pgMar w:header="0" w:footer="881" w:top="1320" w:bottom="1160" w:left="1480" w:right="1020"/>
        </w:sectPr>
      </w:pPr>
    </w:p>
    <w:p>
      <w:pPr>
        <w:pStyle w:val="BodyText"/>
        <w:spacing w:before="100"/>
        <w:ind w:left="754"/>
      </w:pPr>
      <w:r>
        <w:rPr/>
        <w:t>二、设备安装调试期间的环境影响分析</w:t>
      </w:r>
      <w:r>
        <w:rPr>
          <w:w w:val="50"/>
        </w:rPr>
        <w:t> </w:t>
      </w:r>
      <w:r>
        <w:rPr/>
        <w:t> </w:t>
      </w:r>
      <w:r>
        <w:rPr>
          <w:w w:val="50"/>
        </w:rPr>
        <w:t> </w:t>
      </w:r>
    </w:p>
    <w:p>
      <w:pPr>
        <w:pStyle w:val="BodyText"/>
        <w:spacing w:line="364" w:lineRule="auto" w:before="161"/>
        <w:ind w:left="272" w:right="252" w:firstLine="480"/>
        <w:jc w:val="both"/>
      </w:pPr>
      <w:r>
        <w:rPr>
          <w:spacing w:val="-3"/>
        </w:rPr>
        <w:t>本项目设备的安装、调试应请设备厂家专业人员进行，医院方不得自行安装及调</w:t>
      </w:r>
      <w:r>
        <w:rPr>
          <w:spacing w:val="-6"/>
        </w:rPr>
        <w:t>试设备。在设备安装调试阶段，应加强辐射防护管理，在此过程中应保证各屏蔽体屏</w:t>
      </w:r>
      <w:r>
        <w:rPr>
          <w:spacing w:val="-7"/>
        </w:rPr>
        <w:t>蔽到位，关闭防护门，在调试的介入治疗室门外设立电离辐射警告标志，禁止无关人</w:t>
      </w:r>
      <w:r>
        <w:rPr>
          <w:spacing w:val="-8"/>
        </w:rPr>
        <w:t>员靠近。人员离开时机房必须上锁并派人看守。设备安装调试阶段，不允许其他无关人员进入</w:t>
      </w:r>
      <w:r>
        <w:rPr>
          <w:rFonts w:ascii="Times New Roman" w:eastAsia="Times New Roman"/>
          <w:spacing w:val="-8"/>
        </w:rPr>
        <w:t>DSA</w:t>
      </w:r>
      <w:r>
        <w:rPr>
          <w:spacing w:val="-8"/>
        </w:rPr>
        <w:t>所在区域，防止辐射事故发生。由于设备的安装和调试均在介入治疗室</w:t>
      </w:r>
      <w:r>
        <w:rPr>
          <w:spacing w:val="-9"/>
        </w:rPr>
        <w:t>内进行，经过墙体的屏蔽和距离衰减后对环境的影响是可接受的。设备安装完成后， </w:t>
      </w:r>
      <w:r>
        <w:rPr>
          <w:spacing w:val="-1"/>
        </w:rPr>
        <w:t>医院方需及时回收包装材料及其它固体废物并作为一般固体废物进行处置，不得随意丢弃。</w:t>
      </w:r>
    </w:p>
    <w:p>
      <w:pPr>
        <w:pStyle w:val="Heading1"/>
        <w:spacing w:before="66"/>
        <w:ind w:left="272"/>
      </w:pPr>
      <w:r>
        <w:rPr/>
        <w:t>运行阶段对环境的影响</w:t>
      </w:r>
      <w:r>
        <w:rPr>
          <w:w w:val="50"/>
        </w:rPr>
        <w:t> </w:t>
      </w:r>
    </w:p>
    <w:p>
      <w:pPr>
        <w:pStyle w:val="BodyText"/>
        <w:spacing w:before="214"/>
        <w:ind w:left="754"/>
      </w:pPr>
      <w:r>
        <w:rPr/>
        <w:t>一、机房屏蔽体厚度合理性分析</w:t>
      </w:r>
      <w:r>
        <w:rPr>
          <w:w w:val="50"/>
        </w:rPr>
        <w:t> </w:t>
      </w:r>
    </w:p>
    <w:p>
      <w:pPr>
        <w:pStyle w:val="BodyText"/>
        <w:spacing w:before="160"/>
        <w:ind w:left="754"/>
      </w:pPr>
      <w:r>
        <w:rPr/>
        <w:t>1、介入治疗室的屏蔽防护铅当量厚度与标准要求的相符性分析评价</w:t>
      </w:r>
      <w:r>
        <w:rPr>
          <w:w w:val="50"/>
        </w:rPr>
        <w:t> </w:t>
      </w:r>
    </w:p>
    <w:p>
      <w:pPr>
        <w:pStyle w:val="ListParagraph"/>
        <w:numPr>
          <w:ilvl w:val="0"/>
          <w:numId w:val="19"/>
        </w:numPr>
        <w:tabs>
          <w:tab w:pos="1353" w:val="left" w:leader="none"/>
        </w:tabs>
        <w:spacing w:line="240" w:lineRule="auto" w:before="161" w:after="0"/>
        <w:ind w:left="1353" w:right="0" w:hanging="601"/>
        <w:jc w:val="left"/>
        <w:rPr>
          <w:sz w:val="24"/>
        </w:rPr>
      </w:pPr>
      <w:r>
        <w:rPr>
          <w:sz w:val="24"/>
        </w:rPr>
        <w:t>评价标准</w:t>
      </w:r>
    </w:p>
    <w:p>
      <w:pPr>
        <w:pStyle w:val="BodyText"/>
        <w:spacing w:line="364" w:lineRule="auto" w:before="160"/>
        <w:ind w:left="272" w:right="273" w:firstLine="480"/>
      </w:pPr>
      <w:r>
        <w:rPr>
          <w:spacing w:val="-6"/>
        </w:rPr>
        <w:t>根据《放射诊断放射防护要求</w:t>
      </w:r>
      <w:r>
        <w:rPr>
          <w:spacing w:val="-149"/>
        </w:rPr>
        <w:t>》</w:t>
      </w:r>
      <w:r>
        <w:rPr/>
        <w:t>（</w:t>
      </w:r>
      <w:r>
        <w:rPr>
          <w:rFonts w:ascii="Times New Roman" w:eastAsia="Times New Roman"/>
        </w:rPr>
        <w:t>GBZ </w:t>
      </w:r>
      <w:r>
        <w:rPr>
          <w:rFonts w:ascii="Times New Roman" w:eastAsia="Times New Roman"/>
          <w:spacing w:val="-4"/>
        </w:rPr>
        <w:t>130-2020</w:t>
      </w:r>
      <w:r>
        <w:rPr>
          <w:spacing w:val="-4"/>
        </w:rPr>
        <w:t>）</w:t>
      </w:r>
      <w:r>
        <w:rPr>
          <w:spacing w:val="-30"/>
        </w:rPr>
        <w:t>表 </w:t>
      </w:r>
      <w:r>
        <w:rPr>
          <w:rFonts w:ascii="Times New Roman" w:eastAsia="Times New Roman"/>
        </w:rPr>
        <w:t>3 </w:t>
      </w:r>
      <w:r>
        <w:rPr>
          <w:spacing w:val="-9"/>
        </w:rPr>
        <w:t>规定，主束方向、非有用线</w:t>
      </w:r>
      <w:r>
        <w:rPr>
          <w:spacing w:val="-4"/>
        </w:rPr>
        <w:t>束方向屏蔽体的铅当量均应不小于 </w:t>
      </w:r>
      <w:r>
        <w:rPr>
          <w:rFonts w:ascii="Times New Roman" w:eastAsia="Times New Roman"/>
        </w:rPr>
        <w:t>2.0mmPb</w:t>
      </w:r>
      <w:r>
        <w:rPr/>
        <w:t>。</w:t>
      </w:r>
    </w:p>
    <w:p>
      <w:pPr>
        <w:pStyle w:val="ListParagraph"/>
        <w:numPr>
          <w:ilvl w:val="0"/>
          <w:numId w:val="19"/>
        </w:numPr>
        <w:tabs>
          <w:tab w:pos="1353" w:val="left" w:leader="none"/>
        </w:tabs>
        <w:spacing w:line="240" w:lineRule="auto" w:before="1" w:after="0"/>
        <w:ind w:left="1353" w:right="0" w:hanging="601"/>
        <w:jc w:val="left"/>
        <w:rPr>
          <w:sz w:val="24"/>
        </w:rPr>
      </w:pPr>
      <w:r>
        <w:rPr>
          <w:sz w:val="24"/>
        </w:rPr>
        <w:t>本项目介入治疗室各屏蔽部位的铅当量厚度核算</w:t>
      </w:r>
    </w:p>
    <w:p>
      <w:pPr>
        <w:pStyle w:val="BodyText"/>
        <w:spacing w:line="364" w:lineRule="auto" w:before="161"/>
        <w:ind w:left="272" w:right="269" w:firstLine="468"/>
      </w:pPr>
      <w:r>
        <w:rPr>
          <w:spacing w:val="-8"/>
        </w:rPr>
        <w:t>本项目依据《放射诊断放射防护要求》</w:t>
      </w:r>
      <w:r>
        <w:rPr>
          <w:spacing w:val="-4"/>
        </w:rPr>
        <w:t>（</w:t>
      </w:r>
      <w:r>
        <w:rPr>
          <w:rFonts w:ascii="Times New Roman" w:eastAsia="Times New Roman"/>
          <w:spacing w:val="-4"/>
        </w:rPr>
        <w:t>GBZ130-2020</w:t>
      </w:r>
      <w:r>
        <w:rPr>
          <w:spacing w:val="-4"/>
        </w:rPr>
        <w:t>）</w:t>
      </w:r>
      <w:r>
        <w:rPr>
          <w:spacing w:val="-22"/>
        </w:rPr>
        <w:t>附录 </w:t>
      </w:r>
      <w:r>
        <w:rPr>
          <w:rFonts w:ascii="Times New Roman" w:eastAsia="Times New Roman"/>
        </w:rPr>
        <w:t>C </w:t>
      </w:r>
      <w:r>
        <w:rPr>
          <w:spacing w:val="-29"/>
        </w:rPr>
        <w:t>中 </w:t>
      </w:r>
      <w:r>
        <w:rPr>
          <w:rFonts w:ascii="Times New Roman" w:eastAsia="Times New Roman"/>
          <w:spacing w:val="-3"/>
        </w:rPr>
        <w:t>C.1.2 </w:t>
      </w:r>
      <w:r>
        <w:rPr>
          <w:spacing w:val="-6"/>
        </w:rPr>
        <w:t>按以下方</w:t>
      </w:r>
      <w:r>
        <w:rPr>
          <w:spacing w:val="-8"/>
        </w:rPr>
        <w:t>法计算不同屏蔽物质的铅当量，计算公示如下：</w:t>
      </w:r>
    </w:p>
    <w:p>
      <w:pPr>
        <w:pStyle w:val="BodyText"/>
        <w:spacing w:line="364" w:lineRule="auto" w:before="1"/>
        <w:ind w:left="272" w:right="266" w:firstLine="468"/>
      </w:pPr>
      <w:r>
        <w:rPr>
          <w:rFonts w:ascii="Times New Roman" w:hAnsi="Times New Roman" w:eastAsia="Times New Roman"/>
          <w:spacing w:val="-4"/>
        </w:rPr>
        <w:t>a</w:t>
      </w:r>
      <w:r>
        <w:rPr>
          <w:spacing w:val="-16"/>
        </w:rPr>
        <w:t>)对给定的铅厚度，依据 </w:t>
      </w:r>
      <w:r>
        <w:rPr>
          <w:rFonts w:ascii="Times New Roman" w:hAnsi="Times New Roman" w:eastAsia="Times New Roman"/>
          <w:spacing w:val="-3"/>
        </w:rPr>
        <w:t>NCRP 147 </w:t>
      </w:r>
      <w:r>
        <w:rPr>
          <w:spacing w:val="-3"/>
        </w:rPr>
        <w:t>号报告中给出的不同管电压</w:t>
      </w:r>
      <w:r>
        <w:rPr>
          <w:rFonts w:ascii="Times New Roman" w:hAnsi="Times New Roman" w:eastAsia="Times New Roman"/>
        </w:rPr>
        <w:t>X </w:t>
      </w:r>
      <w:r>
        <w:rPr>
          <w:spacing w:val="-7"/>
        </w:rPr>
        <w:t>射线辐射在其他</w:t>
      </w:r>
      <w:r>
        <w:rPr>
          <w:spacing w:val="-1"/>
        </w:rPr>
        <w:t>屏蔽物质中衰减的</w:t>
      </w:r>
      <w:r>
        <w:rPr>
          <w:rFonts w:ascii="Times New Roman" w:hAnsi="Times New Roman" w:eastAsia="Times New Roman"/>
          <w:spacing w:val="-4"/>
        </w:rPr>
        <w:t>α</w:t>
      </w:r>
      <w:r>
        <w:rPr>
          <w:spacing w:val="-5"/>
        </w:rPr>
        <w:t>、</w:t>
      </w:r>
      <w:r>
        <w:rPr>
          <w:rFonts w:ascii="Times New Roman" w:hAnsi="Times New Roman" w:eastAsia="Times New Roman"/>
          <w:spacing w:val="-5"/>
        </w:rPr>
        <w:t>β</w:t>
      </w:r>
      <w:r>
        <w:rPr>
          <w:spacing w:val="-5"/>
        </w:rPr>
        <w:t>、</w:t>
      </w:r>
      <w:r>
        <w:rPr>
          <w:rFonts w:ascii="Times New Roman" w:hAnsi="Times New Roman" w:eastAsia="Times New Roman"/>
        </w:rPr>
        <w:t>γ </w:t>
      </w:r>
      <w:r>
        <w:rPr>
          <w:spacing w:val="-16"/>
        </w:rPr>
        <w:t>拟合值按公式 </w:t>
      </w:r>
      <w:r>
        <w:rPr>
          <w:rFonts w:ascii="Times New Roman" w:hAnsi="Times New Roman" w:eastAsia="Times New Roman"/>
          <w:spacing w:val="-3"/>
        </w:rPr>
        <w:t>11-1 </w:t>
      </w:r>
      <w:r>
        <w:rPr>
          <w:spacing w:val="-1"/>
        </w:rPr>
        <w:t>计算辐射透射因子</w:t>
      </w:r>
      <w:r>
        <w:rPr>
          <w:rFonts w:ascii="Times New Roman" w:hAnsi="Times New Roman" w:eastAsia="Times New Roman"/>
        </w:rPr>
        <w:t>B</w:t>
      </w:r>
      <w:r>
        <w:rPr/>
        <w:t>：</w:t>
      </w:r>
    </w:p>
    <w:p>
      <w:pPr>
        <w:tabs>
          <w:tab w:pos="1060" w:val="left" w:leader="none"/>
          <w:tab w:pos="1442" w:val="left" w:leader="none"/>
        </w:tabs>
        <w:spacing w:line="105" w:lineRule="exact" w:before="0"/>
        <w:ind w:left="0" w:right="1179" w:firstLine="0"/>
        <w:jc w:val="center"/>
        <w:rPr>
          <w:rFonts w:ascii="Cambria" w:hAnsi="Cambria" w:eastAsia="Cambria"/>
          <w:sz w:val="14"/>
        </w:rPr>
      </w:pPr>
      <w:r>
        <w:rPr/>
        <w:pict>
          <v:rect style="position:absolute;margin-left:237.720001pt;margin-top:14.717493pt;width:6.0pt;height:.839996pt;mso-position-horizontal-relative:page;mso-position-vertical-relative:paragraph;z-index:-211504" filled="true" fillcolor="#000000" stroked="false">
            <v:fill type="solid"/>
            <w10:wrap type="none"/>
          </v:rect>
        </w:pict>
      </w:r>
      <w:r>
        <w:rPr/>
        <w:pict>
          <v:rect style="position:absolute;margin-left:290.760010pt;margin-top:14.717493pt;width:6.0pt;height:.839996pt;mso-position-horizontal-relative:page;mso-position-vertical-relative:paragraph;z-index:-211480" filled="true" fillcolor="#000000" stroked="false">
            <v:fill type="solid"/>
            <w10:wrap type="none"/>
          </v:rect>
        </w:pict>
      </w:r>
      <w:r>
        <w:rPr>
          <w:rFonts w:ascii="Cambria" w:hAnsi="Cambria" w:eastAsia="Cambria"/>
          <w:sz w:val="16"/>
        </w:rPr>
        <w:t>𝛽</w:t>
        <w:tab/>
        <w:t>𝛽</w:t>
        <w:tab/>
      </w:r>
      <w:r>
        <w:rPr>
          <w:rFonts w:ascii="Cambria" w:hAnsi="Cambria" w:eastAsia="Cambria"/>
          <w:position w:val="5"/>
          <w:sz w:val="17"/>
        </w:rPr>
        <w:t>□</w:t>
      </w:r>
      <w:r>
        <w:rPr>
          <w:rFonts w:ascii="Cambria" w:hAnsi="Cambria" w:eastAsia="Cambria"/>
          <w:position w:val="15"/>
          <w:sz w:val="14"/>
          <w:u w:val="single"/>
        </w:rPr>
        <w:t>□</w:t>
      </w:r>
    </w:p>
    <w:p>
      <w:pPr>
        <w:spacing w:after="0" w:line="105" w:lineRule="exact"/>
        <w:jc w:val="center"/>
        <w:rPr>
          <w:rFonts w:ascii="Cambria" w:hAnsi="Cambria" w:eastAsia="Cambria"/>
          <w:sz w:val="14"/>
        </w:rPr>
        <w:sectPr>
          <w:pgSz w:w="11910" w:h="16840"/>
          <w:pgMar w:header="0" w:footer="881" w:top="1220" w:bottom="1160" w:left="1480" w:right="1020"/>
        </w:sectPr>
      </w:pPr>
    </w:p>
    <w:p>
      <w:pPr>
        <w:pStyle w:val="BodyText"/>
        <w:rPr>
          <w:rFonts w:ascii="Cambria"/>
          <w:sz w:val="28"/>
        </w:rPr>
      </w:pPr>
    </w:p>
    <w:p>
      <w:pPr>
        <w:pStyle w:val="BodyText"/>
        <w:spacing w:before="192"/>
        <w:ind w:left="740"/>
      </w:pPr>
      <w:r>
        <w:rPr>
          <w:spacing w:val="-10"/>
        </w:rPr>
        <w:t>式中：</w:t>
      </w:r>
    </w:p>
    <w:p>
      <w:pPr>
        <w:spacing w:line="345" w:lineRule="exact" w:before="0"/>
        <w:ind w:left="651" w:right="0" w:firstLine="0"/>
        <w:jc w:val="left"/>
        <w:rPr>
          <w:rFonts w:ascii="Cambria" w:hAnsi="Cambria" w:eastAsia="Cambria"/>
          <w:sz w:val="24"/>
        </w:rPr>
      </w:pPr>
      <w:r>
        <w:rPr/>
        <w:br w:type="column"/>
      </w:r>
      <w:r>
        <w:rPr>
          <w:rFonts w:ascii="Times New Roman" w:hAnsi="Times New Roman" w:eastAsia="Times New Roman"/>
          <w:spacing w:val="-3"/>
          <w:sz w:val="28"/>
        </w:rPr>
        <w:t>B=</w:t>
      </w:r>
      <w:r>
        <w:rPr>
          <w:spacing w:val="-3"/>
          <w:sz w:val="28"/>
        </w:rPr>
        <w:t>［</w:t>
      </w:r>
      <w:r>
        <w:rPr>
          <w:rFonts w:ascii="Cambria" w:hAnsi="Cambria" w:eastAsia="Cambria"/>
          <w:spacing w:val="-3"/>
          <w:sz w:val="24"/>
        </w:rPr>
        <w:t>□1</w:t>
      </w:r>
      <w:r>
        <w:rPr>
          <w:rFonts w:ascii="Cambria" w:hAnsi="Cambria" w:eastAsia="Cambria"/>
          <w:spacing w:val="-21"/>
          <w:sz w:val="24"/>
        </w:rPr>
        <w:t> </w:t>
      </w:r>
      <w:r>
        <w:rPr>
          <w:rFonts w:ascii="Cambria" w:hAnsi="Cambria" w:eastAsia="Cambria"/>
          <w:spacing w:val="-80"/>
          <w:sz w:val="24"/>
        </w:rPr>
        <w:t>+</w:t>
      </w:r>
    </w:p>
    <w:p>
      <w:pPr>
        <w:spacing w:line="184" w:lineRule="auto" w:before="0"/>
        <w:ind w:left="13" w:right="0" w:firstLine="0"/>
        <w:jc w:val="left"/>
        <w:rPr>
          <w:rFonts w:ascii="Cambria" w:hAnsi="Cambria" w:eastAsia="Cambria"/>
          <w:sz w:val="24"/>
        </w:rPr>
      </w:pPr>
      <w:r>
        <w:rPr/>
        <w:br w:type="column"/>
      </w:r>
      <w:r>
        <w:rPr>
          <w:rFonts w:ascii="Cambria" w:hAnsi="Cambria" w:eastAsia="Cambria"/>
          <w:w w:val="95"/>
          <w:position w:val="-20"/>
          <w:sz w:val="20"/>
        </w:rPr>
        <w:t>𝛼</w:t>
      </w:r>
      <w:r>
        <w:rPr>
          <w:rFonts w:ascii="Cambria" w:hAnsi="Cambria" w:eastAsia="Cambria"/>
          <w:w w:val="95"/>
          <w:position w:val="-8"/>
          <w:sz w:val="24"/>
        </w:rPr>
        <w:t>□</w:t>
      </w:r>
      <w:r>
        <w:rPr>
          <w:rFonts w:ascii="Cambria" w:hAnsi="Cambria" w:eastAsia="Cambria"/>
          <w:spacing w:val="-37"/>
          <w:w w:val="95"/>
          <w:position w:val="-8"/>
          <w:sz w:val="24"/>
        </w:rPr>
        <w:t> </w:t>
      </w:r>
      <w:r>
        <w:rPr>
          <w:rFonts w:ascii="Cambria" w:hAnsi="Cambria" w:eastAsia="Cambria"/>
          <w:spacing w:val="3"/>
          <w:w w:val="95"/>
          <w:position w:val="-8"/>
          <w:sz w:val="24"/>
        </w:rPr>
        <w:t>𝑒</w:t>
      </w:r>
      <w:r>
        <w:rPr>
          <w:rFonts w:ascii="Cambria" w:hAnsi="Cambria" w:eastAsia="Cambria"/>
          <w:spacing w:val="3"/>
          <w:w w:val="95"/>
          <w:sz w:val="20"/>
        </w:rPr>
        <w:t>𝛼𝛾𝑋 </w:t>
      </w:r>
      <w:r>
        <w:rPr>
          <w:rFonts w:ascii="Cambria" w:hAnsi="Cambria" w:eastAsia="Cambria"/>
          <w:spacing w:val="-78"/>
          <w:w w:val="95"/>
          <w:position w:val="-8"/>
          <w:sz w:val="24"/>
        </w:rPr>
        <w:t>−</w:t>
      </w:r>
    </w:p>
    <w:p>
      <w:pPr>
        <w:spacing w:before="26"/>
        <w:ind w:left="13" w:right="0" w:firstLine="0"/>
        <w:jc w:val="left"/>
        <w:rPr>
          <w:sz w:val="24"/>
        </w:rPr>
      </w:pPr>
      <w:r>
        <w:rPr/>
        <w:br w:type="column"/>
      </w:r>
      <w:r>
        <w:rPr>
          <w:rFonts w:ascii="Cambria" w:eastAsia="Cambria"/>
          <w:position w:val="-11"/>
          <w:sz w:val="20"/>
        </w:rPr>
        <w:t>𝛼 </w:t>
      </w:r>
      <w:r>
        <w:rPr>
          <w:spacing w:val="-20"/>
          <w:sz w:val="24"/>
        </w:rPr>
        <w:t>］</w:t>
      </w:r>
    </w:p>
    <w:p>
      <w:pPr>
        <w:tabs>
          <w:tab w:pos="1531" w:val="left" w:leader="dot"/>
        </w:tabs>
        <w:spacing w:before="26"/>
        <w:ind w:left="79" w:right="0" w:firstLine="0"/>
        <w:jc w:val="left"/>
        <w:rPr>
          <w:rFonts w:ascii="Times New Roman" w:hAnsi="Times New Roman" w:eastAsia="Times New Roman"/>
          <w:sz w:val="24"/>
        </w:rPr>
      </w:pPr>
      <w:r>
        <w:rPr/>
        <w:br w:type="column"/>
      </w:r>
      <w:r>
        <w:rPr>
          <w:rFonts w:ascii="Cambria" w:hAnsi="Cambria" w:eastAsia="Cambria"/>
          <w:position w:val="10"/>
          <w:sz w:val="14"/>
        </w:rPr>
        <w:t>□</w:t>
        <w:tab/>
      </w:r>
      <w:r>
        <w:rPr>
          <w:spacing w:val="-26"/>
          <w:sz w:val="24"/>
        </w:rPr>
        <w:t>公式 </w:t>
      </w:r>
      <w:r>
        <w:rPr>
          <w:rFonts w:ascii="Times New Roman" w:hAnsi="Times New Roman" w:eastAsia="Times New Roman"/>
          <w:spacing w:val="-3"/>
          <w:sz w:val="24"/>
        </w:rPr>
        <w:t>11-1</w:t>
      </w:r>
    </w:p>
    <w:p>
      <w:pPr>
        <w:spacing w:after="0"/>
        <w:jc w:val="left"/>
        <w:rPr>
          <w:rFonts w:ascii="Times New Roman" w:hAnsi="Times New Roman" w:eastAsia="Times New Roman"/>
          <w:sz w:val="24"/>
        </w:rPr>
        <w:sectPr>
          <w:type w:val="continuous"/>
          <w:pgSz w:w="11910" w:h="16840"/>
          <w:pgMar w:top="1580" w:bottom="280" w:left="1480" w:right="1020"/>
          <w:cols w:num="5" w:equalWidth="0">
            <w:col w:w="1451" w:space="40"/>
            <w:col w:w="1731" w:space="39"/>
            <w:col w:w="1021" w:space="39"/>
            <w:col w:w="412" w:space="40"/>
            <w:col w:w="4637"/>
          </w:cols>
        </w:sectPr>
      </w:pPr>
    </w:p>
    <w:p>
      <w:pPr>
        <w:pStyle w:val="BodyText"/>
        <w:spacing w:before="161"/>
        <w:ind w:left="1207"/>
      </w:pPr>
      <w:r>
        <w:rPr/>
        <w:pict>
          <v:group style="position:absolute;margin-left:81.959999pt;margin-top:62.399937pt;width:454.2pt;height:695.65pt;mso-position-horizontal-relative:page;mso-position-vertical-relative:page;z-index:-211528" coordorigin="1639,1248" coordsize="9084,13913">
            <v:line style="position:absolute" from="1639,1253" to="10714,1253" stroked="true" strokeweight=".479999pt" strokecolor="#000000">
              <v:stroke dashstyle="solid"/>
            </v:line>
            <v:line style="position:absolute" from="1644,1258" to="1644,5470" stroked="true" strokeweight=".479999pt" strokecolor="#000000">
              <v:stroke dashstyle="solid"/>
            </v:line>
            <v:line style="position:absolute" from="1639,5474" to="10714,5474" stroked="true" strokeweight=".479988pt" strokecolor="#000000">
              <v:stroke dashstyle="solid"/>
            </v:line>
            <v:line style="position:absolute" from="1644,5479" to="1644,15161" stroked="true" strokeweight=".479999pt" strokecolor="#000000">
              <v:stroke dashstyle="solid"/>
            </v:line>
            <v:line style="position:absolute" from="1639,15156" to="10714,15156" stroked="true" strokeweight=".479966pt" strokecolor="#000000">
              <v:stroke dashstyle="solid"/>
            </v:line>
            <v:line style="position:absolute" from="10718,1248" to="10718,15161" stroked="true" strokeweight=".480011pt" strokecolor="#000000">
              <v:stroke dashstyle="solid"/>
            </v:line>
            <w10:wrap type="none"/>
          </v:group>
        </w:pict>
      </w:r>
      <w:r>
        <w:rPr>
          <w:rFonts w:ascii="Times New Roman" w:hAnsi="Times New Roman" w:eastAsia="Times New Roman"/>
        </w:rPr>
        <w:t>B—</w:t>
      </w:r>
      <w:r>
        <w:rPr/>
        <w:t>给定铅厚度的屏蔽投射因子；</w:t>
      </w:r>
    </w:p>
    <w:p>
      <w:pPr>
        <w:pStyle w:val="BodyText"/>
        <w:spacing w:before="160"/>
        <w:ind w:left="1172"/>
      </w:pPr>
      <w:r>
        <w:rPr>
          <w:rFonts w:ascii="Times New Roman" w:hAnsi="Times New Roman" w:eastAsia="Times New Roman"/>
        </w:rPr>
        <w:t>X—</w:t>
      </w:r>
      <w:r>
        <w:rPr/>
        <w:t>铅厚度；</w:t>
      </w:r>
    </w:p>
    <w:p>
      <w:pPr>
        <w:pStyle w:val="BodyText"/>
        <w:spacing w:before="161"/>
        <w:ind w:left="1207"/>
      </w:pPr>
      <w:r>
        <w:rPr>
          <w:rFonts w:ascii="Times New Roman" w:hAnsi="Times New Roman" w:eastAsia="Times New Roman"/>
        </w:rPr>
        <w:t>α—</w:t>
      </w:r>
      <w:r>
        <w:rPr/>
        <w:t>铅对不同管电压</w:t>
      </w:r>
      <w:r>
        <w:rPr>
          <w:rFonts w:ascii="Times New Roman" w:hAnsi="Times New Roman" w:eastAsia="Times New Roman"/>
        </w:rPr>
        <w:t>X </w:t>
      </w:r>
      <w:r>
        <w:rPr/>
        <w:t>射线辐射衰减的有关的拟合参数；</w:t>
      </w:r>
    </w:p>
    <w:p>
      <w:pPr>
        <w:pStyle w:val="BodyText"/>
        <w:spacing w:before="160"/>
        <w:ind w:left="1172"/>
      </w:pPr>
      <w:r>
        <w:rPr>
          <w:rFonts w:ascii="Times New Roman" w:hAnsi="Times New Roman" w:eastAsia="Times New Roman"/>
          <w:spacing w:val="-3"/>
        </w:rPr>
        <w:t>β—</w:t>
      </w:r>
      <w:r>
        <w:rPr/>
        <w:t>铅对不同管电压</w:t>
      </w:r>
      <w:r>
        <w:rPr>
          <w:rFonts w:ascii="Times New Roman" w:hAnsi="Times New Roman" w:eastAsia="Times New Roman"/>
        </w:rPr>
        <w:t>X</w:t>
      </w:r>
      <w:r>
        <w:rPr>
          <w:rFonts w:ascii="Times New Roman" w:hAnsi="Times New Roman" w:eastAsia="Times New Roman"/>
          <w:spacing w:val="-8"/>
        </w:rPr>
        <w:t> </w:t>
      </w:r>
      <w:r>
        <w:rPr>
          <w:spacing w:val="-8"/>
        </w:rPr>
        <w:t>射线辐射衰减的有关的拟合参数；</w:t>
      </w:r>
    </w:p>
    <w:p>
      <w:pPr>
        <w:pStyle w:val="BodyText"/>
        <w:spacing w:before="161"/>
        <w:ind w:left="1172"/>
      </w:pPr>
      <w:r>
        <w:rPr>
          <w:rFonts w:ascii="Times New Roman" w:hAnsi="Times New Roman" w:eastAsia="Times New Roman"/>
          <w:spacing w:val="-3"/>
        </w:rPr>
        <w:t>γ—</w:t>
      </w:r>
      <w:r>
        <w:rPr/>
        <w:t>铅对不同管电压</w:t>
      </w:r>
      <w:r>
        <w:rPr>
          <w:rFonts w:ascii="Times New Roman" w:hAnsi="Times New Roman" w:eastAsia="Times New Roman"/>
        </w:rPr>
        <w:t>X</w:t>
      </w:r>
      <w:r>
        <w:rPr>
          <w:rFonts w:ascii="Times New Roman" w:hAnsi="Times New Roman" w:eastAsia="Times New Roman"/>
          <w:spacing w:val="-9"/>
        </w:rPr>
        <w:t> </w:t>
      </w:r>
      <w:r>
        <w:rPr>
          <w:spacing w:val="-8"/>
        </w:rPr>
        <w:t>射线辐射衰减的有关的拟合参数。</w:t>
      </w:r>
    </w:p>
    <w:p>
      <w:pPr>
        <w:pStyle w:val="BodyText"/>
        <w:spacing w:line="364" w:lineRule="auto" w:before="160"/>
        <w:ind w:left="272" w:right="197" w:firstLine="468"/>
      </w:pPr>
      <w:r>
        <w:rPr>
          <w:rFonts w:ascii="Times New Roman" w:hAnsi="Times New Roman" w:eastAsia="Times New Roman"/>
          <w:spacing w:val="-4"/>
        </w:rPr>
        <w:t>b</w:t>
      </w:r>
      <w:r>
        <w:rPr>
          <w:spacing w:val="-4"/>
        </w:rPr>
        <w:t>）</w:t>
      </w:r>
      <w:r>
        <w:rPr>
          <w:spacing w:val="-22"/>
        </w:rPr>
        <w:t>依据 </w:t>
      </w:r>
      <w:r>
        <w:rPr>
          <w:rFonts w:ascii="Times New Roman" w:hAnsi="Times New Roman" w:eastAsia="Times New Roman"/>
          <w:spacing w:val="-3"/>
        </w:rPr>
        <w:t>NCRP 147 </w:t>
      </w:r>
      <w:r>
        <w:rPr>
          <w:spacing w:val="-12"/>
        </w:rPr>
        <w:t>号报告中给出的不同管电压 </w:t>
      </w:r>
      <w:r>
        <w:rPr>
          <w:rFonts w:ascii="Times New Roman" w:hAnsi="Times New Roman" w:eastAsia="Times New Roman"/>
        </w:rPr>
        <w:t>X </w:t>
      </w:r>
      <w:r>
        <w:rPr>
          <w:spacing w:val="-8"/>
        </w:rPr>
        <w:t>射线辐射在其他屏蔽物质中衰减</w:t>
      </w:r>
      <w:r>
        <w:rPr>
          <w:spacing w:val="52"/>
        </w:rPr>
        <w:t>的</w:t>
      </w:r>
      <w:r>
        <w:rPr>
          <w:rFonts w:ascii="Times New Roman" w:hAnsi="Times New Roman" w:eastAsia="Times New Roman"/>
          <w:spacing w:val="-4"/>
        </w:rPr>
        <w:t>α</w:t>
      </w:r>
      <w:r>
        <w:rPr>
          <w:spacing w:val="-5"/>
        </w:rPr>
        <w:t>、</w:t>
      </w:r>
      <w:r>
        <w:rPr>
          <w:rFonts w:ascii="Times New Roman" w:hAnsi="Times New Roman" w:eastAsia="Times New Roman"/>
        </w:rPr>
        <w:t>β</w:t>
      </w:r>
      <w:r>
        <w:rPr>
          <w:spacing w:val="-5"/>
        </w:rPr>
        <w:t>、</w:t>
      </w:r>
      <w:r>
        <w:rPr>
          <w:rFonts w:ascii="Times New Roman" w:hAnsi="Times New Roman" w:eastAsia="Times New Roman"/>
        </w:rPr>
        <w:t>γ </w:t>
      </w:r>
      <w:r>
        <w:rPr>
          <w:spacing w:val="7"/>
        </w:rPr>
        <w:t>拟合值和</w:t>
      </w:r>
      <w:r>
        <w:rPr>
          <w:rFonts w:ascii="Times New Roman" w:hAnsi="Times New Roman" w:eastAsia="Times New Roman"/>
          <w:spacing w:val="-5"/>
        </w:rPr>
        <w:t>a</w:t>
      </w:r>
      <w:r>
        <w:rPr>
          <w:spacing w:val="-5"/>
        </w:rPr>
        <w:t>）</w:t>
      </w:r>
      <w:r>
        <w:rPr>
          <w:spacing w:val="23"/>
        </w:rPr>
        <w:t>中的</w:t>
      </w:r>
      <w:r>
        <w:rPr>
          <w:rFonts w:ascii="Times New Roman" w:hAnsi="Times New Roman" w:eastAsia="Times New Roman"/>
        </w:rPr>
        <w:t>B </w:t>
      </w:r>
      <w:r>
        <w:rPr>
          <w:spacing w:val="-17"/>
        </w:rPr>
        <w:t>值，使用公式 </w:t>
      </w:r>
      <w:r>
        <w:rPr>
          <w:rFonts w:ascii="Times New Roman" w:hAnsi="Times New Roman" w:eastAsia="Times New Roman"/>
          <w:spacing w:val="-3"/>
        </w:rPr>
        <w:t>11-2 </w:t>
      </w:r>
      <w:r>
        <w:rPr>
          <w:spacing w:val="-4"/>
        </w:rPr>
        <w:t>计算出各屏蔽物质的铅当量厚度</w:t>
      </w:r>
      <w:r>
        <w:rPr>
          <w:rFonts w:ascii="Times New Roman" w:hAnsi="Times New Roman" w:eastAsia="Times New Roman"/>
        </w:rPr>
        <w:t>X</w:t>
      </w:r>
      <w:r>
        <w:rPr/>
        <w:t>：</w:t>
      </w:r>
    </w:p>
    <w:p>
      <w:pPr>
        <w:spacing w:after="0" w:line="364" w:lineRule="auto"/>
        <w:sectPr>
          <w:type w:val="continuous"/>
          <w:pgSz w:w="11910" w:h="16840"/>
          <w:pgMar w:top="1580" w:bottom="28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4"/>
        <w:gridCol w:w="612"/>
        <w:gridCol w:w="96"/>
        <w:gridCol w:w="710"/>
        <w:gridCol w:w="849"/>
        <w:gridCol w:w="934"/>
        <w:gridCol w:w="990"/>
        <w:gridCol w:w="886"/>
        <w:gridCol w:w="146"/>
        <w:gridCol w:w="801"/>
        <w:gridCol w:w="191"/>
        <w:gridCol w:w="798"/>
        <w:gridCol w:w="829"/>
      </w:tblGrid>
      <w:tr>
        <w:trPr>
          <w:trHeight w:val="4993" w:hRule="atLeast"/>
        </w:trPr>
        <w:tc>
          <w:tcPr>
            <w:tcW w:w="9066" w:type="dxa"/>
            <w:gridSpan w:val="13"/>
            <w:tcBorders>
              <w:bottom w:val="single" w:sz="12" w:space="0" w:color="000000"/>
            </w:tcBorders>
          </w:tcPr>
          <w:p>
            <w:pPr>
              <w:pStyle w:val="TableParagraph"/>
              <w:tabs>
                <w:tab w:pos="3390" w:val="left" w:leader="none"/>
              </w:tabs>
              <w:spacing w:line="115" w:lineRule="auto" w:before="126"/>
              <w:ind w:left="2534"/>
              <w:jc w:val="left"/>
              <w:rPr>
                <w:rFonts w:ascii="Cambria" w:hAnsi="Cambria"/>
                <w:sz w:val="16"/>
              </w:rPr>
            </w:pPr>
            <w:r>
              <w:rPr>
                <w:rFonts w:ascii="Cambria" w:hAnsi="Cambria"/>
                <w:position w:val="-11"/>
                <w:sz w:val="20"/>
              </w:rPr>
              <w:t>□</w:t>
              <w:tab/>
            </w:r>
            <w:r>
              <w:rPr>
                <w:rFonts w:ascii="Cambria" w:hAnsi="Cambria"/>
                <w:position w:val="-6"/>
                <w:sz w:val="20"/>
              </w:rPr>
              <w:t>□</w:t>
            </w:r>
            <w:r>
              <w:rPr>
                <w:rFonts w:ascii="Cambria" w:hAnsi="Cambria"/>
                <w:sz w:val="16"/>
              </w:rPr>
              <w:t>□□</w:t>
            </w:r>
            <w:r>
              <w:rPr>
                <w:rFonts w:ascii="Cambria" w:hAnsi="Cambria"/>
                <w:position w:val="-6"/>
                <w:sz w:val="20"/>
              </w:rPr>
              <w:t>□</w:t>
            </w:r>
            <w:r>
              <w:rPr>
                <w:rFonts w:ascii="Cambria" w:hAnsi="Cambria"/>
                <w:position w:val="4"/>
                <w:sz w:val="16"/>
                <w:u w:val="single"/>
              </w:rPr>
              <w:t>□</w:t>
            </w:r>
          </w:p>
          <w:p>
            <w:pPr>
              <w:pStyle w:val="TableParagraph"/>
              <w:tabs>
                <w:tab w:pos="2769" w:val="left" w:leader="none"/>
                <w:tab w:pos="3779" w:val="left" w:leader="none"/>
                <w:tab w:pos="6009" w:val="left" w:leader="dot"/>
              </w:tabs>
              <w:spacing w:line="239" w:lineRule="exact"/>
              <w:ind w:left="2109"/>
              <w:jc w:val="left"/>
              <w:rPr>
                <w:rFonts w:ascii="Times New Roman" w:hAnsi="Times New Roman" w:eastAsia="Times New Roman"/>
                <w:sz w:val="24"/>
              </w:rPr>
            </w:pPr>
            <w:r>
              <w:rPr>
                <w:rFonts w:ascii="Times New Roman" w:hAnsi="Times New Roman" w:eastAsia="Times New Roman"/>
                <w:sz w:val="28"/>
              </w:rPr>
              <w:t>X=</w:t>
              <w:tab/>
            </w:r>
            <w:r>
              <w:rPr>
                <w:rFonts w:ascii="Cambria" w:hAnsi="Cambria" w:eastAsia="Cambria"/>
                <w:sz w:val="28"/>
              </w:rPr>
              <w:t>𝑙𝑛</w:t>
            </w:r>
            <w:r>
              <w:rPr>
                <w:rFonts w:ascii="Cambria" w:hAnsi="Cambria" w:eastAsia="Cambria"/>
                <w:spacing w:val="-35"/>
                <w:sz w:val="28"/>
              </w:rPr>
              <w:t> </w:t>
            </w:r>
            <w:r>
              <w:rPr>
                <w:rFonts w:ascii="PMingLiU" w:hAnsi="PMingLiU" w:eastAsia="PMingLiU" w:hint="eastAsia"/>
                <w:sz w:val="29"/>
              </w:rPr>
              <w:t>（</w:t>
              <w:tab/>
            </w:r>
            <w:r>
              <w:rPr>
                <w:rFonts w:ascii="Cambria" w:hAnsi="Cambria" w:eastAsia="Cambria"/>
                <w:spacing w:val="4"/>
                <w:position w:val="-5"/>
                <w:sz w:val="16"/>
                <w:u w:val="single"/>
              </w:rPr>
              <w:t>□</w:t>
            </w:r>
            <w:r>
              <w:rPr>
                <w:rFonts w:ascii="Cambria" w:hAnsi="Cambria" w:eastAsia="Cambria"/>
                <w:spacing w:val="12"/>
                <w:position w:val="11"/>
                <w:sz w:val="16"/>
              </w:rPr>
              <w:t>□ </w:t>
            </w:r>
            <w:r>
              <w:rPr>
                <w:rFonts w:ascii="PMingLiU" w:hAnsi="PMingLiU" w:eastAsia="PMingLiU" w:hint="eastAsia"/>
                <w:sz w:val="29"/>
              </w:rPr>
              <w:t>）</w:t>
              <w:tab/>
            </w:r>
            <w:r>
              <w:rPr>
                <w:spacing w:val="-26"/>
                <w:sz w:val="24"/>
              </w:rPr>
              <w:t>公式 </w:t>
            </w:r>
            <w:r>
              <w:rPr>
                <w:rFonts w:ascii="Times New Roman" w:hAnsi="Times New Roman" w:eastAsia="Times New Roman"/>
                <w:spacing w:val="-3"/>
                <w:sz w:val="24"/>
              </w:rPr>
              <w:t>11-2</w:t>
            </w:r>
          </w:p>
          <w:p>
            <w:pPr>
              <w:pStyle w:val="TableParagraph"/>
              <w:tabs>
                <w:tab w:pos="3518" w:val="left" w:leader="none"/>
              </w:tabs>
              <w:spacing w:line="103" w:lineRule="auto" w:before="2"/>
              <w:ind w:left="2464"/>
              <w:jc w:val="left"/>
              <w:rPr>
                <w:rFonts w:ascii="Cambria" w:hAnsi="Cambria"/>
                <w:sz w:val="20"/>
              </w:rPr>
            </w:pPr>
            <w:r>
              <w:rPr>
                <w:rFonts w:ascii="Cambria" w:hAnsi="Cambria"/>
                <w:sz w:val="20"/>
              </w:rPr>
              <w:t>□□</w:t>
              <w:tab/>
            </w:r>
            <w:r>
              <w:rPr>
                <w:rFonts w:ascii="Cambria" w:hAnsi="Cambria"/>
                <w:position w:val="-3"/>
                <w:sz w:val="20"/>
              </w:rPr>
              <w:t>□□</w:t>
            </w:r>
          </w:p>
          <w:p>
            <w:pPr>
              <w:pStyle w:val="TableParagraph"/>
              <w:spacing w:line="140" w:lineRule="exact"/>
              <w:ind w:right="1375"/>
              <w:rPr>
                <w:rFonts w:ascii="Cambria" w:hAnsi="Cambria"/>
                <w:sz w:val="16"/>
              </w:rPr>
            </w:pPr>
            <w:r>
              <w:rPr>
                <w:rFonts w:ascii="Cambria" w:hAnsi="Cambria"/>
                <w:w w:val="109"/>
                <w:sz w:val="16"/>
              </w:rPr>
              <w:t>□</w:t>
            </w:r>
          </w:p>
          <w:p>
            <w:pPr>
              <w:pStyle w:val="TableParagraph"/>
              <w:spacing w:before="130"/>
              <w:ind w:left="575"/>
              <w:jc w:val="left"/>
              <w:rPr>
                <w:sz w:val="24"/>
              </w:rPr>
            </w:pPr>
            <w:r>
              <w:rPr>
                <w:sz w:val="24"/>
              </w:rPr>
              <w:t>式中：</w:t>
            </w:r>
          </w:p>
          <w:p>
            <w:pPr>
              <w:pStyle w:val="TableParagraph"/>
              <w:spacing w:before="161"/>
              <w:ind w:left="1043"/>
              <w:jc w:val="left"/>
              <w:rPr>
                <w:sz w:val="24"/>
              </w:rPr>
            </w:pPr>
            <w:r>
              <w:rPr>
                <w:rFonts w:ascii="Times New Roman" w:hAnsi="Times New Roman" w:eastAsia="Times New Roman"/>
                <w:spacing w:val="-3"/>
                <w:w w:val="95"/>
                <w:sz w:val="24"/>
              </w:rPr>
              <w:t>X—</w:t>
            </w:r>
            <w:r>
              <w:rPr>
                <w:spacing w:val="-8"/>
                <w:w w:val="95"/>
                <w:sz w:val="24"/>
              </w:rPr>
              <w:t>不同屏蔽物质的铅当量厚度；</w:t>
            </w:r>
          </w:p>
          <w:p>
            <w:pPr>
              <w:pStyle w:val="TableParagraph"/>
              <w:spacing w:before="160"/>
              <w:ind w:left="1007"/>
              <w:jc w:val="left"/>
              <w:rPr>
                <w:sz w:val="24"/>
              </w:rPr>
            </w:pPr>
            <w:r>
              <w:rPr>
                <w:rFonts w:ascii="Times New Roman" w:hAnsi="Times New Roman" w:eastAsia="Times New Roman"/>
                <w:spacing w:val="-3"/>
                <w:w w:val="95"/>
                <w:sz w:val="24"/>
              </w:rPr>
              <w:t>B—</w:t>
            </w:r>
            <w:r>
              <w:rPr>
                <w:spacing w:val="-8"/>
                <w:w w:val="95"/>
                <w:sz w:val="24"/>
              </w:rPr>
              <w:t>给定铅厚度的屏蔽投射因子；</w:t>
            </w:r>
          </w:p>
          <w:p>
            <w:pPr>
              <w:pStyle w:val="TableParagraph"/>
              <w:spacing w:before="161"/>
              <w:ind w:left="1007"/>
              <w:jc w:val="left"/>
              <w:rPr>
                <w:sz w:val="24"/>
              </w:rPr>
            </w:pPr>
            <w:r>
              <w:rPr>
                <w:rFonts w:ascii="Times New Roman" w:hAnsi="Times New Roman" w:eastAsia="Times New Roman"/>
                <w:spacing w:val="-4"/>
                <w:sz w:val="24"/>
              </w:rPr>
              <w:t>α—</w:t>
            </w:r>
            <w:r>
              <w:rPr>
                <w:spacing w:val="-3"/>
                <w:sz w:val="24"/>
              </w:rPr>
              <w:t>不同屏蔽物质对不同管电压</w:t>
            </w:r>
            <w:r>
              <w:rPr>
                <w:rFonts w:ascii="Times New Roman" w:hAnsi="Times New Roman" w:eastAsia="Times New Roman"/>
                <w:sz w:val="24"/>
              </w:rPr>
              <w:t>X</w:t>
            </w:r>
            <w:r>
              <w:rPr>
                <w:rFonts w:ascii="Times New Roman" w:hAnsi="Times New Roman" w:eastAsia="Times New Roman"/>
                <w:spacing w:val="-6"/>
                <w:sz w:val="24"/>
              </w:rPr>
              <w:t> </w:t>
            </w:r>
            <w:r>
              <w:rPr>
                <w:spacing w:val="-8"/>
                <w:sz w:val="24"/>
              </w:rPr>
              <w:t>射线辐射衰减的有关的拟合参数；</w:t>
            </w:r>
          </w:p>
          <w:p>
            <w:pPr>
              <w:pStyle w:val="TableParagraph"/>
              <w:spacing w:before="160"/>
              <w:ind w:left="1007"/>
              <w:jc w:val="left"/>
              <w:rPr>
                <w:sz w:val="24"/>
              </w:rPr>
            </w:pPr>
            <w:r>
              <w:rPr>
                <w:rFonts w:ascii="Times New Roman" w:hAnsi="Times New Roman" w:eastAsia="Times New Roman"/>
                <w:spacing w:val="-3"/>
                <w:sz w:val="24"/>
              </w:rPr>
              <w:t>β—</w:t>
            </w:r>
            <w:r>
              <w:rPr>
                <w:spacing w:val="-3"/>
                <w:sz w:val="24"/>
              </w:rPr>
              <w:t>不同屏蔽物质对不同管电压</w:t>
            </w:r>
            <w:r>
              <w:rPr>
                <w:rFonts w:ascii="Times New Roman" w:hAnsi="Times New Roman" w:eastAsia="Times New Roman"/>
                <w:sz w:val="24"/>
              </w:rPr>
              <w:t>X</w:t>
            </w:r>
            <w:r>
              <w:rPr>
                <w:rFonts w:ascii="Times New Roman" w:hAnsi="Times New Roman" w:eastAsia="Times New Roman"/>
                <w:spacing w:val="-6"/>
                <w:sz w:val="24"/>
              </w:rPr>
              <w:t> </w:t>
            </w:r>
            <w:r>
              <w:rPr>
                <w:spacing w:val="-8"/>
                <w:sz w:val="24"/>
              </w:rPr>
              <w:t>射线辐射衰减的有关的拟合参数；</w:t>
            </w:r>
          </w:p>
          <w:p>
            <w:pPr>
              <w:pStyle w:val="TableParagraph"/>
              <w:spacing w:before="82"/>
              <w:ind w:left="1007"/>
              <w:jc w:val="left"/>
              <w:rPr>
                <w:sz w:val="24"/>
              </w:rPr>
            </w:pPr>
            <w:r>
              <w:rPr>
                <w:rFonts w:ascii="Times New Roman" w:hAnsi="Times New Roman" w:eastAsia="Times New Roman"/>
                <w:spacing w:val="-3"/>
                <w:sz w:val="24"/>
              </w:rPr>
              <w:t>γ—</w:t>
            </w:r>
            <w:r>
              <w:rPr>
                <w:spacing w:val="-3"/>
                <w:sz w:val="24"/>
              </w:rPr>
              <w:t>不同屏蔽物质对不同管电压</w:t>
            </w:r>
            <w:r>
              <w:rPr>
                <w:rFonts w:ascii="Times New Roman" w:hAnsi="Times New Roman" w:eastAsia="Times New Roman"/>
                <w:sz w:val="24"/>
              </w:rPr>
              <w:t>X</w:t>
            </w:r>
            <w:r>
              <w:rPr>
                <w:rFonts w:ascii="Times New Roman" w:hAnsi="Times New Roman" w:eastAsia="Times New Roman"/>
                <w:spacing w:val="-7"/>
                <w:sz w:val="24"/>
              </w:rPr>
              <w:t> </w:t>
            </w:r>
            <w:r>
              <w:rPr>
                <w:spacing w:val="-8"/>
                <w:sz w:val="24"/>
              </w:rPr>
              <w:t>射线辐射衰减的有关的拟合参数。</w:t>
            </w:r>
          </w:p>
          <w:p>
            <w:pPr>
              <w:pStyle w:val="TableParagraph"/>
              <w:spacing w:line="364" w:lineRule="auto" w:before="242"/>
              <w:ind w:left="107" w:right="80" w:firstLine="468"/>
              <w:jc w:val="left"/>
              <w:rPr>
                <w:sz w:val="24"/>
              </w:rPr>
            </w:pPr>
            <w:r>
              <w:rPr>
                <w:spacing w:val="23"/>
                <w:sz w:val="24"/>
              </w:rPr>
              <w:t>根据</w:t>
            </w:r>
            <w:r>
              <w:rPr>
                <w:rFonts w:ascii="Times New Roman" w:eastAsia="Times New Roman"/>
                <w:sz w:val="24"/>
              </w:rPr>
              <w:t>GBZ </w:t>
            </w:r>
            <w:r>
              <w:rPr>
                <w:rFonts w:ascii="Times New Roman" w:eastAsia="Times New Roman"/>
                <w:spacing w:val="-3"/>
                <w:sz w:val="24"/>
              </w:rPr>
              <w:t>130-2020 </w:t>
            </w:r>
            <w:r>
              <w:rPr>
                <w:spacing w:val="52"/>
                <w:sz w:val="24"/>
              </w:rPr>
              <w:t>表</w:t>
            </w:r>
            <w:r>
              <w:rPr>
                <w:rFonts w:ascii="Times New Roman" w:eastAsia="Times New Roman"/>
                <w:spacing w:val="-3"/>
                <w:sz w:val="24"/>
              </w:rPr>
              <w:t>C.2 </w:t>
            </w:r>
            <w:r>
              <w:rPr>
                <w:spacing w:val="-18"/>
                <w:sz w:val="24"/>
              </w:rPr>
              <w:t>中相关数据，铅、混凝土针对 </w:t>
            </w:r>
            <w:r>
              <w:rPr>
                <w:rFonts w:ascii="Times New Roman" w:eastAsia="Times New Roman"/>
                <w:sz w:val="24"/>
              </w:rPr>
              <w:t>125 kV </w:t>
            </w:r>
            <w:r>
              <w:rPr>
                <w:spacing w:val="12"/>
                <w:sz w:val="24"/>
              </w:rPr>
              <w:t>管电压</w:t>
            </w:r>
            <w:r>
              <w:rPr>
                <w:rFonts w:ascii="Times New Roman" w:eastAsia="Times New Roman"/>
                <w:sz w:val="24"/>
              </w:rPr>
              <w:t>X </w:t>
            </w:r>
            <w:r>
              <w:rPr>
                <w:spacing w:val="-5"/>
                <w:sz w:val="24"/>
              </w:rPr>
              <w:t>射线辐射</w:t>
            </w:r>
            <w:r>
              <w:rPr>
                <w:spacing w:val="-12"/>
                <w:sz w:val="24"/>
              </w:rPr>
              <w:t>衰减的有关的三个拟合参数取值详见表 </w:t>
            </w:r>
            <w:r>
              <w:rPr>
                <w:rFonts w:ascii="Times New Roman" w:eastAsia="Times New Roman"/>
                <w:spacing w:val="-4"/>
                <w:sz w:val="24"/>
              </w:rPr>
              <w:t>11-1</w:t>
            </w:r>
            <w:r>
              <w:rPr>
                <w:sz w:val="24"/>
              </w:rPr>
              <w:t>。</w:t>
            </w:r>
          </w:p>
          <w:p>
            <w:pPr>
              <w:pStyle w:val="TableParagraph"/>
              <w:spacing w:line="211" w:lineRule="exact"/>
              <w:ind w:left="1094" w:right="1084"/>
              <w:rPr>
                <w:sz w:val="21"/>
              </w:rPr>
            </w:pPr>
            <w:r>
              <w:rPr>
                <w:sz w:val="21"/>
              </w:rPr>
              <w:t>表 </w:t>
            </w:r>
            <w:r>
              <w:rPr>
                <w:rFonts w:ascii="Times New Roman" w:eastAsia="Times New Roman"/>
                <w:sz w:val="21"/>
              </w:rPr>
              <w:t>11-1 </w:t>
            </w:r>
            <w:r>
              <w:rPr>
                <w:sz w:val="21"/>
              </w:rPr>
              <w:t>铅、混凝土针对不同管电压</w:t>
            </w:r>
            <w:r>
              <w:rPr>
                <w:rFonts w:ascii="Times New Roman" w:eastAsia="Times New Roman"/>
                <w:sz w:val="21"/>
              </w:rPr>
              <w:t>X </w:t>
            </w:r>
            <w:r>
              <w:rPr>
                <w:sz w:val="21"/>
              </w:rPr>
              <w:t>射线辐射衰减的有关的三个拟合参数</w:t>
            </w:r>
          </w:p>
        </w:tc>
      </w:tr>
      <w:tr>
        <w:trPr>
          <w:trHeight w:val="387" w:hRule="atLeast"/>
        </w:trPr>
        <w:tc>
          <w:tcPr>
            <w:tcW w:w="1224" w:type="dxa"/>
            <w:vMerge w:val="restart"/>
            <w:tcBorders>
              <w:top w:val="single" w:sz="12" w:space="0" w:color="000000"/>
              <w:bottom w:val="single" w:sz="12" w:space="0" w:color="000000"/>
            </w:tcBorders>
          </w:tcPr>
          <w:p>
            <w:pPr>
              <w:pStyle w:val="TableParagraph"/>
              <w:spacing w:before="12"/>
              <w:jc w:val="left"/>
              <w:rPr>
                <w:sz w:val="21"/>
              </w:rPr>
            </w:pPr>
          </w:p>
          <w:p>
            <w:pPr>
              <w:pStyle w:val="TableParagraph"/>
              <w:ind w:left="321"/>
              <w:jc w:val="left"/>
              <w:rPr>
                <w:sz w:val="21"/>
              </w:rPr>
            </w:pPr>
            <w:r>
              <w:rPr>
                <w:sz w:val="21"/>
              </w:rPr>
              <w:t>管电压</w:t>
            </w:r>
          </w:p>
        </w:tc>
        <w:tc>
          <w:tcPr>
            <w:tcW w:w="2267" w:type="dxa"/>
            <w:gridSpan w:val="4"/>
            <w:tcBorders>
              <w:top w:val="single" w:sz="12" w:space="0" w:color="000000"/>
            </w:tcBorders>
          </w:tcPr>
          <w:p>
            <w:pPr>
              <w:pStyle w:val="TableParagraph"/>
              <w:spacing w:before="68"/>
              <w:ind w:left="8"/>
              <w:rPr>
                <w:sz w:val="21"/>
              </w:rPr>
            </w:pPr>
            <w:r>
              <w:rPr>
                <w:w w:val="100"/>
                <w:sz w:val="21"/>
              </w:rPr>
              <w:t>铅</w:t>
            </w:r>
          </w:p>
        </w:tc>
        <w:tc>
          <w:tcPr>
            <w:tcW w:w="2810" w:type="dxa"/>
            <w:gridSpan w:val="3"/>
            <w:tcBorders>
              <w:top w:val="single" w:sz="12" w:space="0" w:color="000000"/>
            </w:tcBorders>
          </w:tcPr>
          <w:p>
            <w:pPr>
              <w:pStyle w:val="TableParagraph"/>
              <w:spacing w:before="68"/>
              <w:ind w:left="1072" w:right="1058"/>
              <w:rPr>
                <w:sz w:val="21"/>
              </w:rPr>
            </w:pPr>
            <w:r>
              <w:rPr>
                <w:sz w:val="21"/>
              </w:rPr>
              <w:t>混凝土</w:t>
            </w:r>
          </w:p>
        </w:tc>
        <w:tc>
          <w:tcPr>
            <w:tcW w:w="2765" w:type="dxa"/>
            <w:gridSpan w:val="5"/>
            <w:tcBorders>
              <w:top w:val="single" w:sz="12" w:space="0" w:color="000000"/>
            </w:tcBorders>
          </w:tcPr>
          <w:p>
            <w:pPr>
              <w:pStyle w:val="TableParagraph"/>
              <w:spacing w:before="68"/>
              <w:ind w:right="33"/>
              <w:rPr>
                <w:sz w:val="21"/>
              </w:rPr>
            </w:pPr>
            <w:r>
              <w:rPr>
                <w:w w:val="100"/>
                <w:sz w:val="21"/>
              </w:rPr>
              <w:t>砖</w:t>
            </w:r>
          </w:p>
        </w:tc>
      </w:tr>
      <w:tr>
        <w:trPr>
          <w:trHeight w:val="406" w:hRule="atLeast"/>
        </w:trPr>
        <w:tc>
          <w:tcPr>
            <w:tcW w:w="1224" w:type="dxa"/>
            <w:vMerge/>
            <w:tcBorders>
              <w:top w:val="nil"/>
              <w:bottom w:val="single" w:sz="12" w:space="0" w:color="000000"/>
            </w:tcBorders>
          </w:tcPr>
          <w:p>
            <w:pPr>
              <w:rPr>
                <w:sz w:val="2"/>
                <w:szCs w:val="2"/>
              </w:rPr>
            </w:pPr>
          </w:p>
        </w:tc>
        <w:tc>
          <w:tcPr>
            <w:tcW w:w="708" w:type="dxa"/>
            <w:gridSpan w:val="2"/>
            <w:tcBorders>
              <w:bottom w:val="single" w:sz="12" w:space="0" w:color="000000"/>
            </w:tcBorders>
          </w:tcPr>
          <w:p>
            <w:pPr>
              <w:pStyle w:val="TableParagraph"/>
              <w:spacing w:before="91"/>
              <w:ind w:left="12"/>
              <w:rPr>
                <w:rFonts w:ascii="Times New Roman" w:hAnsi="Times New Roman"/>
                <w:sz w:val="21"/>
              </w:rPr>
            </w:pPr>
            <w:r>
              <w:rPr>
                <w:rFonts w:ascii="Times New Roman" w:hAnsi="Times New Roman"/>
                <w:w w:val="100"/>
                <w:sz w:val="21"/>
              </w:rPr>
              <w:t>α</w:t>
            </w:r>
          </w:p>
        </w:tc>
        <w:tc>
          <w:tcPr>
            <w:tcW w:w="710" w:type="dxa"/>
            <w:tcBorders>
              <w:bottom w:val="single" w:sz="12" w:space="0" w:color="000000"/>
            </w:tcBorders>
          </w:tcPr>
          <w:p>
            <w:pPr>
              <w:pStyle w:val="TableParagraph"/>
              <w:spacing w:before="91"/>
              <w:ind w:left="10"/>
              <w:rPr>
                <w:rFonts w:ascii="Times New Roman" w:hAnsi="Times New Roman"/>
                <w:sz w:val="21"/>
              </w:rPr>
            </w:pPr>
            <w:r>
              <w:rPr>
                <w:rFonts w:ascii="Times New Roman" w:hAnsi="Times New Roman"/>
                <w:w w:val="100"/>
                <w:sz w:val="21"/>
              </w:rPr>
              <w:t>β</w:t>
            </w:r>
          </w:p>
        </w:tc>
        <w:tc>
          <w:tcPr>
            <w:tcW w:w="849" w:type="dxa"/>
            <w:tcBorders>
              <w:bottom w:val="single" w:sz="12" w:space="0" w:color="000000"/>
            </w:tcBorders>
          </w:tcPr>
          <w:p>
            <w:pPr>
              <w:pStyle w:val="TableParagraph"/>
              <w:spacing w:before="91"/>
              <w:ind w:left="12"/>
              <w:rPr>
                <w:rFonts w:ascii="Times New Roman" w:hAnsi="Times New Roman"/>
                <w:sz w:val="21"/>
              </w:rPr>
            </w:pPr>
            <w:r>
              <w:rPr>
                <w:rFonts w:ascii="Times New Roman" w:hAnsi="Times New Roman"/>
                <w:w w:val="100"/>
                <w:sz w:val="21"/>
              </w:rPr>
              <w:t>γ</w:t>
            </w:r>
          </w:p>
        </w:tc>
        <w:tc>
          <w:tcPr>
            <w:tcW w:w="934" w:type="dxa"/>
            <w:tcBorders>
              <w:bottom w:val="single" w:sz="12" w:space="0" w:color="000000"/>
            </w:tcBorders>
          </w:tcPr>
          <w:p>
            <w:pPr>
              <w:pStyle w:val="TableParagraph"/>
              <w:spacing w:before="91"/>
              <w:ind w:left="50"/>
              <w:rPr>
                <w:rFonts w:ascii="Times New Roman" w:hAnsi="Times New Roman"/>
                <w:sz w:val="21"/>
              </w:rPr>
            </w:pPr>
            <w:r>
              <w:rPr>
                <w:rFonts w:ascii="Times New Roman" w:hAnsi="Times New Roman"/>
                <w:w w:val="100"/>
                <w:sz w:val="21"/>
              </w:rPr>
              <w:t>α</w:t>
            </w:r>
          </w:p>
        </w:tc>
        <w:tc>
          <w:tcPr>
            <w:tcW w:w="990" w:type="dxa"/>
            <w:tcBorders>
              <w:bottom w:val="single" w:sz="12" w:space="0" w:color="000000"/>
            </w:tcBorders>
          </w:tcPr>
          <w:p>
            <w:pPr>
              <w:pStyle w:val="TableParagraph"/>
              <w:spacing w:before="91"/>
              <w:ind w:left="91"/>
              <w:rPr>
                <w:rFonts w:ascii="Times New Roman" w:hAnsi="Times New Roman"/>
                <w:sz w:val="21"/>
              </w:rPr>
            </w:pPr>
            <w:r>
              <w:rPr>
                <w:rFonts w:ascii="Times New Roman" w:hAnsi="Times New Roman"/>
                <w:w w:val="100"/>
                <w:sz w:val="21"/>
              </w:rPr>
              <w:t>β</w:t>
            </w:r>
          </w:p>
        </w:tc>
        <w:tc>
          <w:tcPr>
            <w:tcW w:w="886" w:type="dxa"/>
            <w:tcBorders>
              <w:bottom w:val="single" w:sz="12" w:space="0" w:color="000000"/>
            </w:tcBorders>
          </w:tcPr>
          <w:p>
            <w:pPr>
              <w:pStyle w:val="TableParagraph"/>
              <w:spacing w:before="91"/>
              <w:ind w:left="56"/>
              <w:rPr>
                <w:rFonts w:ascii="Times New Roman" w:hAnsi="Times New Roman"/>
                <w:sz w:val="21"/>
              </w:rPr>
            </w:pPr>
            <w:r>
              <w:rPr>
                <w:rFonts w:ascii="Times New Roman" w:hAnsi="Times New Roman"/>
                <w:w w:val="100"/>
                <w:sz w:val="21"/>
              </w:rPr>
              <w:t>γ</w:t>
            </w:r>
          </w:p>
        </w:tc>
        <w:tc>
          <w:tcPr>
            <w:tcW w:w="947" w:type="dxa"/>
            <w:gridSpan w:val="2"/>
            <w:tcBorders>
              <w:bottom w:val="single" w:sz="12" w:space="0" w:color="000000"/>
            </w:tcBorders>
          </w:tcPr>
          <w:p>
            <w:pPr>
              <w:pStyle w:val="TableParagraph"/>
              <w:spacing w:before="91"/>
              <w:ind w:left="18"/>
              <w:rPr>
                <w:rFonts w:ascii="Times New Roman" w:hAnsi="Times New Roman"/>
                <w:sz w:val="21"/>
              </w:rPr>
            </w:pPr>
            <w:r>
              <w:rPr>
                <w:rFonts w:ascii="Times New Roman" w:hAnsi="Times New Roman"/>
                <w:w w:val="100"/>
                <w:sz w:val="21"/>
              </w:rPr>
              <w:t>α</w:t>
            </w:r>
          </w:p>
        </w:tc>
        <w:tc>
          <w:tcPr>
            <w:tcW w:w="989" w:type="dxa"/>
            <w:gridSpan w:val="2"/>
            <w:tcBorders>
              <w:bottom w:val="single" w:sz="12" w:space="0" w:color="000000"/>
            </w:tcBorders>
          </w:tcPr>
          <w:p>
            <w:pPr>
              <w:pStyle w:val="TableParagraph"/>
              <w:spacing w:before="91"/>
              <w:ind w:left="24"/>
              <w:rPr>
                <w:rFonts w:ascii="Times New Roman" w:hAnsi="Times New Roman"/>
                <w:sz w:val="21"/>
              </w:rPr>
            </w:pPr>
            <w:r>
              <w:rPr>
                <w:rFonts w:ascii="Times New Roman" w:hAnsi="Times New Roman"/>
                <w:w w:val="100"/>
                <w:sz w:val="21"/>
              </w:rPr>
              <w:t>β</w:t>
            </w:r>
          </w:p>
        </w:tc>
        <w:tc>
          <w:tcPr>
            <w:tcW w:w="829" w:type="dxa"/>
            <w:tcBorders>
              <w:bottom w:val="single" w:sz="12" w:space="0" w:color="000000"/>
            </w:tcBorders>
          </w:tcPr>
          <w:p>
            <w:pPr>
              <w:pStyle w:val="TableParagraph"/>
              <w:spacing w:before="91"/>
              <w:ind w:right="23"/>
              <w:rPr>
                <w:rFonts w:ascii="Times New Roman" w:hAnsi="Times New Roman"/>
                <w:sz w:val="21"/>
              </w:rPr>
            </w:pPr>
            <w:r>
              <w:rPr>
                <w:rFonts w:ascii="Times New Roman" w:hAnsi="Times New Roman"/>
                <w:w w:val="100"/>
                <w:sz w:val="21"/>
              </w:rPr>
              <w:t>γ</w:t>
            </w:r>
          </w:p>
        </w:tc>
      </w:tr>
      <w:tr>
        <w:trPr>
          <w:trHeight w:val="469" w:hRule="atLeast"/>
        </w:trPr>
        <w:tc>
          <w:tcPr>
            <w:tcW w:w="1224" w:type="dxa"/>
            <w:tcBorders>
              <w:top w:val="single" w:sz="12" w:space="0" w:color="000000"/>
            </w:tcBorders>
          </w:tcPr>
          <w:p>
            <w:pPr>
              <w:pStyle w:val="TableParagraph"/>
              <w:spacing w:before="101"/>
              <w:ind w:right="-15"/>
              <w:jc w:val="right"/>
              <w:rPr>
                <w:sz w:val="21"/>
              </w:rPr>
            </w:pPr>
            <w:r>
              <w:rPr>
                <w:rFonts w:ascii="Times New Roman" w:eastAsia="Times New Roman"/>
                <w:w w:val="100"/>
                <w:sz w:val="21"/>
              </w:rPr>
              <w:t>12</w:t>
            </w:r>
            <w:r>
              <w:rPr>
                <w:rFonts w:ascii="Times New Roman" w:eastAsia="Times New Roman"/>
                <w:spacing w:val="-97"/>
                <w:w w:val="100"/>
                <w:sz w:val="21"/>
              </w:rPr>
              <w:t>5</w:t>
            </w:r>
            <w:r>
              <w:rPr>
                <w:w w:val="100"/>
                <w:sz w:val="21"/>
              </w:rPr>
              <w:t>（</w:t>
            </w:r>
            <w:r>
              <w:rPr>
                <w:spacing w:val="-2"/>
                <w:w w:val="100"/>
                <w:sz w:val="21"/>
              </w:rPr>
              <w:t>主束</w:t>
            </w:r>
            <w:r>
              <w:rPr>
                <w:w w:val="100"/>
                <w:sz w:val="21"/>
              </w:rPr>
              <w:t>）</w:t>
            </w:r>
          </w:p>
        </w:tc>
        <w:tc>
          <w:tcPr>
            <w:tcW w:w="708" w:type="dxa"/>
            <w:gridSpan w:val="2"/>
            <w:tcBorders>
              <w:top w:val="single" w:sz="12" w:space="0" w:color="000000"/>
            </w:tcBorders>
          </w:tcPr>
          <w:p>
            <w:pPr>
              <w:pStyle w:val="TableParagraph"/>
              <w:spacing w:before="115"/>
              <w:ind w:left="117"/>
              <w:jc w:val="left"/>
              <w:rPr>
                <w:rFonts w:ascii="Times New Roman"/>
                <w:sz w:val="21"/>
              </w:rPr>
            </w:pPr>
            <w:r>
              <w:rPr>
                <w:rFonts w:ascii="Times New Roman"/>
                <w:sz w:val="21"/>
              </w:rPr>
              <w:t>2.219</w:t>
            </w:r>
          </w:p>
        </w:tc>
        <w:tc>
          <w:tcPr>
            <w:tcW w:w="710" w:type="dxa"/>
            <w:tcBorders>
              <w:top w:val="single" w:sz="12" w:space="0" w:color="000000"/>
            </w:tcBorders>
          </w:tcPr>
          <w:p>
            <w:pPr>
              <w:pStyle w:val="TableParagraph"/>
              <w:spacing w:before="115"/>
              <w:ind w:left="98" w:right="88"/>
              <w:rPr>
                <w:rFonts w:ascii="Times New Roman"/>
                <w:sz w:val="21"/>
              </w:rPr>
            </w:pPr>
            <w:r>
              <w:rPr>
                <w:rFonts w:ascii="Times New Roman"/>
                <w:sz w:val="21"/>
              </w:rPr>
              <w:t>7.923</w:t>
            </w:r>
          </w:p>
        </w:tc>
        <w:tc>
          <w:tcPr>
            <w:tcW w:w="849" w:type="dxa"/>
            <w:tcBorders>
              <w:top w:val="single" w:sz="12" w:space="0" w:color="000000"/>
            </w:tcBorders>
          </w:tcPr>
          <w:p>
            <w:pPr>
              <w:pStyle w:val="TableParagraph"/>
              <w:spacing w:before="115"/>
              <w:ind w:left="116" w:right="105"/>
              <w:rPr>
                <w:rFonts w:ascii="Times New Roman"/>
                <w:sz w:val="21"/>
              </w:rPr>
            </w:pPr>
            <w:r>
              <w:rPr>
                <w:rFonts w:ascii="Times New Roman"/>
                <w:sz w:val="21"/>
              </w:rPr>
              <w:t>0.5386</w:t>
            </w:r>
          </w:p>
        </w:tc>
        <w:tc>
          <w:tcPr>
            <w:tcW w:w="934" w:type="dxa"/>
            <w:tcBorders>
              <w:top w:val="single" w:sz="12" w:space="0" w:color="000000"/>
            </w:tcBorders>
          </w:tcPr>
          <w:p>
            <w:pPr>
              <w:pStyle w:val="TableParagraph"/>
              <w:spacing w:before="115"/>
              <w:ind w:left="125" w:right="76"/>
              <w:rPr>
                <w:rFonts w:ascii="Times New Roman"/>
                <w:sz w:val="21"/>
              </w:rPr>
            </w:pPr>
            <w:r>
              <w:rPr>
                <w:rFonts w:ascii="Times New Roman"/>
                <w:sz w:val="21"/>
              </w:rPr>
              <w:t>0.03502</w:t>
            </w:r>
          </w:p>
        </w:tc>
        <w:tc>
          <w:tcPr>
            <w:tcW w:w="990" w:type="dxa"/>
            <w:tcBorders>
              <w:top w:val="single" w:sz="12" w:space="0" w:color="000000"/>
            </w:tcBorders>
          </w:tcPr>
          <w:p>
            <w:pPr>
              <w:pStyle w:val="TableParagraph"/>
              <w:spacing w:before="115"/>
              <w:ind w:right="104"/>
              <w:jc w:val="right"/>
              <w:rPr>
                <w:rFonts w:ascii="Times New Roman"/>
                <w:sz w:val="21"/>
              </w:rPr>
            </w:pPr>
            <w:r>
              <w:rPr>
                <w:rFonts w:ascii="Times New Roman"/>
                <w:sz w:val="21"/>
              </w:rPr>
              <w:t>0.07113</w:t>
            </w:r>
          </w:p>
        </w:tc>
        <w:tc>
          <w:tcPr>
            <w:tcW w:w="886" w:type="dxa"/>
            <w:tcBorders>
              <w:top w:val="single" w:sz="12" w:space="0" w:color="000000"/>
            </w:tcBorders>
          </w:tcPr>
          <w:p>
            <w:pPr>
              <w:pStyle w:val="TableParagraph"/>
              <w:spacing w:before="115"/>
              <w:ind w:left="155" w:right="102"/>
              <w:rPr>
                <w:rFonts w:ascii="Times New Roman"/>
                <w:sz w:val="21"/>
              </w:rPr>
            </w:pPr>
            <w:r>
              <w:rPr>
                <w:rFonts w:ascii="Times New Roman"/>
                <w:sz w:val="21"/>
              </w:rPr>
              <w:t>0.6974</w:t>
            </w:r>
          </w:p>
        </w:tc>
        <w:tc>
          <w:tcPr>
            <w:tcW w:w="947" w:type="dxa"/>
            <w:gridSpan w:val="2"/>
            <w:tcBorders>
              <w:top w:val="single" w:sz="12" w:space="0" w:color="000000"/>
            </w:tcBorders>
          </w:tcPr>
          <w:p>
            <w:pPr>
              <w:pStyle w:val="TableParagraph"/>
              <w:spacing w:before="115"/>
              <w:ind w:left="135"/>
              <w:jc w:val="left"/>
              <w:rPr>
                <w:rFonts w:ascii="Times New Roman"/>
                <w:sz w:val="21"/>
              </w:rPr>
            </w:pPr>
            <w:r>
              <w:rPr>
                <w:rFonts w:ascii="Times New Roman"/>
                <w:sz w:val="21"/>
              </w:rPr>
              <w:t>0.02870</w:t>
            </w:r>
          </w:p>
        </w:tc>
        <w:tc>
          <w:tcPr>
            <w:tcW w:w="989" w:type="dxa"/>
            <w:gridSpan w:val="2"/>
            <w:tcBorders>
              <w:top w:val="single" w:sz="12" w:space="0" w:color="000000"/>
            </w:tcBorders>
          </w:tcPr>
          <w:p>
            <w:pPr>
              <w:pStyle w:val="TableParagraph"/>
              <w:spacing w:before="115"/>
              <w:ind w:left="158"/>
              <w:jc w:val="left"/>
              <w:rPr>
                <w:rFonts w:ascii="Times New Roman"/>
                <w:sz w:val="21"/>
              </w:rPr>
            </w:pPr>
            <w:r>
              <w:rPr>
                <w:rFonts w:ascii="Times New Roman"/>
                <w:sz w:val="21"/>
              </w:rPr>
              <w:t>0.06700</w:t>
            </w:r>
          </w:p>
        </w:tc>
        <w:tc>
          <w:tcPr>
            <w:tcW w:w="829" w:type="dxa"/>
            <w:tcBorders>
              <w:top w:val="single" w:sz="12" w:space="0" w:color="000000"/>
            </w:tcBorders>
          </w:tcPr>
          <w:p>
            <w:pPr>
              <w:pStyle w:val="TableParagraph"/>
              <w:spacing w:before="115"/>
              <w:ind w:left="140" w:right="165"/>
              <w:rPr>
                <w:rFonts w:ascii="Times New Roman"/>
                <w:sz w:val="21"/>
              </w:rPr>
            </w:pPr>
            <w:r>
              <w:rPr>
                <w:rFonts w:ascii="Times New Roman"/>
                <w:sz w:val="21"/>
              </w:rPr>
              <w:t>1.346</w:t>
            </w:r>
          </w:p>
        </w:tc>
      </w:tr>
      <w:tr>
        <w:trPr>
          <w:trHeight w:val="467" w:hRule="atLeast"/>
        </w:trPr>
        <w:tc>
          <w:tcPr>
            <w:tcW w:w="1224" w:type="dxa"/>
            <w:tcBorders>
              <w:bottom w:val="single" w:sz="12" w:space="0" w:color="000000"/>
            </w:tcBorders>
          </w:tcPr>
          <w:p>
            <w:pPr>
              <w:pStyle w:val="TableParagraph"/>
              <w:spacing w:before="99"/>
              <w:ind w:right="-15"/>
              <w:jc w:val="right"/>
              <w:rPr>
                <w:sz w:val="21"/>
              </w:rPr>
            </w:pPr>
            <w:r>
              <w:rPr>
                <w:rFonts w:ascii="Times New Roman" w:eastAsia="Times New Roman"/>
                <w:w w:val="100"/>
                <w:sz w:val="21"/>
              </w:rPr>
              <w:t>12</w:t>
            </w:r>
            <w:r>
              <w:rPr>
                <w:rFonts w:ascii="Times New Roman" w:eastAsia="Times New Roman"/>
                <w:spacing w:val="-97"/>
                <w:w w:val="100"/>
                <w:sz w:val="21"/>
              </w:rPr>
              <w:t>5</w:t>
            </w:r>
            <w:r>
              <w:rPr>
                <w:w w:val="100"/>
                <w:sz w:val="21"/>
              </w:rPr>
              <w:t>（</w:t>
            </w:r>
            <w:r>
              <w:rPr>
                <w:spacing w:val="-2"/>
                <w:w w:val="100"/>
                <w:sz w:val="21"/>
              </w:rPr>
              <w:t>散射</w:t>
            </w:r>
            <w:r>
              <w:rPr>
                <w:w w:val="100"/>
                <w:sz w:val="21"/>
              </w:rPr>
              <w:t>）</w:t>
            </w:r>
          </w:p>
        </w:tc>
        <w:tc>
          <w:tcPr>
            <w:tcW w:w="708" w:type="dxa"/>
            <w:gridSpan w:val="2"/>
            <w:tcBorders>
              <w:bottom w:val="single" w:sz="12" w:space="0" w:color="000000"/>
            </w:tcBorders>
          </w:tcPr>
          <w:p>
            <w:pPr>
              <w:pStyle w:val="TableParagraph"/>
              <w:spacing w:before="113"/>
              <w:ind w:left="117"/>
              <w:jc w:val="left"/>
              <w:rPr>
                <w:rFonts w:ascii="Times New Roman"/>
                <w:sz w:val="21"/>
              </w:rPr>
            </w:pPr>
            <w:r>
              <w:rPr>
                <w:rFonts w:ascii="Times New Roman"/>
                <w:sz w:val="21"/>
              </w:rPr>
              <w:t>2.233</w:t>
            </w:r>
          </w:p>
        </w:tc>
        <w:tc>
          <w:tcPr>
            <w:tcW w:w="710" w:type="dxa"/>
            <w:tcBorders>
              <w:bottom w:val="single" w:sz="12" w:space="0" w:color="000000"/>
            </w:tcBorders>
          </w:tcPr>
          <w:p>
            <w:pPr>
              <w:pStyle w:val="TableParagraph"/>
              <w:spacing w:before="113"/>
              <w:ind w:left="98" w:right="88"/>
              <w:rPr>
                <w:rFonts w:ascii="Times New Roman"/>
                <w:sz w:val="21"/>
              </w:rPr>
            </w:pPr>
            <w:r>
              <w:rPr>
                <w:rFonts w:ascii="Times New Roman"/>
                <w:sz w:val="21"/>
              </w:rPr>
              <w:t>7.888</w:t>
            </w:r>
          </w:p>
        </w:tc>
        <w:tc>
          <w:tcPr>
            <w:tcW w:w="849" w:type="dxa"/>
            <w:tcBorders>
              <w:bottom w:val="single" w:sz="12" w:space="0" w:color="000000"/>
            </w:tcBorders>
          </w:tcPr>
          <w:p>
            <w:pPr>
              <w:pStyle w:val="TableParagraph"/>
              <w:spacing w:before="113"/>
              <w:ind w:left="116" w:right="105"/>
              <w:rPr>
                <w:rFonts w:ascii="Times New Roman"/>
                <w:sz w:val="21"/>
              </w:rPr>
            </w:pPr>
            <w:r>
              <w:rPr>
                <w:rFonts w:ascii="Times New Roman"/>
                <w:sz w:val="21"/>
              </w:rPr>
              <w:t>0.7295</w:t>
            </w:r>
          </w:p>
        </w:tc>
        <w:tc>
          <w:tcPr>
            <w:tcW w:w="934" w:type="dxa"/>
            <w:tcBorders>
              <w:bottom w:val="single" w:sz="12" w:space="0" w:color="000000"/>
            </w:tcBorders>
          </w:tcPr>
          <w:p>
            <w:pPr>
              <w:pStyle w:val="TableParagraph"/>
              <w:spacing w:before="113"/>
              <w:ind w:left="125" w:right="76"/>
              <w:rPr>
                <w:rFonts w:ascii="Times New Roman"/>
                <w:sz w:val="21"/>
              </w:rPr>
            </w:pPr>
            <w:r>
              <w:rPr>
                <w:rFonts w:ascii="Times New Roman"/>
                <w:sz w:val="21"/>
              </w:rPr>
              <w:t>0.03510</w:t>
            </w:r>
          </w:p>
        </w:tc>
        <w:tc>
          <w:tcPr>
            <w:tcW w:w="990" w:type="dxa"/>
            <w:tcBorders>
              <w:bottom w:val="single" w:sz="12" w:space="0" w:color="000000"/>
            </w:tcBorders>
          </w:tcPr>
          <w:p>
            <w:pPr>
              <w:pStyle w:val="TableParagraph"/>
              <w:spacing w:before="113"/>
              <w:ind w:right="98"/>
              <w:jc w:val="right"/>
              <w:rPr>
                <w:rFonts w:ascii="Times New Roman"/>
                <w:sz w:val="21"/>
              </w:rPr>
            </w:pPr>
            <w:r>
              <w:rPr>
                <w:rFonts w:ascii="Times New Roman"/>
                <w:sz w:val="21"/>
              </w:rPr>
              <w:t>0.06600</w:t>
            </w:r>
          </w:p>
        </w:tc>
        <w:tc>
          <w:tcPr>
            <w:tcW w:w="886" w:type="dxa"/>
            <w:tcBorders>
              <w:bottom w:val="single" w:sz="12" w:space="0" w:color="000000"/>
            </w:tcBorders>
          </w:tcPr>
          <w:p>
            <w:pPr>
              <w:pStyle w:val="TableParagraph"/>
              <w:spacing w:before="113"/>
              <w:ind w:left="155" w:right="102"/>
              <w:rPr>
                <w:rFonts w:ascii="Times New Roman"/>
                <w:sz w:val="21"/>
              </w:rPr>
            </w:pPr>
            <w:r>
              <w:rPr>
                <w:rFonts w:ascii="Times New Roman"/>
                <w:sz w:val="21"/>
              </w:rPr>
              <w:t>0.7832</w:t>
            </w:r>
          </w:p>
        </w:tc>
        <w:tc>
          <w:tcPr>
            <w:tcW w:w="947" w:type="dxa"/>
            <w:gridSpan w:val="2"/>
            <w:tcBorders>
              <w:bottom w:val="single" w:sz="12" w:space="0" w:color="000000"/>
            </w:tcBorders>
          </w:tcPr>
          <w:p>
            <w:pPr>
              <w:pStyle w:val="TableParagraph"/>
              <w:spacing w:before="113"/>
              <w:ind w:left="16"/>
              <w:rPr>
                <w:rFonts w:ascii="Times New Roman"/>
                <w:sz w:val="21"/>
              </w:rPr>
            </w:pPr>
            <w:r>
              <w:rPr>
                <w:rFonts w:ascii="Times New Roman"/>
                <w:w w:val="100"/>
                <w:sz w:val="21"/>
              </w:rPr>
              <w:t>/</w:t>
            </w:r>
          </w:p>
        </w:tc>
        <w:tc>
          <w:tcPr>
            <w:tcW w:w="989" w:type="dxa"/>
            <w:gridSpan w:val="2"/>
            <w:tcBorders>
              <w:bottom w:val="single" w:sz="12" w:space="0" w:color="000000"/>
            </w:tcBorders>
          </w:tcPr>
          <w:p>
            <w:pPr>
              <w:pStyle w:val="TableParagraph"/>
              <w:spacing w:before="113"/>
              <w:ind w:left="19"/>
              <w:rPr>
                <w:rFonts w:ascii="Times New Roman"/>
                <w:sz w:val="21"/>
              </w:rPr>
            </w:pPr>
            <w:r>
              <w:rPr>
                <w:rFonts w:ascii="Times New Roman"/>
                <w:w w:val="100"/>
                <w:sz w:val="21"/>
              </w:rPr>
              <w:t>/</w:t>
            </w:r>
          </w:p>
        </w:tc>
        <w:tc>
          <w:tcPr>
            <w:tcW w:w="829" w:type="dxa"/>
            <w:tcBorders>
              <w:bottom w:val="single" w:sz="12" w:space="0" w:color="000000"/>
            </w:tcBorders>
          </w:tcPr>
          <w:p>
            <w:pPr>
              <w:pStyle w:val="TableParagraph"/>
              <w:spacing w:before="113"/>
              <w:ind w:right="30"/>
              <w:rPr>
                <w:rFonts w:ascii="Times New Roman"/>
                <w:sz w:val="21"/>
              </w:rPr>
            </w:pPr>
            <w:r>
              <w:rPr>
                <w:rFonts w:ascii="Times New Roman"/>
                <w:w w:val="100"/>
                <w:sz w:val="21"/>
              </w:rPr>
              <w:t>/</w:t>
            </w:r>
          </w:p>
        </w:tc>
      </w:tr>
      <w:tr>
        <w:trPr>
          <w:trHeight w:val="1714" w:hRule="atLeast"/>
        </w:trPr>
        <w:tc>
          <w:tcPr>
            <w:tcW w:w="9066" w:type="dxa"/>
            <w:gridSpan w:val="13"/>
            <w:tcBorders>
              <w:top w:val="single" w:sz="12" w:space="0" w:color="000000"/>
              <w:bottom w:val="single" w:sz="12" w:space="0" w:color="000000"/>
            </w:tcBorders>
          </w:tcPr>
          <w:p>
            <w:pPr>
              <w:pStyle w:val="TableParagraph"/>
              <w:spacing w:line="364" w:lineRule="auto" w:before="81"/>
              <w:ind w:left="107" w:right="80" w:firstLine="480"/>
              <w:jc w:val="both"/>
              <w:rPr>
                <w:sz w:val="24"/>
              </w:rPr>
            </w:pPr>
            <w:r>
              <w:rPr>
                <w:spacing w:val="-1"/>
                <w:sz w:val="24"/>
              </w:rPr>
              <w:t>换算铅当量时， </w:t>
            </w:r>
            <w:r>
              <w:rPr>
                <w:rFonts w:ascii="Times New Roman" w:eastAsia="Times New Roman"/>
                <w:sz w:val="24"/>
              </w:rPr>
              <w:t>DSA </w:t>
            </w:r>
            <w:r>
              <w:rPr>
                <w:spacing w:val="-5"/>
                <w:sz w:val="24"/>
              </w:rPr>
              <w:t>管电压保守取最大电压 </w:t>
            </w:r>
            <w:r>
              <w:rPr>
                <w:rFonts w:ascii="Times New Roman" w:eastAsia="Times New Roman"/>
                <w:sz w:val="24"/>
              </w:rPr>
              <w:t>125kV</w:t>
            </w:r>
            <w:r>
              <w:rPr>
                <w:spacing w:val="-11"/>
                <w:sz w:val="24"/>
              </w:rPr>
              <w:t>，根据公式 </w:t>
            </w:r>
            <w:r>
              <w:rPr>
                <w:rFonts w:ascii="Times New Roman" w:eastAsia="Times New Roman"/>
                <w:spacing w:val="-4"/>
                <w:sz w:val="24"/>
              </w:rPr>
              <w:t>11-1</w:t>
            </w:r>
            <w:r>
              <w:rPr>
                <w:spacing w:val="-17"/>
                <w:sz w:val="24"/>
              </w:rPr>
              <w:t>、公式 </w:t>
            </w:r>
            <w:r>
              <w:rPr>
                <w:rFonts w:ascii="Times New Roman" w:eastAsia="Times New Roman"/>
                <w:spacing w:val="-3"/>
                <w:sz w:val="24"/>
              </w:rPr>
              <w:t>11-2 </w:t>
            </w:r>
            <w:r>
              <w:rPr>
                <w:spacing w:val="-16"/>
                <w:sz w:val="24"/>
              </w:rPr>
              <w:t>及《辐射防护手册》</w:t>
            </w:r>
            <w:r>
              <w:rPr>
                <w:sz w:val="24"/>
              </w:rPr>
              <w:t>（第三分册</w:t>
            </w:r>
            <w:r>
              <w:rPr>
                <w:spacing w:val="-3"/>
                <w:sz w:val="24"/>
              </w:rPr>
              <w:t>）</w:t>
            </w:r>
            <w:r>
              <w:rPr>
                <w:spacing w:val="-30"/>
                <w:sz w:val="24"/>
              </w:rPr>
              <w:t>表 </w:t>
            </w:r>
            <w:r>
              <w:rPr>
                <w:rFonts w:ascii="Times New Roman" w:eastAsia="Times New Roman"/>
                <w:sz w:val="24"/>
              </w:rPr>
              <w:t>3.3 </w:t>
            </w:r>
            <w:r>
              <w:rPr>
                <w:spacing w:val="-8"/>
                <w:sz w:val="24"/>
              </w:rPr>
              <w:t>内容计算本项目不同屏蔽物质的铅当量，计算</w:t>
            </w:r>
            <w:r>
              <w:rPr>
                <w:spacing w:val="-6"/>
                <w:sz w:val="24"/>
              </w:rPr>
              <w:t>结果如下：</w:t>
            </w:r>
          </w:p>
          <w:p>
            <w:pPr>
              <w:pStyle w:val="TableParagraph"/>
              <w:spacing w:line="212" w:lineRule="exact"/>
              <w:ind w:left="2193"/>
              <w:jc w:val="left"/>
              <w:rPr>
                <w:sz w:val="21"/>
              </w:rPr>
            </w:pPr>
            <w:r>
              <w:rPr>
                <w:sz w:val="21"/>
              </w:rPr>
              <w:t>表 </w:t>
            </w:r>
            <w:r>
              <w:rPr>
                <w:rFonts w:ascii="Times New Roman" w:eastAsia="Times New Roman"/>
                <w:sz w:val="21"/>
              </w:rPr>
              <w:t>11-2 </w:t>
            </w:r>
            <w:r>
              <w:rPr>
                <w:sz w:val="21"/>
              </w:rPr>
              <w:t>本项目介入治疗室屏蔽防护铅当量计算结果</w:t>
            </w:r>
          </w:p>
        </w:tc>
      </w:tr>
      <w:tr>
        <w:trPr>
          <w:trHeight w:val="397" w:hRule="atLeast"/>
        </w:trPr>
        <w:tc>
          <w:tcPr>
            <w:tcW w:w="1836" w:type="dxa"/>
            <w:gridSpan w:val="2"/>
            <w:tcBorders>
              <w:top w:val="single" w:sz="12" w:space="0" w:color="000000"/>
              <w:bottom w:val="single" w:sz="12" w:space="0" w:color="000000"/>
            </w:tcBorders>
          </w:tcPr>
          <w:p>
            <w:pPr>
              <w:pStyle w:val="TableParagraph"/>
              <w:spacing w:before="67"/>
              <w:ind w:left="316"/>
              <w:jc w:val="left"/>
              <w:rPr>
                <w:sz w:val="21"/>
              </w:rPr>
            </w:pPr>
            <w:r>
              <w:rPr>
                <w:sz w:val="21"/>
              </w:rPr>
              <w:t>屏蔽防护设计</w:t>
            </w:r>
          </w:p>
        </w:tc>
        <w:tc>
          <w:tcPr>
            <w:tcW w:w="2589" w:type="dxa"/>
            <w:gridSpan w:val="4"/>
            <w:tcBorders>
              <w:top w:val="single" w:sz="12" w:space="0" w:color="000000"/>
              <w:bottom w:val="single" w:sz="12" w:space="0" w:color="000000"/>
            </w:tcBorders>
          </w:tcPr>
          <w:p>
            <w:pPr>
              <w:pStyle w:val="TableParagraph"/>
              <w:spacing w:before="67"/>
              <w:ind w:left="765"/>
              <w:jc w:val="left"/>
              <w:rPr>
                <w:sz w:val="21"/>
              </w:rPr>
            </w:pPr>
            <w:r>
              <w:rPr>
                <w:sz w:val="21"/>
              </w:rPr>
              <w:t>材料及厚度</w:t>
            </w:r>
          </w:p>
        </w:tc>
        <w:tc>
          <w:tcPr>
            <w:tcW w:w="990" w:type="dxa"/>
            <w:tcBorders>
              <w:top w:val="single" w:sz="12" w:space="0" w:color="000000"/>
              <w:bottom w:val="single" w:sz="12" w:space="0" w:color="000000"/>
            </w:tcBorders>
          </w:tcPr>
          <w:p>
            <w:pPr>
              <w:pStyle w:val="TableParagraph"/>
              <w:spacing w:before="81"/>
              <w:ind w:right="58"/>
              <w:rPr>
                <w:rFonts w:ascii="Times New Roman" w:hAnsi="Times New Roman"/>
                <w:sz w:val="21"/>
              </w:rPr>
            </w:pPr>
            <w:r>
              <w:rPr>
                <w:rFonts w:ascii="Times New Roman" w:hAnsi="Times New Roman"/>
                <w:w w:val="100"/>
                <w:sz w:val="21"/>
              </w:rPr>
              <w:t>α</w:t>
            </w:r>
          </w:p>
        </w:tc>
        <w:tc>
          <w:tcPr>
            <w:tcW w:w="1032" w:type="dxa"/>
            <w:gridSpan w:val="2"/>
            <w:tcBorders>
              <w:top w:val="single" w:sz="12" w:space="0" w:color="000000"/>
              <w:bottom w:val="single" w:sz="12" w:space="0" w:color="000000"/>
            </w:tcBorders>
          </w:tcPr>
          <w:p>
            <w:pPr>
              <w:pStyle w:val="TableParagraph"/>
              <w:spacing w:before="81"/>
              <w:ind w:right="18"/>
              <w:rPr>
                <w:rFonts w:ascii="Times New Roman" w:hAnsi="Times New Roman"/>
                <w:sz w:val="21"/>
              </w:rPr>
            </w:pPr>
            <w:r>
              <w:rPr>
                <w:rFonts w:ascii="Times New Roman" w:hAnsi="Times New Roman"/>
                <w:w w:val="100"/>
                <w:sz w:val="21"/>
              </w:rPr>
              <w:t>β</w:t>
            </w:r>
          </w:p>
        </w:tc>
        <w:tc>
          <w:tcPr>
            <w:tcW w:w="992" w:type="dxa"/>
            <w:gridSpan w:val="2"/>
            <w:tcBorders>
              <w:top w:val="single" w:sz="12" w:space="0" w:color="000000"/>
              <w:bottom w:val="single" w:sz="12" w:space="0" w:color="000000"/>
            </w:tcBorders>
          </w:tcPr>
          <w:p>
            <w:pPr>
              <w:pStyle w:val="TableParagraph"/>
              <w:spacing w:before="81"/>
              <w:ind w:left="20"/>
              <w:rPr>
                <w:rFonts w:ascii="Times New Roman" w:hAnsi="Times New Roman"/>
                <w:sz w:val="21"/>
              </w:rPr>
            </w:pPr>
            <w:r>
              <w:rPr>
                <w:rFonts w:ascii="Times New Roman" w:hAnsi="Times New Roman"/>
                <w:w w:val="100"/>
                <w:sz w:val="21"/>
              </w:rPr>
              <w:t>γ</w:t>
            </w:r>
          </w:p>
        </w:tc>
        <w:tc>
          <w:tcPr>
            <w:tcW w:w="1627" w:type="dxa"/>
            <w:gridSpan w:val="2"/>
            <w:tcBorders>
              <w:top w:val="single" w:sz="12" w:space="0" w:color="000000"/>
              <w:bottom w:val="single" w:sz="12" w:space="0" w:color="000000"/>
            </w:tcBorders>
          </w:tcPr>
          <w:p>
            <w:pPr>
              <w:pStyle w:val="TableParagraph"/>
              <w:spacing w:before="67"/>
              <w:ind w:left="281"/>
              <w:jc w:val="left"/>
              <w:rPr>
                <w:sz w:val="21"/>
              </w:rPr>
            </w:pPr>
            <w:r>
              <w:rPr>
                <w:sz w:val="21"/>
              </w:rPr>
              <w:t>铅防护当量</w:t>
            </w:r>
          </w:p>
        </w:tc>
      </w:tr>
      <w:tr>
        <w:trPr>
          <w:trHeight w:val="469" w:hRule="atLeast"/>
        </w:trPr>
        <w:tc>
          <w:tcPr>
            <w:tcW w:w="1836" w:type="dxa"/>
            <w:gridSpan w:val="2"/>
            <w:tcBorders>
              <w:top w:val="single" w:sz="12" w:space="0" w:color="000000"/>
            </w:tcBorders>
          </w:tcPr>
          <w:p>
            <w:pPr>
              <w:pStyle w:val="TableParagraph"/>
              <w:spacing w:before="101"/>
              <w:ind w:left="537"/>
              <w:jc w:val="left"/>
              <w:rPr>
                <w:sz w:val="21"/>
              </w:rPr>
            </w:pPr>
            <w:r>
              <w:rPr>
                <w:sz w:val="21"/>
              </w:rPr>
              <w:t>四周墙体</w:t>
            </w:r>
          </w:p>
        </w:tc>
        <w:tc>
          <w:tcPr>
            <w:tcW w:w="2589" w:type="dxa"/>
            <w:gridSpan w:val="4"/>
            <w:tcBorders>
              <w:top w:val="single" w:sz="12" w:space="0" w:color="000000"/>
            </w:tcBorders>
          </w:tcPr>
          <w:p>
            <w:pPr>
              <w:pStyle w:val="TableParagraph"/>
              <w:spacing w:before="101"/>
              <w:ind w:left="507"/>
              <w:jc w:val="left"/>
              <w:rPr>
                <w:sz w:val="21"/>
              </w:rPr>
            </w:pPr>
            <w:r>
              <w:rPr>
                <w:rFonts w:ascii="Times New Roman" w:eastAsia="Times New Roman"/>
                <w:sz w:val="21"/>
              </w:rPr>
              <w:t>370mm </w:t>
            </w:r>
            <w:r>
              <w:rPr>
                <w:sz w:val="21"/>
              </w:rPr>
              <w:t>厚实心砖</w:t>
            </w:r>
          </w:p>
        </w:tc>
        <w:tc>
          <w:tcPr>
            <w:tcW w:w="990" w:type="dxa"/>
            <w:tcBorders>
              <w:top w:val="single" w:sz="12" w:space="0" w:color="000000"/>
            </w:tcBorders>
          </w:tcPr>
          <w:p>
            <w:pPr>
              <w:pStyle w:val="TableParagraph"/>
              <w:spacing w:before="115"/>
              <w:ind w:left="116"/>
              <w:jc w:val="left"/>
              <w:rPr>
                <w:rFonts w:ascii="Times New Roman"/>
                <w:sz w:val="21"/>
              </w:rPr>
            </w:pPr>
            <w:r>
              <w:rPr>
                <w:rFonts w:ascii="Times New Roman"/>
                <w:sz w:val="21"/>
              </w:rPr>
              <w:t>0.02870</w:t>
            </w:r>
          </w:p>
        </w:tc>
        <w:tc>
          <w:tcPr>
            <w:tcW w:w="1032" w:type="dxa"/>
            <w:gridSpan w:val="2"/>
            <w:tcBorders>
              <w:top w:val="single" w:sz="12" w:space="0" w:color="000000"/>
            </w:tcBorders>
          </w:tcPr>
          <w:p>
            <w:pPr>
              <w:pStyle w:val="TableParagraph"/>
              <w:spacing w:before="115"/>
              <w:ind w:left="159"/>
              <w:jc w:val="left"/>
              <w:rPr>
                <w:rFonts w:ascii="Times New Roman"/>
                <w:sz w:val="21"/>
              </w:rPr>
            </w:pPr>
            <w:r>
              <w:rPr>
                <w:rFonts w:ascii="Times New Roman"/>
                <w:sz w:val="21"/>
              </w:rPr>
              <w:t>0.06700</w:t>
            </w:r>
          </w:p>
        </w:tc>
        <w:tc>
          <w:tcPr>
            <w:tcW w:w="992" w:type="dxa"/>
            <w:gridSpan w:val="2"/>
            <w:tcBorders>
              <w:top w:val="single" w:sz="12" w:space="0" w:color="000000"/>
            </w:tcBorders>
          </w:tcPr>
          <w:p>
            <w:pPr>
              <w:pStyle w:val="TableParagraph"/>
              <w:spacing w:before="115"/>
              <w:ind w:left="262"/>
              <w:jc w:val="left"/>
              <w:rPr>
                <w:rFonts w:ascii="Times New Roman"/>
                <w:sz w:val="21"/>
              </w:rPr>
            </w:pPr>
            <w:r>
              <w:rPr>
                <w:rFonts w:ascii="Times New Roman"/>
                <w:sz w:val="21"/>
              </w:rPr>
              <w:t>1.346</w:t>
            </w:r>
          </w:p>
        </w:tc>
        <w:tc>
          <w:tcPr>
            <w:tcW w:w="1627" w:type="dxa"/>
            <w:gridSpan w:val="2"/>
            <w:tcBorders>
              <w:top w:val="single" w:sz="12" w:space="0" w:color="000000"/>
            </w:tcBorders>
          </w:tcPr>
          <w:p>
            <w:pPr>
              <w:pStyle w:val="TableParagraph"/>
              <w:spacing w:before="101"/>
              <w:ind w:left="121"/>
              <w:jc w:val="left"/>
              <w:rPr>
                <w:sz w:val="21"/>
              </w:rPr>
            </w:pPr>
            <w:r>
              <w:rPr>
                <w:rFonts w:ascii="Times New Roman" w:eastAsia="Times New Roman"/>
                <w:sz w:val="21"/>
              </w:rPr>
              <w:t>3.91mm </w:t>
            </w:r>
            <w:r>
              <w:rPr>
                <w:sz w:val="21"/>
              </w:rPr>
              <w:t>铅当量</w:t>
            </w:r>
          </w:p>
        </w:tc>
      </w:tr>
      <w:tr>
        <w:trPr>
          <w:trHeight w:val="445" w:hRule="atLeast"/>
        </w:trPr>
        <w:tc>
          <w:tcPr>
            <w:tcW w:w="1836" w:type="dxa"/>
            <w:gridSpan w:val="2"/>
            <w:tcBorders>
              <w:bottom w:val="single" w:sz="12" w:space="0" w:color="000000"/>
            </w:tcBorders>
          </w:tcPr>
          <w:p>
            <w:pPr>
              <w:pStyle w:val="TableParagraph"/>
              <w:spacing w:before="89"/>
              <w:ind w:left="717" w:right="648"/>
              <w:rPr>
                <w:sz w:val="21"/>
              </w:rPr>
            </w:pPr>
            <w:r>
              <w:rPr>
                <w:sz w:val="21"/>
              </w:rPr>
              <w:t>楼顶</w:t>
            </w:r>
          </w:p>
        </w:tc>
        <w:tc>
          <w:tcPr>
            <w:tcW w:w="2589" w:type="dxa"/>
            <w:gridSpan w:val="4"/>
            <w:tcBorders>
              <w:bottom w:val="single" w:sz="12" w:space="0" w:color="000000"/>
            </w:tcBorders>
          </w:tcPr>
          <w:p>
            <w:pPr>
              <w:pStyle w:val="TableParagraph"/>
              <w:spacing w:before="89"/>
              <w:ind w:left="343"/>
              <w:jc w:val="left"/>
              <w:rPr>
                <w:sz w:val="21"/>
              </w:rPr>
            </w:pPr>
            <w:r>
              <w:rPr>
                <w:sz w:val="21"/>
              </w:rPr>
              <w:t>龙骨钢架</w:t>
            </w:r>
            <w:r>
              <w:rPr>
                <w:rFonts w:ascii="Times New Roman" w:eastAsia="Times New Roman"/>
                <w:sz w:val="21"/>
              </w:rPr>
              <w:t>+3mm </w:t>
            </w:r>
            <w:r>
              <w:rPr>
                <w:sz w:val="21"/>
              </w:rPr>
              <w:t>铅板</w:t>
            </w:r>
          </w:p>
        </w:tc>
        <w:tc>
          <w:tcPr>
            <w:tcW w:w="990" w:type="dxa"/>
            <w:tcBorders>
              <w:bottom w:val="single" w:sz="12" w:space="0" w:color="000000"/>
            </w:tcBorders>
          </w:tcPr>
          <w:p>
            <w:pPr>
              <w:pStyle w:val="TableParagraph"/>
              <w:spacing w:before="103"/>
              <w:ind w:left="114"/>
              <w:jc w:val="left"/>
              <w:rPr>
                <w:rFonts w:ascii="Times New Roman"/>
                <w:sz w:val="21"/>
              </w:rPr>
            </w:pPr>
            <w:r>
              <w:rPr>
                <w:rFonts w:ascii="Times New Roman"/>
                <w:sz w:val="21"/>
              </w:rPr>
              <w:t>0.03502</w:t>
            </w:r>
          </w:p>
        </w:tc>
        <w:tc>
          <w:tcPr>
            <w:tcW w:w="1032" w:type="dxa"/>
            <w:gridSpan w:val="2"/>
            <w:tcBorders>
              <w:bottom w:val="single" w:sz="12" w:space="0" w:color="000000"/>
            </w:tcBorders>
          </w:tcPr>
          <w:p>
            <w:pPr>
              <w:pStyle w:val="TableParagraph"/>
              <w:spacing w:before="103"/>
              <w:ind w:left="162"/>
              <w:jc w:val="left"/>
              <w:rPr>
                <w:rFonts w:ascii="Times New Roman"/>
                <w:sz w:val="21"/>
              </w:rPr>
            </w:pPr>
            <w:r>
              <w:rPr>
                <w:rFonts w:ascii="Times New Roman"/>
                <w:sz w:val="21"/>
              </w:rPr>
              <w:t>0.07113</w:t>
            </w:r>
          </w:p>
        </w:tc>
        <w:tc>
          <w:tcPr>
            <w:tcW w:w="992" w:type="dxa"/>
            <w:gridSpan w:val="2"/>
            <w:tcBorders>
              <w:bottom w:val="single" w:sz="12" w:space="0" w:color="000000"/>
            </w:tcBorders>
          </w:tcPr>
          <w:p>
            <w:pPr>
              <w:pStyle w:val="TableParagraph"/>
              <w:spacing w:before="103"/>
              <w:ind w:left="209"/>
              <w:jc w:val="left"/>
              <w:rPr>
                <w:rFonts w:ascii="Times New Roman"/>
                <w:sz w:val="21"/>
              </w:rPr>
            </w:pPr>
            <w:r>
              <w:rPr>
                <w:rFonts w:ascii="Times New Roman"/>
                <w:sz w:val="21"/>
              </w:rPr>
              <w:t>0.6974</w:t>
            </w:r>
          </w:p>
        </w:tc>
        <w:tc>
          <w:tcPr>
            <w:tcW w:w="1627" w:type="dxa"/>
            <w:gridSpan w:val="2"/>
            <w:tcBorders>
              <w:bottom w:val="single" w:sz="12" w:space="0" w:color="000000"/>
            </w:tcBorders>
          </w:tcPr>
          <w:p>
            <w:pPr>
              <w:pStyle w:val="TableParagraph"/>
              <w:spacing w:before="89"/>
              <w:ind w:left="248"/>
              <w:jc w:val="left"/>
              <w:rPr>
                <w:sz w:val="21"/>
              </w:rPr>
            </w:pPr>
            <w:r>
              <w:rPr>
                <w:rFonts w:ascii="Times New Roman" w:eastAsia="Times New Roman"/>
                <w:sz w:val="21"/>
              </w:rPr>
              <w:t>3mm </w:t>
            </w:r>
            <w:r>
              <w:rPr>
                <w:sz w:val="21"/>
              </w:rPr>
              <w:t>铅当量</w:t>
            </w:r>
          </w:p>
        </w:tc>
      </w:tr>
      <w:tr>
        <w:trPr>
          <w:trHeight w:val="4211" w:hRule="atLeast"/>
        </w:trPr>
        <w:tc>
          <w:tcPr>
            <w:tcW w:w="9066" w:type="dxa"/>
            <w:gridSpan w:val="13"/>
            <w:tcBorders>
              <w:top w:val="single" w:sz="12" w:space="0" w:color="000000"/>
            </w:tcBorders>
          </w:tcPr>
          <w:p>
            <w:pPr>
              <w:pStyle w:val="TableParagraph"/>
              <w:spacing w:before="40"/>
              <w:ind w:left="107"/>
              <w:jc w:val="left"/>
              <w:rPr>
                <w:sz w:val="18"/>
              </w:rPr>
            </w:pPr>
            <w:r>
              <w:rPr>
                <w:spacing w:val="-3"/>
                <w:sz w:val="18"/>
              </w:rPr>
              <w:t>注：换算铅当量时，</w:t>
            </w:r>
            <w:r>
              <w:rPr>
                <w:rFonts w:ascii="Times New Roman" w:eastAsia="Times New Roman"/>
                <w:sz w:val="18"/>
              </w:rPr>
              <w:t>DSA</w:t>
            </w:r>
            <w:r>
              <w:rPr>
                <w:rFonts w:ascii="Times New Roman" w:eastAsia="Times New Roman"/>
                <w:spacing w:val="-2"/>
                <w:sz w:val="18"/>
              </w:rPr>
              <w:t> </w:t>
            </w:r>
            <w:r>
              <w:rPr>
                <w:spacing w:val="-4"/>
                <w:sz w:val="18"/>
              </w:rPr>
              <w:t>机管电压保守取最大电压 </w:t>
            </w:r>
            <w:r>
              <w:rPr>
                <w:rFonts w:ascii="Times New Roman" w:eastAsia="Times New Roman"/>
                <w:sz w:val="18"/>
              </w:rPr>
              <w:t>125kV</w:t>
            </w:r>
            <w:r>
              <w:rPr>
                <w:sz w:val="18"/>
              </w:rPr>
              <w:t>。</w:t>
            </w:r>
          </w:p>
          <w:p>
            <w:pPr>
              <w:pStyle w:val="TableParagraph"/>
              <w:spacing w:before="122"/>
              <w:ind w:left="590"/>
              <w:jc w:val="left"/>
              <w:rPr>
                <w:sz w:val="24"/>
              </w:rPr>
            </w:pPr>
            <w:r>
              <w:rPr>
                <w:sz w:val="24"/>
              </w:rPr>
              <w:t>2、介入治疗室屏蔽防护设计合理性分析</w:t>
            </w:r>
            <w:r>
              <w:rPr>
                <w:w w:val="50"/>
                <w:sz w:val="24"/>
              </w:rPr>
              <w:t> </w:t>
            </w:r>
          </w:p>
          <w:p>
            <w:pPr>
              <w:pStyle w:val="TableParagraph"/>
              <w:spacing w:before="161"/>
              <w:ind w:left="587"/>
              <w:jc w:val="left"/>
              <w:rPr>
                <w:sz w:val="24"/>
              </w:rPr>
            </w:pPr>
            <w:r>
              <w:rPr>
                <w:spacing w:val="-3"/>
                <w:sz w:val="24"/>
              </w:rPr>
              <w:t>本项目介入治疗室设计屏蔽情况与《放射诊断放射防护要求</w:t>
            </w:r>
            <w:r>
              <w:rPr>
                <w:spacing w:val="-154"/>
                <w:sz w:val="24"/>
              </w:rPr>
              <w:t>》</w:t>
            </w:r>
            <w:r>
              <w:rPr>
                <w:spacing w:val="-3"/>
                <w:sz w:val="24"/>
              </w:rPr>
              <w:t>（</w:t>
            </w:r>
            <w:r>
              <w:rPr>
                <w:rFonts w:ascii="Times New Roman" w:eastAsia="Times New Roman"/>
                <w:spacing w:val="-3"/>
                <w:sz w:val="24"/>
              </w:rPr>
              <w:t>GBZ130-2020</w:t>
            </w:r>
            <w:r>
              <w:rPr>
                <w:spacing w:val="-3"/>
                <w:sz w:val="24"/>
              </w:rPr>
              <w:t>）</w:t>
            </w:r>
            <w:r>
              <w:rPr>
                <w:sz w:val="24"/>
              </w:rPr>
              <w:t>中</w:t>
            </w:r>
          </w:p>
          <w:p>
            <w:pPr>
              <w:pStyle w:val="TableParagraph"/>
              <w:spacing w:before="160"/>
              <w:ind w:left="107"/>
              <w:jc w:val="left"/>
              <w:rPr>
                <w:sz w:val="24"/>
              </w:rPr>
            </w:pPr>
            <w:r>
              <w:rPr>
                <w:rFonts w:ascii="Times New Roman" w:eastAsia="Times New Roman"/>
                <w:sz w:val="24"/>
              </w:rPr>
              <w:t>C </w:t>
            </w:r>
            <w:r>
              <w:rPr>
                <w:sz w:val="24"/>
              </w:rPr>
              <w:t>形臂 </w:t>
            </w:r>
            <w:r>
              <w:rPr>
                <w:rFonts w:ascii="Times New Roman" w:eastAsia="Times New Roman"/>
                <w:sz w:val="24"/>
              </w:rPr>
              <w:t>X </w:t>
            </w:r>
            <w:r>
              <w:rPr>
                <w:sz w:val="24"/>
              </w:rPr>
              <w:t>射线设备机房屏蔽防护要求对比见表 </w:t>
            </w:r>
            <w:r>
              <w:rPr>
                <w:rFonts w:ascii="Times New Roman" w:eastAsia="Times New Roman"/>
                <w:sz w:val="24"/>
              </w:rPr>
              <w:t>11-3</w:t>
            </w:r>
            <w:r>
              <w:rPr>
                <w:sz w:val="24"/>
              </w:rPr>
              <w:t>。</w:t>
            </w:r>
          </w:p>
        </w:tc>
      </w:tr>
    </w:tbl>
    <w:p>
      <w:pPr>
        <w:rPr>
          <w:sz w:val="2"/>
          <w:szCs w:val="2"/>
        </w:rPr>
      </w:pPr>
      <w:r>
        <w:rPr/>
        <w:pict>
          <v:line style="position:absolute;mso-position-horizontal-relative:page;mso-position-vertical-relative:page;z-index:-211456" from="205.440018pt,87.35994pt" to="218.280015pt,87.35994pt" stroked="true" strokeweight=".960005pt" strokecolor="#000000">
            <v:stroke dashstyle="solid"/>
            <w10:wrap type="none"/>
          </v:line>
        </w:pict>
      </w:r>
      <w:r>
        <w:rPr/>
        <w:pict>
          <v:line style="position:absolute;mso-position-horizontal-relative:page;mso-position-vertical-relative:page;z-index:-211432" from="251.76001pt,87.35994pt" to="283.560006pt,87.35994pt" stroked="true" strokeweight=".960005pt" strokecolor="#000000">
            <v:stroke dashstyle="solid"/>
            <w10:wrap type="none"/>
          </v:line>
        </w:pict>
      </w:r>
    </w:p>
    <w:p>
      <w:pPr>
        <w:spacing w:after="0"/>
        <w:rPr>
          <w:sz w:val="2"/>
          <w:szCs w:val="2"/>
        </w:rPr>
        <w:sectPr>
          <w:pgSz w:w="11910" w:h="16840"/>
          <w:pgMar w:header="0" w:footer="881" w:top="1220" w:bottom="1080" w:left="1480" w:right="1020"/>
        </w:sectPr>
      </w:pPr>
    </w:p>
    <w:p>
      <w:pPr>
        <w:tabs>
          <w:tab w:pos="849" w:val="left" w:leader="none"/>
        </w:tabs>
        <w:spacing w:before="62" w:after="20"/>
        <w:ind w:left="0" w:right="5" w:firstLine="0"/>
        <w:jc w:val="center"/>
        <w:rPr>
          <w:sz w:val="21"/>
        </w:rPr>
      </w:pPr>
      <w:r>
        <w:rPr/>
        <w:pict>
          <v:group style="position:absolute;margin-left:81.959999pt;margin-top:62.399937pt;width:454.2pt;height:709.35pt;mso-position-horizontal-relative:page;mso-position-vertical-relative:page;z-index:-211408" coordorigin="1639,1248" coordsize="9084,14187">
            <v:line style="position:absolute" from="1639,1253" to="10714,1253" stroked="true" strokeweight=".479999pt" strokecolor="#000000">
              <v:stroke dashstyle="solid"/>
            </v:line>
            <v:line style="position:absolute" from="1644,1258" to="1644,15434" stroked="true" strokeweight=".479999pt" strokecolor="#000000">
              <v:stroke dashstyle="solid"/>
            </v:line>
            <v:line style="position:absolute" from="1639,15430" to="10714,15430" stroked="true" strokeweight=".480011pt" strokecolor="#000000">
              <v:stroke dashstyle="solid"/>
            </v:line>
            <v:line style="position:absolute" from="10718,1248" to="10718,15434" stroked="true" strokeweight=".480011pt" strokecolor="#000000">
              <v:stroke dashstyle="solid"/>
            </v:line>
            <w10:wrap type="none"/>
          </v:group>
        </w:pict>
      </w:r>
      <w:r>
        <w:rPr>
          <w:sz w:val="21"/>
        </w:rPr>
        <w:t>表</w:t>
      </w:r>
      <w:r>
        <w:rPr>
          <w:spacing w:val="-54"/>
          <w:sz w:val="21"/>
        </w:rPr>
        <w:t> </w:t>
      </w:r>
      <w:r>
        <w:rPr>
          <w:rFonts w:ascii="Times New Roman" w:eastAsia="Times New Roman"/>
          <w:sz w:val="21"/>
        </w:rPr>
        <w:t>11-3</w:t>
        <w:tab/>
        <w:t>X</w:t>
      </w:r>
      <w:r>
        <w:rPr>
          <w:rFonts w:ascii="Times New Roman" w:eastAsia="Times New Roman"/>
          <w:spacing w:val="1"/>
          <w:sz w:val="21"/>
        </w:rPr>
        <w:t> </w:t>
      </w:r>
      <w:r>
        <w:rPr>
          <w:sz w:val="21"/>
        </w:rPr>
        <w:t>射线</w:t>
      </w:r>
      <w:r>
        <w:rPr>
          <w:spacing w:val="-3"/>
          <w:sz w:val="21"/>
        </w:rPr>
        <w:t>设</w:t>
      </w:r>
      <w:r>
        <w:rPr>
          <w:sz w:val="21"/>
        </w:rPr>
        <w:t>备</w:t>
      </w:r>
      <w:r>
        <w:rPr>
          <w:spacing w:val="-3"/>
          <w:sz w:val="21"/>
        </w:rPr>
        <w:t>机房</w:t>
      </w:r>
      <w:r>
        <w:rPr>
          <w:sz w:val="21"/>
        </w:rPr>
        <w:t>使用</w:t>
      </w:r>
      <w:r>
        <w:rPr>
          <w:spacing w:val="-5"/>
          <w:sz w:val="21"/>
        </w:rPr>
        <w:t>面</w:t>
      </w:r>
      <w:r>
        <w:rPr>
          <w:sz w:val="21"/>
        </w:rPr>
        <w:t>积</w:t>
      </w:r>
      <w:r>
        <w:rPr>
          <w:spacing w:val="-3"/>
          <w:sz w:val="21"/>
        </w:rPr>
        <w:t>、</w:t>
      </w:r>
      <w:r>
        <w:rPr>
          <w:sz w:val="21"/>
        </w:rPr>
        <w:t>单</w:t>
      </w:r>
      <w:r>
        <w:rPr>
          <w:spacing w:val="-3"/>
          <w:sz w:val="21"/>
        </w:rPr>
        <w:t>边</w:t>
      </w:r>
      <w:r>
        <w:rPr>
          <w:sz w:val="21"/>
        </w:rPr>
        <w:t>长</w:t>
      </w:r>
      <w:r>
        <w:rPr>
          <w:spacing w:val="-3"/>
          <w:sz w:val="21"/>
        </w:rPr>
        <w:t>度</w:t>
      </w:r>
      <w:r>
        <w:rPr>
          <w:sz w:val="21"/>
        </w:rPr>
        <w:t>及</w:t>
      </w:r>
      <w:r>
        <w:rPr>
          <w:spacing w:val="-3"/>
          <w:sz w:val="21"/>
        </w:rPr>
        <w:t>屏</w:t>
      </w:r>
      <w:r>
        <w:rPr>
          <w:sz w:val="21"/>
        </w:rPr>
        <w:t>蔽防</w:t>
      </w:r>
      <w:r>
        <w:rPr>
          <w:spacing w:val="-3"/>
          <w:sz w:val="21"/>
        </w:rPr>
        <w:t>护</w:t>
      </w:r>
      <w:r>
        <w:rPr>
          <w:sz w:val="21"/>
        </w:rPr>
        <w:t>铅</w:t>
      </w:r>
      <w:r>
        <w:rPr>
          <w:spacing w:val="-3"/>
          <w:sz w:val="21"/>
        </w:rPr>
        <w:t>当</w:t>
      </w:r>
      <w:r>
        <w:rPr>
          <w:sz w:val="21"/>
        </w:rPr>
        <w:t>量</w:t>
      </w:r>
      <w:r>
        <w:rPr>
          <w:spacing w:val="-5"/>
          <w:sz w:val="21"/>
        </w:rPr>
        <w:t>的</w:t>
      </w:r>
      <w:r>
        <w:rPr>
          <w:sz w:val="21"/>
        </w:rPr>
        <w:t>要求</w:t>
      </w:r>
    </w:p>
    <w:tbl>
      <w:tblPr>
        <w:tblW w:w="0" w:type="auto"/>
        <w:jc w:val="left"/>
        <w:tblInd w:w="2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7"/>
        <w:gridCol w:w="2347"/>
        <w:gridCol w:w="4279"/>
        <w:gridCol w:w="636"/>
      </w:tblGrid>
      <w:tr>
        <w:trPr>
          <w:trHeight w:val="397" w:hRule="atLeast"/>
        </w:trPr>
        <w:tc>
          <w:tcPr>
            <w:tcW w:w="1697" w:type="dxa"/>
            <w:tcBorders>
              <w:left w:val="nil"/>
              <w:right w:val="single" w:sz="4" w:space="0" w:color="000000"/>
            </w:tcBorders>
          </w:tcPr>
          <w:p>
            <w:pPr>
              <w:pStyle w:val="TableParagraph"/>
              <w:spacing w:before="65"/>
              <w:ind w:left="441"/>
              <w:jc w:val="left"/>
              <w:rPr>
                <w:sz w:val="21"/>
              </w:rPr>
            </w:pPr>
            <w:r>
              <w:rPr>
                <w:sz w:val="21"/>
              </w:rPr>
              <w:t>防护要求</w:t>
            </w:r>
          </w:p>
        </w:tc>
        <w:tc>
          <w:tcPr>
            <w:tcW w:w="2347" w:type="dxa"/>
            <w:tcBorders>
              <w:left w:val="single" w:sz="4" w:space="0" w:color="000000"/>
              <w:right w:val="single" w:sz="4" w:space="0" w:color="000000"/>
            </w:tcBorders>
          </w:tcPr>
          <w:p>
            <w:pPr>
              <w:pStyle w:val="TableParagraph"/>
              <w:spacing w:before="65"/>
              <w:ind w:left="331"/>
              <w:jc w:val="left"/>
              <w:rPr>
                <w:sz w:val="21"/>
              </w:rPr>
            </w:pPr>
            <w:r>
              <w:rPr>
                <w:rFonts w:ascii="Times New Roman" w:eastAsia="Times New Roman"/>
                <w:sz w:val="21"/>
              </w:rPr>
              <w:t>GBZ130-2020 </w:t>
            </w:r>
            <w:r>
              <w:rPr>
                <w:sz w:val="21"/>
              </w:rPr>
              <w:t>要求</w:t>
            </w:r>
          </w:p>
        </w:tc>
        <w:tc>
          <w:tcPr>
            <w:tcW w:w="4279" w:type="dxa"/>
            <w:tcBorders>
              <w:left w:val="single" w:sz="4" w:space="0" w:color="000000"/>
              <w:right w:val="single" w:sz="4" w:space="0" w:color="000000"/>
            </w:tcBorders>
          </w:tcPr>
          <w:p>
            <w:pPr>
              <w:pStyle w:val="TableParagraph"/>
              <w:spacing w:before="65"/>
              <w:ind w:left="1029" w:right="1005"/>
              <w:rPr>
                <w:sz w:val="21"/>
              </w:rPr>
            </w:pPr>
            <w:r>
              <w:rPr>
                <w:sz w:val="21"/>
              </w:rPr>
              <w:t>本项目设计</w:t>
            </w:r>
          </w:p>
        </w:tc>
        <w:tc>
          <w:tcPr>
            <w:tcW w:w="636" w:type="dxa"/>
            <w:tcBorders>
              <w:left w:val="single" w:sz="4" w:space="0" w:color="000000"/>
              <w:right w:val="nil"/>
            </w:tcBorders>
          </w:tcPr>
          <w:p>
            <w:pPr>
              <w:pStyle w:val="TableParagraph"/>
              <w:spacing w:before="65"/>
              <w:ind w:left="117"/>
              <w:jc w:val="left"/>
              <w:rPr>
                <w:sz w:val="21"/>
              </w:rPr>
            </w:pPr>
            <w:r>
              <w:rPr>
                <w:sz w:val="21"/>
              </w:rPr>
              <w:t>备注</w:t>
            </w:r>
          </w:p>
        </w:tc>
      </w:tr>
    </w:tbl>
    <w:p>
      <w:pPr>
        <w:spacing w:before="66"/>
        <w:ind w:left="0" w:right="0" w:firstLine="0"/>
        <w:jc w:val="center"/>
        <w:rPr>
          <w:sz w:val="21"/>
        </w:rPr>
      </w:pPr>
      <w:r>
        <w:rPr>
          <w:rFonts w:ascii="Times New Roman" w:eastAsia="Times New Roman"/>
          <w:sz w:val="21"/>
        </w:rPr>
        <w:t>X </w:t>
      </w:r>
      <w:r>
        <w:rPr>
          <w:sz w:val="21"/>
        </w:rPr>
        <w:t>射线设备机房（照射室）使用面积及单边长度</w:t>
      </w:r>
    </w:p>
    <w:p>
      <w:pPr>
        <w:pStyle w:val="BodyText"/>
        <w:spacing w:before="12"/>
        <w:rPr>
          <w:sz w:val="4"/>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2347"/>
        <w:gridCol w:w="4279"/>
        <w:gridCol w:w="636"/>
      </w:tblGrid>
      <w:tr>
        <w:trPr>
          <w:trHeight w:val="395" w:hRule="atLeast"/>
        </w:trPr>
        <w:tc>
          <w:tcPr>
            <w:tcW w:w="1697" w:type="dxa"/>
            <w:tcBorders>
              <w:left w:val="nil"/>
            </w:tcBorders>
          </w:tcPr>
          <w:p>
            <w:pPr>
              <w:pStyle w:val="TableParagraph"/>
              <w:spacing w:before="63"/>
              <w:ind w:left="431"/>
              <w:jc w:val="left"/>
              <w:rPr>
                <w:sz w:val="21"/>
              </w:rPr>
            </w:pPr>
            <w:r>
              <w:rPr>
                <w:sz w:val="21"/>
              </w:rPr>
              <w:t>设备类型</w:t>
            </w:r>
          </w:p>
        </w:tc>
        <w:tc>
          <w:tcPr>
            <w:tcW w:w="2347" w:type="dxa"/>
          </w:tcPr>
          <w:p>
            <w:pPr>
              <w:pStyle w:val="TableParagraph"/>
              <w:spacing w:before="63"/>
              <w:ind w:left="112" w:right="105"/>
              <w:rPr>
                <w:sz w:val="21"/>
              </w:rPr>
            </w:pPr>
            <w:r>
              <w:rPr>
                <w:sz w:val="21"/>
              </w:rPr>
              <w:t>单管头</w:t>
            </w:r>
            <w:r>
              <w:rPr>
                <w:rFonts w:ascii="Times New Roman" w:eastAsia="Times New Roman"/>
                <w:sz w:val="21"/>
              </w:rPr>
              <w:t>X </w:t>
            </w:r>
            <w:r>
              <w:rPr>
                <w:sz w:val="21"/>
              </w:rPr>
              <w:t>射线机</w:t>
            </w:r>
          </w:p>
        </w:tc>
        <w:tc>
          <w:tcPr>
            <w:tcW w:w="4279" w:type="dxa"/>
          </w:tcPr>
          <w:p>
            <w:pPr>
              <w:pStyle w:val="TableParagraph"/>
              <w:spacing w:before="77"/>
              <w:ind w:left="1029" w:right="1014"/>
              <w:rPr>
                <w:rFonts w:ascii="Times New Roman"/>
                <w:sz w:val="21"/>
              </w:rPr>
            </w:pPr>
            <w:r>
              <w:rPr>
                <w:rFonts w:ascii="Times New Roman"/>
                <w:sz w:val="21"/>
              </w:rPr>
              <w:t>DSA</w:t>
            </w:r>
          </w:p>
        </w:tc>
        <w:tc>
          <w:tcPr>
            <w:tcW w:w="636" w:type="dxa"/>
            <w:tcBorders>
              <w:right w:val="nil"/>
            </w:tcBorders>
          </w:tcPr>
          <w:p>
            <w:pPr>
              <w:pStyle w:val="TableParagraph"/>
              <w:spacing w:before="77"/>
              <w:ind w:left="2"/>
              <w:rPr>
                <w:rFonts w:ascii="Times New Roman"/>
                <w:sz w:val="21"/>
              </w:rPr>
            </w:pPr>
            <w:r>
              <w:rPr>
                <w:rFonts w:ascii="Times New Roman"/>
                <w:w w:val="100"/>
                <w:sz w:val="21"/>
              </w:rPr>
              <w:t>/</w:t>
            </w:r>
          </w:p>
        </w:tc>
      </w:tr>
      <w:tr>
        <w:trPr>
          <w:trHeight w:val="935" w:hRule="atLeast"/>
        </w:trPr>
        <w:tc>
          <w:tcPr>
            <w:tcW w:w="1697" w:type="dxa"/>
            <w:tcBorders>
              <w:left w:val="nil"/>
            </w:tcBorders>
          </w:tcPr>
          <w:p>
            <w:pPr>
              <w:pStyle w:val="TableParagraph"/>
              <w:spacing w:line="278" w:lineRule="auto" w:before="22"/>
              <w:ind w:left="117" w:right="98"/>
              <w:rPr>
                <w:sz w:val="21"/>
              </w:rPr>
            </w:pPr>
            <w:r>
              <w:rPr>
                <w:sz w:val="21"/>
              </w:rPr>
              <w:t>机房内最小有效使用面积</w:t>
            </w:r>
          </w:p>
          <w:p>
            <w:pPr>
              <w:pStyle w:val="TableParagraph"/>
              <w:spacing w:line="269" w:lineRule="exact"/>
              <w:ind w:left="112" w:right="98"/>
              <w:rPr>
                <w:sz w:val="21"/>
              </w:rPr>
            </w:pPr>
            <w:r>
              <w:rPr>
                <w:sz w:val="21"/>
              </w:rPr>
              <w:t>（</w:t>
            </w:r>
            <w:r>
              <w:rPr>
                <w:rFonts w:ascii="Times New Roman" w:eastAsia="Times New Roman"/>
                <w:sz w:val="21"/>
              </w:rPr>
              <w:t>m</w:t>
            </w:r>
            <w:r>
              <w:rPr>
                <w:rFonts w:ascii="Times New Roman" w:eastAsia="Times New Roman"/>
                <w:position w:val="7"/>
                <w:sz w:val="14"/>
              </w:rPr>
              <w:t>2</w:t>
            </w:r>
            <w:r>
              <w:rPr>
                <w:sz w:val="21"/>
              </w:rPr>
              <w:t>）</w:t>
            </w:r>
          </w:p>
        </w:tc>
        <w:tc>
          <w:tcPr>
            <w:tcW w:w="2347" w:type="dxa"/>
          </w:tcPr>
          <w:p>
            <w:pPr>
              <w:pStyle w:val="TableParagraph"/>
              <w:spacing w:before="1"/>
              <w:jc w:val="left"/>
              <w:rPr>
                <w:sz w:val="26"/>
              </w:rPr>
            </w:pPr>
          </w:p>
          <w:p>
            <w:pPr>
              <w:pStyle w:val="TableParagraph"/>
              <w:ind w:left="112" w:right="108"/>
              <w:rPr>
                <w:rFonts w:ascii="Times New Roman" w:eastAsia="Times New Roman"/>
                <w:sz w:val="14"/>
              </w:rPr>
            </w:pPr>
            <w:r>
              <w:rPr>
                <w:sz w:val="21"/>
              </w:rPr>
              <w:t>不小于 </w:t>
            </w:r>
            <w:r>
              <w:rPr>
                <w:rFonts w:ascii="Times New Roman" w:eastAsia="Times New Roman"/>
                <w:sz w:val="21"/>
              </w:rPr>
              <w:t>20m</w:t>
            </w:r>
            <w:r>
              <w:rPr>
                <w:rFonts w:ascii="Times New Roman" w:eastAsia="Times New Roman"/>
                <w:position w:val="7"/>
                <w:sz w:val="14"/>
              </w:rPr>
              <w:t>2</w:t>
            </w:r>
          </w:p>
        </w:tc>
        <w:tc>
          <w:tcPr>
            <w:tcW w:w="4279" w:type="dxa"/>
          </w:tcPr>
          <w:p>
            <w:pPr>
              <w:pStyle w:val="TableParagraph"/>
              <w:spacing w:before="1"/>
              <w:jc w:val="left"/>
              <w:rPr>
                <w:sz w:val="26"/>
              </w:rPr>
            </w:pPr>
          </w:p>
          <w:p>
            <w:pPr>
              <w:pStyle w:val="TableParagraph"/>
              <w:ind w:left="1029" w:right="1024"/>
              <w:rPr>
                <w:rFonts w:ascii="Times New Roman" w:eastAsia="Times New Roman"/>
                <w:sz w:val="14"/>
              </w:rPr>
            </w:pPr>
            <w:r>
              <w:rPr>
                <w:sz w:val="21"/>
              </w:rPr>
              <w:t>有效使用面积：</w:t>
            </w:r>
            <w:r>
              <w:rPr>
                <w:rFonts w:ascii="Times New Roman" w:eastAsia="Times New Roman"/>
                <w:sz w:val="21"/>
              </w:rPr>
              <w:t>72.56m</w:t>
            </w:r>
            <w:r>
              <w:rPr>
                <w:rFonts w:ascii="Times New Roman" w:eastAsia="Times New Roman"/>
                <w:position w:val="7"/>
                <w:sz w:val="14"/>
              </w:rPr>
              <w:t>2</w:t>
            </w:r>
          </w:p>
        </w:tc>
        <w:tc>
          <w:tcPr>
            <w:tcW w:w="636" w:type="dxa"/>
            <w:tcBorders>
              <w:right w:val="nil"/>
            </w:tcBorders>
          </w:tcPr>
          <w:p>
            <w:pPr>
              <w:pStyle w:val="TableParagraph"/>
              <w:spacing w:before="1"/>
              <w:jc w:val="left"/>
              <w:rPr>
                <w:sz w:val="26"/>
              </w:rPr>
            </w:pPr>
          </w:p>
          <w:p>
            <w:pPr>
              <w:pStyle w:val="TableParagraph"/>
              <w:ind w:left="89" w:right="82"/>
              <w:rPr>
                <w:sz w:val="21"/>
              </w:rPr>
            </w:pPr>
            <w:r>
              <w:rPr>
                <w:sz w:val="21"/>
              </w:rPr>
              <w:t>满足</w:t>
            </w:r>
          </w:p>
        </w:tc>
      </w:tr>
      <w:tr>
        <w:trPr>
          <w:trHeight w:val="623" w:hRule="atLeast"/>
        </w:trPr>
        <w:tc>
          <w:tcPr>
            <w:tcW w:w="1697" w:type="dxa"/>
            <w:tcBorders>
              <w:left w:val="nil"/>
            </w:tcBorders>
          </w:tcPr>
          <w:p>
            <w:pPr>
              <w:pStyle w:val="TableParagraph"/>
              <w:spacing w:before="22"/>
              <w:ind w:left="99" w:right="82"/>
              <w:rPr>
                <w:sz w:val="21"/>
              </w:rPr>
            </w:pPr>
            <w:r>
              <w:rPr>
                <w:sz w:val="21"/>
              </w:rPr>
              <w:t>机房内最小单边</w:t>
            </w:r>
          </w:p>
          <w:p>
            <w:pPr>
              <w:pStyle w:val="TableParagraph"/>
              <w:spacing w:before="43"/>
              <w:ind w:left="112" w:right="98"/>
              <w:rPr>
                <w:sz w:val="21"/>
              </w:rPr>
            </w:pPr>
            <w:r>
              <w:rPr>
                <w:sz w:val="21"/>
              </w:rPr>
              <w:t>长度（</w:t>
            </w:r>
            <w:r>
              <w:rPr>
                <w:rFonts w:ascii="Times New Roman" w:eastAsia="Times New Roman"/>
                <w:sz w:val="21"/>
              </w:rPr>
              <w:t>m</w:t>
            </w:r>
            <w:r>
              <w:rPr>
                <w:sz w:val="21"/>
              </w:rPr>
              <w:t>）</w:t>
            </w:r>
          </w:p>
        </w:tc>
        <w:tc>
          <w:tcPr>
            <w:tcW w:w="2347" w:type="dxa"/>
          </w:tcPr>
          <w:p>
            <w:pPr>
              <w:pStyle w:val="TableParagraph"/>
              <w:spacing w:before="178"/>
              <w:ind w:left="112" w:right="105"/>
              <w:rPr>
                <w:rFonts w:ascii="Times New Roman" w:eastAsia="Times New Roman"/>
                <w:sz w:val="21"/>
              </w:rPr>
            </w:pPr>
            <w:r>
              <w:rPr>
                <w:sz w:val="21"/>
              </w:rPr>
              <w:t>不小于 </w:t>
            </w:r>
            <w:r>
              <w:rPr>
                <w:rFonts w:ascii="Times New Roman" w:eastAsia="Times New Roman"/>
                <w:sz w:val="21"/>
              </w:rPr>
              <w:t>3.5m</w:t>
            </w:r>
          </w:p>
        </w:tc>
        <w:tc>
          <w:tcPr>
            <w:tcW w:w="4279" w:type="dxa"/>
          </w:tcPr>
          <w:p>
            <w:pPr>
              <w:pStyle w:val="TableParagraph"/>
              <w:spacing w:before="178"/>
              <w:ind w:left="1029" w:right="1023"/>
              <w:rPr>
                <w:rFonts w:ascii="Times New Roman" w:eastAsia="Times New Roman"/>
                <w:sz w:val="21"/>
              </w:rPr>
            </w:pPr>
            <w:r>
              <w:rPr>
                <w:sz w:val="21"/>
              </w:rPr>
              <w:t>最小单边长：</w:t>
            </w:r>
            <w:r>
              <w:rPr>
                <w:rFonts w:ascii="Times New Roman" w:eastAsia="Times New Roman"/>
                <w:sz w:val="21"/>
              </w:rPr>
              <w:t>7.48m</w:t>
            </w:r>
          </w:p>
        </w:tc>
        <w:tc>
          <w:tcPr>
            <w:tcW w:w="636" w:type="dxa"/>
            <w:tcBorders>
              <w:right w:val="nil"/>
            </w:tcBorders>
          </w:tcPr>
          <w:p>
            <w:pPr>
              <w:pStyle w:val="TableParagraph"/>
              <w:spacing w:before="178"/>
              <w:ind w:left="89" w:right="82"/>
              <w:rPr>
                <w:sz w:val="21"/>
              </w:rPr>
            </w:pPr>
            <w:r>
              <w:rPr>
                <w:sz w:val="21"/>
              </w:rPr>
              <w:t>满足</w:t>
            </w:r>
          </w:p>
        </w:tc>
      </w:tr>
    </w:tbl>
    <w:p>
      <w:pPr>
        <w:spacing w:before="66"/>
        <w:ind w:left="0" w:right="1" w:firstLine="0"/>
        <w:jc w:val="center"/>
        <w:rPr>
          <w:sz w:val="21"/>
        </w:rPr>
      </w:pPr>
      <w:r>
        <w:rPr>
          <w:sz w:val="21"/>
        </w:rPr>
        <w:t>不同类型</w:t>
      </w:r>
      <w:r>
        <w:rPr>
          <w:rFonts w:ascii="Times New Roman" w:eastAsia="Times New Roman"/>
          <w:sz w:val="21"/>
        </w:rPr>
        <w:t>X </w:t>
      </w:r>
      <w:r>
        <w:rPr>
          <w:sz w:val="21"/>
        </w:rPr>
        <w:t>射线设备机房的屏蔽防护铅当量厚度要求</w:t>
      </w:r>
    </w:p>
    <w:p>
      <w:pPr>
        <w:pStyle w:val="BodyText"/>
        <w:spacing w:before="12"/>
        <w:rPr>
          <w:sz w:val="4"/>
        </w:rPr>
      </w:pPr>
    </w:p>
    <w:tbl>
      <w:tblPr>
        <w:tblW w:w="0" w:type="auto"/>
        <w:jc w:val="left"/>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7"/>
        <w:gridCol w:w="2347"/>
        <w:gridCol w:w="4279"/>
        <w:gridCol w:w="636"/>
      </w:tblGrid>
      <w:tr>
        <w:trPr>
          <w:trHeight w:val="397" w:hRule="atLeast"/>
        </w:trPr>
        <w:tc>
          <w:tcPr>
            <w:tcW w:w="1697" w:type="dxa"/>
            <w:tcBorders>
              <w:left w:val="nil"/>
            </w:tcBorders>
          </w:tcPr>
          <w:p>
            <w:pPr>
              <w:pStyle w:val="TableParagraph"/>
              <w:spacing w:before="65"/>
              <w:ind w:left="432"/>
              <w:jc w:val="left"/>
              <w:rPr>
                <w:sz w:val="21"/>
              </w:rPr>
            </w:pPr>
            <w:r>
              <w:rPr>
                <w:sz w:val="21"/>
              </w:rPr>
              <w:t>机房类型</w:t>
            </w:r>
          </w:p>
        </w:tc>
        <w:tc>
          <w:tcPr>
            <w:tcW w:w="2347" w:type="dxa"/>
          </w:tcPr>
          <w:p>
            <w:pPr>
              <w:pStyle w:val="TableParagraph"/>
              <w:spacing w:before="65"/>
              <w:ind w:left="112" w:right="108"/>
              <w:rPr>
                <w:sz w:val="21"/>
              </w:rPr>
            </w:pPr>
            <w:r>
              <w:rPr>
                <w:rFonts w:ascii="Times New Roman" w:eastAsia="Times New Roman"/>
                <w:sz w:val="21"/>
              </w:rPr>
              <w:t>C </w:t>
            </w:r>
            <w:r>
              <w:rPr>
                <w:sz w:val="21"/>
              </w:rPr>
              <w:t>形臂</w:t>
            </w:r>
            <w:r>
              <w:rPr>
                <w:rFonts w:ascii="Times New Roman" w:eastAsia="Times New Roman"/>
                <w:sz w:val="21"/>
              </w:rPr>
              <w:t>X </w:t>
            </w:r>
            <w:r>
              <w:rPr>
                <w:sz w:val="21"/>
              </w:rPr>
              <w:t>射线设备机房</w:t>
            </w:r>
          </w:p>
        </w:tc>
        <w:tc>
          <w:tcPr>
            <w:tcW w:w="4279" w:type="dxa"/>
          </w:tcPr>
          <w:p>
            <w:pPr>
              <w:pStyle w:val="TableParagraph"/>
              <w:spacing w:before="79"/>
              <w:ind w:left="1029" w:right="1014"/>
              <w:rPr>
                <w:rFonts w:ascii="Times New Roman"/>
                <w:sz w:val="21"/>
              </w:rPr>
            </w:pPr>
            <w:r>
              <w:rPr>
                <w:rFonts w:ascii="Times New Roman"/>
                <w:sz w:val="21"/>
              </w:rPr>
              <w:t>DSA</w:t>
            </w:r>
          </w:p>
        </w:tc>
        <w:tc>
          <w:tcPr>
            <w:tcW w:w="636" w:type="dxa"/>
            <w:tcBorders>
              <w:right w:val="nil"/>
            </w:tcBorders>
          </w:tcPr>
          <w:p>
            <w:pPr>
              <w:pStyle w:val="TableParagraph"/>
              <w:spacing w:before="79"/>
              <w:ind w:left="4"/>
              <w:rPr>
                <w:rFonts w:ascii="Times New Roman"/>
                <w:sz w:val="21"/>
              </w:rPr>
            </w:pPr>
            <w:r>
              <w:rPr>
                <w:rFonts w:ascii="Times New Roman"/>
                <w:w w:val="100"/>
                <w:sz w:val="21"/>
              </w:rPr>
              <w:t>/</w:t>
            </w:r>
          </w:p>
        </w:tc>
      </w:tr>
      <w:tr>
        <w:trPr>
          <w:trHeight w:val="623" w:hRule="atLeast"/>
        </w:trPr>
        <w:tc>
          <w:tcPr>
            <w:tcW w:w="1697" w:type="dxa"/>
            <w:tcBorders>
              <w:left w:val="nil"/>
            </w:tcBorders>
          </w:tcPr>
          <w:p>
            <w:pPr>
              <w:pStyle w:val="TableParagraph"/>
              <w:spacing w:before="22"/>
              <w:ind w:left="99" w:right="82"/>
              <w:rPr>
                <w:sz w:val="21"/>
              </w:rPr>
            </w:pPr>
            <w:r>
              <w:rPr>
                <w:sz w:val="21"/>
              </w:rPr>
              <w:t>有用线束方向铅</w:t>
            </w:r>
          </w:p>
          <w:p>
            <w:pPr>
              <w:pStyle w:val="TableParagraph"/>
              <w:spacing w:before="43"/>
              <w:ind w:left="112" w:right="98"/>
              <w:rPr>
                <w:sz w:val="21"/>
              </w:rPr>
            </w:pPr>
            <w:r>
              <w:rPr>
                <w:sz w:val="21"/>
              </w:rPr>
              <w:t>当量（</w:t>
            </w:r>
            <w:r>
              <w:rPr>
                <w:rFonts w:ascii="Times New Roman" w:eastAsia="Times New Roman"/>
                <w:sz w:val="21"/>
              </w:rPr>
              <w:t>mm</w:t>
            </w:r>
            <w:r>
              <w:rPr>
                <w:sz w:val="21"/>
              </w:rPr>
              <w:t>）</w:t>
            </w:r>
          </w:p>
        </w:tc>
        <w:tc>
          <w:tcPr>
            <w:tcW w:w="2347" w:type="dxa"/>
          </w:tcPr>
          <w:p>
            <w:pPr>
              <w:pStyle w:val="TableParagraph"/>
              <w:spacing w:before="178"/>
              <w:ind w:left="112" w:right="105"/>
              <w:rPr>
                <w:rFonts w:ascii="Times New Roman" w:eastAsia="Times New Roman"/>
                <w:sz w:val="21"/>
              </w:rPr>
            </w:pPr>
            <w:r>
              <w:rPr>
                <w:sz w:val="21"/>
              </w:rPr>
              <w:t>不小于 </w:t>
            </w:r>
            <w:r>
              <w:rPr>
                <w:rFonts w:ascii="Times New Roman" w:eastAsia="Times New Roman"/>
                <w:sz w:val="21"/>
              </w:rPr>
              <w:t>2mm</w:t>
            </w:r>
          </w:p>
        </w:tc>
        <w:tc>
          <w:tcPr>
            <w:tcW w:w="4279" w:type="dxa"/>
          </w:tcPr>
          <w:p>
            <w:pPr>
              <w:pStyle w:val="TableParagraph"/>
              <w:spacing w:before="22"/>
              <w:ind w:left="105"/>
              <w:jc w:val="left"/>
              <w:rPr>
                <w:sz w:val="21"/>
              </w:rPr>
            </w:pPr>
            <w:r>
              <w:rPr>
                <w:sz w:val="21"/>
              </w:rPr>
              <w:t>主束方向朝上，屋顶为龙骨钢架</w:t>
            </w:r>
            <w:r>
              <w:rPr>
                <w:rFonts w:ascii="Times New Roman" w:eastAsia="Times New Roman"/>
                <w:sz w:val="21"/>
              </w:rPr>
              <w:t>+3mm </w:t>
            </w:r>
            <w:r>
              <w:rPr>
                <w:sz w:val="21"/>
              </w:rPr>
              <w:t>铅板</w:t>
            </w:r>
          </w:p>
          <w:p>
            <w:pPr>
              <w:pStyle w:val="TableParagraph"/>
              <w:spacing w:before="43"/>
              <w:ind w:left="105"/>
              <w:jc w:val="left"/>
              <w:rPr>
                <w:sz w:val="21"/>
              </w:rPr>
            </w:pPr>
            <w:r>
              <w:rPr>
                <w:sz w:val="21"/>
              </w:rPr>
              <w:t>（</w:t>
            </w:r>
            <w:r>
              <w:rPr>
                <w:rFonts w:ascii="Times New Roman" w:eastAsia="Times New Roman"/>
                <w:sz w:val="21"/>
              </w:rPr>
              <w:t>3mmPb</w:t>
            </w:r>
            <w:r>
              <w:rPr>
                <w:sz w:val="21"/>
              </w:rPr>
              <w:t>）</w:t>
            </w:r>
          </w:p>
        </w:tc>
        <w:tc>
          <w:tcPr>
            <w:tcW w:w="636" w:type="dxa"/>
            <w:tcBorders>
              <w:right w:val="nil"/>
            </w:tcBorders>
          </w:tcPr>
          <w:p>
            <w:pPr>
              <w:pStyle w:val="TableParagraph"/>
              <w:spacing w:before="178"/>
              <w:ind w:left="89" w:right="82"/>
              <w:rPr>
                <w:sz w:val="21"/>
              </w:rPr>
            </w:pPr>
            <w:r>
              <w:rPr>
                <w:sz w:val="21"/>
              </w:rPr>
              <w:t>满足</w:t>
            </w:r>
          </w:p>
        </w:tc>
      </w:tr>
      <w:tr>
        <w:trPr>
          <w:trHeight w:val="935" w:hRule="atLeast"/>
        </w:trPr>
        <w:tc>
          <w:tcPr>
            <w:tcW w:w="1697" w:type="dxa"/>
            <w:tcBorders>
              <w:left w:val="nil"/>
            </w:tcBorders>
          </w:tcPr>
          <w:p>
            <w:pPr>
              <w:pStyle w:val="TableParagraph"/>
              <w:spacing w:line="278" w:lineRule="auto" w:before="178"/>
              <w:ind w:left="163" w:right="98" w:hanging="46"/>
              <w:jc w:val="left"/>
              <w:rPr>
                <w:sz w:val="21"/>
              </w:rPr>
            </w:pPr>
            <w:r>
              <w:rPr>
                <w:sz w:val="21"/>
              </w:rPr>
              <w:t>非有用线束方向铅当量（</w:t>
            </w:r>
            <w:r>
              <w:rPr>
                <w:rFonts w:ascii="Times New Roman" w:eastAsia="Times New Roman"/>
                <w:sz w:val="21"/>
              </w:rPr>
              <w:t>mm</w:t>
            </w:r>
            <w:r>
              <w:rPr>
                <w:sz w:val="21"/>
              </w:rPr>
              <w:t>）</w:t>
            </w:r>
          </w:p>
        </w:tc>
        <w:tc>
          <w:tcPr>
            <w:tcW w:w="2347" w:type="dxa"/>
          </w:tcPr>
          <w:p>
            <w:pPr>
              <w:pStyle w:val="TableParagraph"/>
              <w:spacing w:before="1"/>
              <w:jc w:val="left"/>
              <w:rPr>
                <w:sz w:val="26"/>
              </w:rPr>
            </w:pPr>
          </w:p>
          <w:p>
            <w:pPr>
              <w:pStyle w:val="TableParagraph"/>
              <w:ind w:left="112" w:right="105"/>
              <w:rPr>
                <w:rFonts w:ascii="Times New Roman" w:eastAsia="Times New Roman"/>
                <w:sz w:val="21"/>
              </w:rPr>
            </w:pPr>
            <w:r>
              <w:rPr>
                <w:sz w:val="21"/>
              </w:rPr>
              <w:t>不小于 </w:t>
            </w:r>
            <w:r>
              <w:rPr>
                <w:rFonts w:ascii="Times New Roman" w:eastAsia="Times New Roman"/>
                <w:sz w:val="21"/>
              </w:rPr>
              <w:t>2mm</w:t>
            </w:r>
          </w:p>
        </w:tc>
        <w:tc>
          <w:tcPr>
            <w:tcW w:w="4279" w:type="dxa"/>
          </w:tcPr>
          <w:p>
            <w:pPr>
              <w:pStyle w:val="TableParagraph"/>
              <w:spacing w:before="22"/>
              <w:ind w:left="105"/>
              <w:jc w:val="left"/>
              <w:rPr>
                <w:sz w:val="21"/>
              </w:rPr>
            </w:pPr>
            <w:r>
              <w:rPr>
                <w:sz w:val="21"/>
              </w:rPr>
              <w:t>机房四周墙体均为 </w:t>
            </w:r>
            <w:r>
              <w:rPr>
                <w:rFonts w:ascii="Times New Roman" w:eastAsia="Times New Roman"/>
                <w:sz w:val="21"/>
              </w:rPr>
              <w:t>370mm </w:t>
            </w:r>
            <w:r>
              <w:rPr>
                <w:sz w:val="21"/>
              </w:rPr>
              <w:t>厚实心砖（约</w:t>
            </w:r>
          </w:p>
          <w:p>
            <w:pPr>
              <w:pStyle w:val="TableParagraph"/>
              <w:spacing w:line="310" w:lineRule="atLeast" w:before="2"/>
              <w:ind w:left="105" w:right="43"/>
              <w:jc w:val="left"/>
              <w:rPr>
                <w:sz w:val="21"/>
              </w:rPr>
            </w:pPr>
            <w:r>
              <w:rPr>
                <w:rFonts w:ascii="Times New Roman" w:eastAsia="Times New Roman"/>
                <w:w w:val="100"/>
                <w:sz w:val="21"/>
              </w:rPr>
              <w:t>3.91</w:t>
            </w:r>
            <w:r>
              <w:rPr>
                <w:rFonts w:ascii="Times New Roman" w:eastAsia="Times New Roman"/>
                <w:spacing w:val="-2"/>
                <w:w w:val="100"/>
                <w:sz w:val="21"/>
              </w:rPr>
              <w:t>m</w:t>
            </w:r>
            <w:r>
              <w:rPr>
                <w:rFonts w:ascii="Times New Roman" w:eastAsia="Times New Roman"/>
                <w:w w:val="100"/>
                <w:sz w:val="21"/>
              </w:rPr>
              <w:t>m</w:t>
            </w:r>
            <w:r>
              <w:rPr>
                <w:rFonts w:ascii="Times New Roman" w:eastAsia="Times New Roman"/>
                <w:spacing w:val="-2"/>
                <w:w w:val="100"/>
                <w:sz w:val="21"/>
              </w:rPr>
              <w:t>P</w:t>
            </w:r>
            <w:r>
              <w:rPr>
                <w:rFonts w:ascii="Times New Roman" w:eastAsia="Times New Roman"/>
                <w:spacing w:val="-2"/>
                <w:w w:val="100"/>
                <w:sz w:val="21"/>
              </w:rPr>
              <w:t>b</w:t>
            </w:r>
            <w:r>
              <w:rPr>
                <w:spacing w:val="-106"/>
                <w:w w:val="100"/>
                <w:sz w:val="21"/>
              </w:rPr>
              <w:t>）</w:t>
            </w:r>
            <w:r>
              <w:rPr>
                <w:spacing w:val="-5"/>
                <w:w w:val="100"/>
                <w:sz w:val="21"/>
              </w:rPr>
              <w:t>；观察窗为</w:t>
            </w:r>
            <w:r>
              <w:rPr>
                <w:spacing w:val="-5"/>
                <w:sz w:val="21"/>
              </w:rPr>
              <w:t> </w:t>
            </w:r>
            <w:r>
              <w:rPr>
                <w:rFonts w:ascii="Times New Roman" w:eastAsia="Times New Roman"/>
                <w:w w:val="100"/>
                <w:sz w:val="21"/>
              </w:rPr>
              <w:t>3</w:t>
            </w:r>
            <w:r>
              <w:rPr>
                <w:rFonts w:ascii="Times New Roman" w:eastAsia="Times New Roman"/>
                <w:spacing w:val="-4"/>
                <w:w w:val="100"/>
                <w:sz w:val="21"/>
              </w:rPr>
              <w:t>m</w:t>
            </w:r>
            <w:r>
              <w:rPr>
                <w:rFonts w:ascii="Times New Roman" w:eastAsia="Times New Roman"/>
                <w:spacing w:val="-2"/>
                <w:w w:val="100"/>
                <w:sz w:val="21"/>
              </w:rPr>
              <w:t>m</w:t>
            </w:r>
            <w:r>
              <w:rPr>
                <w:rFonts w:ascii="Times New Roman" w:eastAsia="Times New Roman"/>
                <w:w w:val="100"/>
                <w:sz w:val="21"/>
              </w:rPr>
              <w:t>P</w:t>
            </w:r>
            <w:r>
              <w:rPr>
                <w:rFonts w:ascii="Times New Roman" w:eastAsia="Times New Roman"/>
                <w:w w:val="100"/>
                <w:sz w:val="21"/>
              </w:rPr>
              <w:t>b</w:t>
            </w:r>
            <w:r>
              <w:rPr>
                <w:rFonts w:ascii="Times New Roman" w:eastAsia="Times New Roman"/>
                <w:sz w:val="21"/>
              </w:rPr>
              <w:t> </w:t>
            </w:r>
            <w:r>
              <w:rPr>
                <w:spacing w:val="-5"/>
                <w:w w:val="100"/>
                <w:sz w:val="21"/>
              </w:rPr>
              <w:t>铅玻璃；防护</w:t>
            </w:r>
            <w:r>
              <w:rPr>
                <w:spacing w:val="-16"/>
                <w:sz w:val="21"/>
              </w:rPr>
              <w:t>门均为 </w:t>
            </w:r>
            <w:r>
              <w:rPr>
                <w:rFonts w:ascii="Times New Roman" w:eastAsia="Times New Roman"/>
                <w:sz w:val="21"/>
              </w:rPr>
              <w:t>3mmPb </w:t>
            </w:r>
            <w:r>
              <w:rPr>
                <w:spacing w:val="-3"/>
                <w:sz w:val="21"/>
              </w:rPr>
              <w:t>铅防护门。</w:t>
            </w:r>
          </w:p>
        </w:tc>
        <w:tc>
          <w:tcPr>
            <w:tcW w:w="636" w:type="dxa"/>
            <w:tcBorders>
              <w:right w:val="nil"/>
            </w:tcBorders>
          </w:tcPr>
          <w:p>
            <w:pPr>
              <w:pStyle w:val="TableParagraph"/>
              <w:spacing w:before="1"/>
              <w:jc w:val="left"/>
              <w:rPr>
                <w:sz w:val="26"/>
              </w:rPr>
            </w:pPr>
          </w:p>
          <w:p>
            <w:pPr>
              <w:pStyle w:val="TableParagraph"/>
              <w:ind w:left="89" w:right="82"/>
              <w:rPr>
                <w:sz w:val="21"/>
              </w:rPr>
            </w:pPr>
            <w:r>
              <w:rPr>
                <w:sz w:val="21"/>
              </w:rPr>
              <w:t>满足</w:t>
            </w:r>
          </w:p>
        </w:tc>
      </w:tr>
    </w:tbl>
    <w:p>
      <w:pPr>
        <w:spacing w:before="23"/>
        <w:ind w:left="329" w:right="0" w:firstLine="0"/>
        <w:jc w:val="left"/>
        <w:rPr>
          <w:sz w:val="21"/>
        </w:rPr>
      </w:pPr>
      <w:r>
        <w:rPr>
          <w:sz w:val="21"/>
        </w:rPr>
        <w:t>备注：混凝土对应铅当量厚度根据《放射诊断放射防护要求》（</w:t>
      </w:r>
      <w:r>
        <w:rPr>
          <w:rFonts w:ascii="Times New Roman" w:eastAsia="Times New Roman"/>
          <w:sz w:val="21"/>
        </w:rPr>
        <w:t>GBZ130-2020</w:t>
      </w:r>
      <w:r>
        <w:rPr>
          <w:sz w:val="21"/>
        </w:rPr>
        <w:t>）的附录 </w:t>
      </w:r>
      <w:r>
        <w:rPr>
          <w:rFonts w:ascii="Times New Roman" w:eastAsia="Times New Roman"/>
          <w:sz w:val="21"/>
        </w:rPr>
        <w:t>C </w:t>
      </w:r>
      <w:r>
        <w:rPr>
          <w:sz w:val="21"/>
        </w:rPr>
        <w:t>及《辐</w:t>
      </w:r>
    </w:p>
    <w:p>
      <w:pPr>
        <w:tabs>
          <w:tab w:pos="9180" w:val="left" w:leader="none"/>
        </w:tabs>
        <w:spacing w:before="43"/>
        <w:ind w:left="207" w:right="0" w:firstLine="0"/>
        <w:jc w:val="left"/>
        <w:rPr>
          <w:sz w:val="21"/>
        </w:rPr>
      </w:pPr>
      <w:r>
        <w:rPr>
          <w:rFonts w:ascii="Times New Roman" w:eastAsia="Times New Roman"/>
          <w:w w:val="100"/>
          <w:sz w:val="21"/>
          <w:u w:val="thick"/>
        </w:rPr>
        <w:t> </w:t>
      </w:r>
      <w:r>
        <w:rPr>
          <w:rFonts w:ascii="Times New Roman" w:eastAsia="Times New Roman"/>
          <w:spacing w:val="17"/>
          <w:sz w:val="21"/>
          <w:u w:val="thick"/>
        </w:rPr>
        <w:t> </w:t>
      </w:r>
      <w:r>
        <w:rPr>
          <w:sz w:val="21"/>
          <w:u w:val="thick"/>
        </w:rPr>
        <w:t>射防</w:t>
      </w:r>
      <w:r>
        <w:rPr>
          <w:spacing w:val="-3"/>
          <w:sz w:val="21"/>
          <w:u w:val="thick"/>
        </w:rPr>
        <w:t>护</w:t>
      </w:r>
      <w:r>
        <w:rPr>
          <w:sz w:val="21"/>
          <w:u w:val="thick"/>
        </w:rPr>
        <w:t>手</w:t>
      </w:r>
      <w:r>
        <w:rPr>
          <w:spacing w:val="-3"/>
          <w:sz w:val="21"/>
          <w:u w:val="thick"/>
        </w:rPr>
        <w:t>册</w:t>
      </w:r>
      <w:r>
        <w:rPr>
          <w:spacing w:val="-106"/>
          <w:sz w:val="21"/>
          <w:u w:val="thick"/>
        </w:rPr>
        <w:t>》</w:t>
      </w:r>
      <w:r>
        <w:rPr>
          <w:spacing w:val="-3"/>
          <w:sz w:val="21"/>
          <w:u w:val="thick"/>
        </w:rPr>
        <w:t>（</w:t>
      </w:r>
      <w:r>
        <w:rPr>
          <w:sz w:val="21"/>
          <w:u w:val="thick"/>
        </w:rPr>
        <w:t>第</w:t>
      </w:r>
      <w:r>
        <w:rPr>
          <w:spacing w:val="-5"/>
          <w:sz w:val="21"/>
          <w:u w:val="thick"/>
        </w:rPr>
        <w:t>三</w:t>
      </w:r>
      <w:r>
        <w:rPr>
          <w:sz w:val="21"/>
          <w:u w:val="thick"/>
        </w:rPr>
        <w:t>分</w:t>
      </w:r>
      <w:r>
        <w:rPr>
          <w:spacing w:val="-3"/>
          <w:sz w:val="21"/>
          <w:u w:val="thick"/>
        </w:rPr>
        <w:t>册）</w:t>
      </w:r>
      <w:r>
        <w:rPr>
          <w:sz w:val="21"/>
          <w:u w:val="thick"/>
        </w:rPr>
        <w:t>表</w:t>
      </w:r>
      <w:r>
        <w:rPr>
          <w:spacing w:val="-40"/>
          <w:sz w:val="21"/>
          <w:u w:val="thick"/>
        </w:rPr>
        <w:t> </w:t>
      </w:r>
      <w:r>
        <w:rPr>
          <w:rFonts w:ascii="Times New Roman" w:eastAsia="Times New Roman"/>
          <w:sz w:val="21"/>
          <w:u w:val="thick"/>
        </w:rPr>
        <w:t>3.3</w:t>
      </w:r>
      <w:r>
        <w:rPr>
          <w:rFonts w:ascii="Times New Roman" w:eastAsia="Times New Roman"/>
          <w:spacing w:val="8"/>
          <w:sz w:val="21"/>
          <w:u w:val="thick"/>
        </w:rPr>
        <w:t> </w:t>
      </w:r>
      <w:r>
        <w:rPr>
          <w:sz w:val="21"/>
          <w:u w:val="thick"/>
        </w:rPr>
        <w:t>进</w:t>
      </w:r>
      <w:r>
        <w:rPr>
          <w:spacing w:val="-3"/>
          <w:sz w:val="21"/>
          <w:u w:val="thick"/>
        </w:rPr>
        <w:t>行</w:t>
      </w:r>
      <w:r>
        <w:rPr>
          <w:sz w:val="21"/>
          <w:u w:val="thick"/>
        </w:rPr>
        <w:t>估</w:t>
      </w:r>
      <w:r>
        <w:rPr>
          <w:spacing w:val="-3"/>
          <w:sz w:val="21"/>
          <w:u w:val="thick"/>
        </w:rPr>
        <w:t>算</w:t>
      </w:r>
      <w:r>
        <w:rPr>
          <w:sz w:val="21"/>
          <w:u w:val="thick"/>
        </w:rPr>
        <w:t>。</w:t>
        <w:tab/>
      </w:r>
    </w:p>
    <w:p>
      <w:pPr>
        <w:pStyle w:val="BodyText"/>
        <w:spacing w:before="133"/>
        <w:ind w:left="740"/>
      </w:pPr>
      <w:r>
        <w:rPr>
          <w:spacing w:val="-5"/>
        </w:rPr>
        <w:t>由表 </w:t>
      </w:r>
      <w:r>
        <w:rPr>
          <w:rFonts w:ascii="Times New Roman" w:eastAsia="Times New Roman"/>
          <w:spacing w:val="-3"/>
        </w:rPr>
        <w:t>11-3</w:t>
      </w:r>
      <w:r>
        <w:rPr>
          <w:rFonts w:ascii="Times New Roman" w:eastAsia="Times New Roman"/>
          <w:spacing w:val="52"/>
        </w:rPr>
        <w:t> </w:t>
      </w:r>
      <w:r>
        <w:rPr>
          <w:spacing w:val="-8"/>
        </w:rPr>
        <w:t>对比可知，本项目介入治疗室屏蔽设计满足《放射诊断放射防护要求》</w:t>
      </w:r>
    </w:p>
    <w:p>
      <w:pPr>
        <w:pStyle w:val="BodyText"/>
        <w:spacing w:line="364" w:lineRule="auto" w:before="160"/>
        <w:ind w:left="754" w:right="4248" w:hanging="483"/>
      </w:pPr>
      <w:r>
        <w:rPr>
          <w:spacing w:val="-4"/>
        </w:rPr>
        <w:t>（</w:t>
      </w:r>
      <w:r>
        <w:rPr>
          <w:rFonts w:ascii="Times New Roman" w:eastAsia="Times New Roman"/>
          <w:spacing w:val="-4"/>
        </w:rPr>
        <w:t>GBZ130-2020</w:t>
      </w:r>
      <w:r>
        <w:rPr>
          <w:spacing w:val="-4"/>
        </w:rPr>
        <w:t>）</w:t>
      </w:r>
      <w:r>
        <w:rPr>
          <w:spacing w:val="-8"/>
        </w:rPr>
        <w:t>的要求，机房屏蔽设计合理。二、介入治疗室的辐射影响预测</w:t>
      </w:r>
      <w:r>
        <w:rPr>
          <w:spacing w:val="-8"/>
          <w:w w:val="50"/>
        </w:rPr>
        <w:t> </w:t>
      </w:r>
    </w:p>
    <w:p>
      <w:pPr>
        <w:pStyle w:val="BodyText"/>
        <w:spacing w:line="364" w:lineRule="auto" w:before="1"/>
        <w:ind w:left="272" w:right="268" w:firstLine="468"/>
      </w:pPr>
      <w:r>
        <w:rPr>
          <w:spacing w:val="-11"/>
        </w:rPr>
        <w:t>本项目拟购 </w:t>
      </w:r>
      <w:r>
        <w:rPr>
          <w:rFonts w:ascii="Times New Roman" w:eastAsia="Times New Roman"/>
          <w:spacing w:val="-3"/>
        </w:rPr>
        <w:t>DSA </w:t>
      </w:r>
      <w:r>
        <w:rPr>
          <w:spacing w:val="-8"/>
        </w:rPr>
        <w:t>尚未安装，故对介入治疗室周围辐射环境影响采用理论预测的方</w:t>
      </w:r>
      <w:r>
        <w:rPr>
          <w:spacing w:val="-7"/>
        </w:rPr>
        <w:t>法进行影响分析。</w:t>
      </w:r>
    </w:p>
    <w:p>
      <w:pPr>
        <w:pStyle w:val="BodyText"/>
        <w:spacing w:before="1"/>
        <w:ind w:left="742"/>
      </w:pPr>
      <w:r>
        <w:rPr/>
        <w:t>1、运行工况</w:t>
      </w:r>
      <w:r>
        <w:rPr>
          <w:w w:val="50"/>
        </w:rPr>
        <w:t> </w:t>
      </w:r>
    </w:p>
    <w:p>
      <w:pPr>
        <w:pStyle w:val="BodyText"/>
        <w:spacing w:before="161"/>
        <w:ind w:left="740"/>
      </w:pPr>
      <w:r>
        <w:rPr>
          <w:rFonts w:ascii="Times New Roman" w:eastAsia="Times New Roman"/>
        </w:rPr>
        <w:t>DSA</w:t>
      </w:r>
      <w:r>
        <w:rPr>
          <w:rFonts w:ascii="Times New Roman" w:eastAsia="Times New Roman"/>
          <w:spacing w:val="59"/>
        </w:rPr>
        <w:t> </w:t>
      </w:r>
      <w:r>
        <w:rPr>
          <w:spacing w:val="-1"/>
        </w:rPr>
        <w:t>的 </w:t>
      </w:r>
      <w:r>
        <w:rPr>
          <w:rFonts w:ascii="Times New Roman" w:eastAsia="Times New Roman"/>
        </w:rPr>
        <w:t>X</w:t>
      </w:r>
      <w:r>
        <w:rPr>
          <w:rFonts w:ascii="Times New Roman" w:eastAsia="Times New Roman"/>
          <w:spacing w:val="59"/>
        </w:rPr>
        <w:t> </w:t>
      </w:r>
      <w:r>
        <w:rPr>
          <w:spacing w:val="3"/>
        </w:rPr>
        <w:t>线系统在自动透视模式下间隙性运行，运行管电压低于额定电压的</w:t>
      </w:r>
    </w:p>
    <w:p>
      <w:pPr>
        <w:pStyle w:val="BodyText"/>
        <w:spacing w:line="364" w:lineRule="auto" w:before="160"/>
        <w:ind w:left="272" w:right="149"/>
      </w:pPr>
      <w:r>
        <w:rPr>
          <w:rFonts w:ascii="Times New Roman" w:eastAsia="Times New Roman"/>
          <w:spacing w:val="-4"/>
        </w:rPr>
        <w:t>20%~30%</w:t>
      </w:r>
      <w:r>
        <w:rPr>
          <w:spacing w:val="5"/>
        </w:rPr>
        <w:t>。本项目</w:t>
      </w:r>
      <w:r>
        <w:rPr>
          <w:rFonts w:ascii="Times New Roman" w:eastAsia="Times New Roman"/>
          <w:spacing w:val="-3"/>
        </w:rPr>
        <w:t>DSA </w:t>
      </w:r>
      <w:r>
        <w:rPr>
          <w:spacing w:val="-14"/>
        </w:rPr>
        <w:t>最大管电压为 </w:t>
      </w:r>
      <w:r>
        <w:rPr>
          <w:rFonts w:ascii="Times New Roman" w:eastAsia="Times New Roman"/>
          <w:spacing w:val="-6"/>
        </w:rPr>
        <w:t>125kV</w:t>
      </w:r>
      <w:r>
        <w:rPr>
          <w:spacing w:val="-15"/>
        </w:rPr>
        <w:t>，最大管电流为 </w:t>
      </w:r>
      <w:r>
        <w:rPr>
          <w:rFonts w:ascii="Times New Roman" w:eastAsia="Times New Roman"/>
          <w:spacing w:val="-6"/>
        </w:rPr>
        <w:t>1000mA</w:t>
      </w:r>
      <w:r>
        <w:rPr>
          <w:spacing w:val="-7"/>
        </w:rPr>
        <w:t>，但实际使用时， </w:t>
      </w:r>
      <w:r>
        <w:rPr>
          <w:spacing w:val="-8"/>
        </w:rPr>
        <w:t>为防止球管烧毁并延长其使用寿命，管电压和功率通常预留 </w:t>
      </w:r>
      <w:r>
        <w:rPr>
          <w:rFonts w:ascii="Times New Roman" w:eastAsia="Times New Roman"/>
          <w:spacing w:val="-4"/>
        </w:rPr>
        <w:t>20%~30%</w:t>
      </w:r>
      <w:r>
        <w:rPr>
          <w:spacing w:val="-5"/>
        </w:rPr>
        <w:t>的余量，即管电</w:t>
      </w:r>
      <w:r>
        <w:rPr>
          <w:spacing w:val="-17"/>
        </w:rPr>
        <w:t>压控制在 </w:t>
      </w:r>
      <w:r>
        <w:rPr>
          <w:rFonts w:ascii="Times New Roman" w:eastAsia="Times New Roman"/>
          <w:spacing w:val="-3"/>
        </w:rPr>
        <w:t>100kV</w:t>
      </w:r>
      <w:r>
        <w:rPr>
          <w:rFonts w:ascii="Times New Roman" w:eastAsia="Times New Roman"/>
          <w:spacing w:val="1"/>
        </w:rPr>
        <w:t> </w:t>
      </w:r>
      <w:r>
        <w:rPr>
          <w:spacing w:val="-11"/>
        </w:rPr>
        <w:t>以下。根据医院提供信息，隔室拍片时 </w:t>
      </w:r>
      <w:r>
        <w:rPr>
          <w:rFonts w:ascii="Times New Roman" w:eastAsia="Times New Roman"/>
          <w:spacing w:val="-3"/>
        </w:rPr>
        <w:t>DSA</w:t>
      </w:r>
      <w:r>
        <w:rPr>
          <w:rFonts w:ascii="Times New Roman" w:eastAsia="Times New Roman"/>
          <w:spacing w:val="2"/>
        </w:rPr>
        <w:t> </w:t>
      </w:r>
      <w:r>
        <w:rPr>
          <w:spacing w:val="-8"/>
        </w:rPr>
        <w:t>设备的最大运行工况约为</w:t>
      </w:r>
    </w:p>
    <w:p>
      <w:pPr>
        <w:pStyle w:val="BodyText"/>
        <w:spacing w:line="364" w:lineRule="auto" w:before="2"/>
        <w:ind w:left="740" w:right="2268" w:hanging="468"/>
      </w:pPr>
      <w:r>
        <w:rPr>
          <w:rFonts w:ascii="Times New Roman" w:eastAsia="Times New Roman"/>
          <w:spacing w:val="-4"/>
        </w:rPr>
        <w:t>90kV/500mA</w:t>
      </w:r>
      <w:r>
        <w:rPr>
          <w:spacing w:val="4"/>
        </w:rPr>
        <w:t>；在透视时</w:t>
      </w:r>
      <w:r>
        <w:rPr>
          <w:rFonts w:ascii="Times New Roman" w:eastAsia="Times New Roman"/>
        </w:rPr>
        <w:t>DSA </w:t>
      </w:r>
      <w:r>
        <w:rPr>
          <w:spacing w:val="-14"/>
        </w:rPr>
        <w:t>设备的最大运行工况为 </w:t>
      </w:r>
      <w:r>
        <w:rPr>
          <w:rFonts w:ascii="Times New Roman" w:eastAsia="Times New Roman"/>
          <w:spacing w:val="-4"/>
        </w:rPr>
        <w:t>90kV/20mA</w:t>
      </w:r>
      <w:r>
        <w:rPr/>
        <w:t>。</w:t>
      </w:r>
      <w:r>
        <w:rPr>
          <w:spacing w:val="-8"/>
        </w:rPr>
        <w:t>有用射线出束方向：</w:t>
      </w:r>
    </w:p>
    <w:p>
      <w:pPr>
        <w:pStyle w:val="BodyText"/>
        <w:spacing w:before="1"/>
        <w:ind w:left="740"/>
      </w:pPr>
      <w:r>
        <w:rPr>
          <w:rFonts w:ascii="Times New Roman" w:eastAsia="Times New Roman"/>
        </w:rPr>
        <w:t>DSA </w:t>
      </w:r>
      <w:r>
        <w:rPr>
          <w:spacing w:val="52"/>
        </w:rPr>
        <w:t>的</w:t>
      </w:r>
      <w:r>
        <w:rPr>
          <w:rFonts w:ascii="Times New Roman" w:eastAsia="Times New Roman"/>
        </w:rPr>
        <w:t>X </w:t>
      </w:r>
      <w:r>
        <w:rPr>
          <w:spacing w:val="-8"/>
        </w:rPr>
        <w:t>线系统在运行中，朝介入治疗室顶上</w:t>
      </w:r>
      <w:r>
        <w:rPr>
          <w:spacing w:val="-5"/>
        </w:rPr>
        <w:t>（</w:t>
      </w:r>
      <w:r>
        <w:rPr>
          <w:spacing w:val="-8"/>
        </w:rPr>
        <w:t>行政楼天井）</w:t>
      </w:r>
      <w:r>
        <w:rPr>
          <w:spacing w:val="-5"/>
        </w:rPr>
        <w:t>出束。</w:t>
      </w:r>
    </w:p>
    <w:p>
      <w:pPr>
        <w:pStyle w:val="BodyText"/>
        <w:spacing w:before="161"/>
        <w:ind w:left="742"/>
      </w:pPr>
      <w:r>
        <w:rPr/>
        <w:t>2、运行时间</w:t>
      </w:r>
      <w:r>
        <w:rPr>
          <w:w w:val="50"/>
        </w:rPr>
        <w:t> </w:t>
      </w:r>
    </w:p>
    <w:p>
      <w:pPr>
        <w:pStyle w:val="BodyText"/>
        <w:spacing w:line="364" w:lineRule="auto" w:before="160"/>
        <w:ind w:left="272" w:right="273" w:firstLine="480"/>
        <w:jc w:val="both"/>
      </w:pPr>
      <w:r>
        <w:rPr>
          <w:spacing w:val="-5"/>
        </w:rPr>
        <w:t>根据医院提供资料，此台 </w:t>
      </w:r>
      <w:r>
        <w:rPr>
          <w:rFonts w:ascii="Times New Roman" w:eastAsia="Times New Roman"/>
        </w:rPr>
        <w:t>DSA </w:t>
      </w:r>
      <w:r>
        <w:rPr>
          <w:spacing w:val="-5"/>
        </w:rPr>
        <w:t>用于介入治疗手术约有 </w:t>
      </w:r>
      <w:r>
        <w:rPr>
          <w:rFonts w:ascii="Times New Roman" w:eastAsia="Times New Roman"/>
        </w:rPr>
        <w:t>300 </w:t>
      </w:r>
      <w:r>
        <w:rPr/>
        <w:t>台</w:t>
      </w:r>
      <w:r>
        <w:rPr>
          <w:rFonts w:ascii="Times New Roman" w:eastAsia="Times New Roman"/>
        </w:rPr>
        <w:t>/</w:t>
      </w:r>
      <w:r>
        <w:rPr>
          <w:spacing w:val="-2"/>
        </w:rPr>
        <w:t>年，以单台次手术</w:t>
      </w:r>
      <w:r>
        <w:rPr>
          <w:spacing w:val="-8"/>
        </w:rPr>
        <w:t>最长出束时间约 </w:t>
      </w:r>
      <w:r>
        <w:rPr>
          <w:rFonts w:ascii="Times New Roman" w:eastAsia="Times New Roman"/>
          <w:spacing w:val="-10"/>
        </w:rPr>
        <w:t>15min</w:t>
      </w:r>
      <w:r>
        <w:rPr>
          <w:spacing w:val="-10"/>
        </w:rPr>
        <w:t>（</w:t>
      </w:r>
      <w:r>
        <w:rPr>
          <w:spacing w:val="-11"/>
        </w:rPr>
        <w:t>包含透视约 </w:t>
      </w:r>
      <w:r>
        <w:rPr>
          <w:rFonts w:ascii="Times New Roman" w:eastAsia="Times New Roman"/>
        </w:rPr>
        <w:t>12min </w:t>
      </w:r>
      <w:r>
        <w:rPr>
          <w:spacing w:val="-14"/>
        </w:rPr>
        <w:t>和拍片约 </w:t>
      </w:r>
      <w:r>
        <w:rPr>
          <w:rFonts w:ascii="Times New Roman" w:eastAsia="Times New Roman"/>
        </w:rPr>
        <w:t>3min </w:t>
      </w:r>
      <w:r>
        <w:rPr/>
        <w:t>的时间</w:t>
      </w:r>
      <w:r>
        <w:rPr>
          <w:spacing w:val="-63"/>
        </w:rPr>
        <w:t>）</w:t>
      </w:r>
      <w:r>
        <w:rPr>
          <w:spacing w:val="-18"/>
        </w:rPr>
        <w:t>保守计算，则 </w:t>
      </w:r>
      <w:r>
        <w:rPr>
          <w:rFonts w:ascii="Times New Roman" w:eastAsia="Times New Roman"/>
          <w:spacing w:val="-4"/>
        </w:rPr>
        <w:t>DSA </w:t>
      </w:r>
      <w:r>
        <w:rPr>
          <w:spacing w:val="-16"/>
        </w:rPr>
        <w:t>系统的 </w:t>
      </w:r>
      <w:r>
        <w:rPr>
          <w:rFonts w:ascii="Times New Roman" w:eastAsia="Times New Roman"/>
        </w:rPr>
        <w:t>X </w:t>
      </w:r>
      <w:r>
        <w:rPr>
          <w:spacing w:val="-7"/>
        </w:rPr>
        <w:t>线装置年出束时间约 </w:t>
      </w:r>
      <w:r>
        <w:rPr>
          <w:rFonts w:ascii="Times New Roman" w:eastAsia="Times New Roman"/>
        </w:rPr>
        <w:t>100h/a</w:t>
      </w:r>
      <w:r>
        <w:rPr/>
        <w:t>（</w:t>
      </w:r>
      <w:r>
        <w:rPr>
          <w:spacing w:val="-13"/>
        </w:rPr>
        <w:t>包含透视 </w:t>
      </w:r>
      <w:r>
        <w:rPr>
          <w:rFonts w:ascii="Times New Roman" w:eastAsia="Times New Roman"/>
        </w:rPr>
        <w:t>75h/a </w:t>
      </w:r>
      <w:r>
        <w:rPr>
          <w:spacing w:val="-11"/>
        </w:rPr>
        <w:t>及拍片时间 </w:t>
      </w:r>
      <w:r>
        <w:rPr>
          <w:rFonts w:ascii="Times New Roman" w:eastAsia="Times New Roman"/>
        </w:rPr>
        <w:t>25h/a</w:t>
      </w:r>
      <w:r>
        <w:rPr/>
        <w:t>）。</w:t>
      </w:r>
    </w:p>
    <w:p>
      <w:pPr>
        <w:spacing w:after="0" w:line="364" w:lineRule="auto"/>
        <w:jc w:val="both"/>
        <w:sectPr>
          <w:footerReference w:type="default" r:id="rId52"/>
          <w:pgSz w:w="11910" w:h="16840"/>
          <w:pgMar w:footer="881" w:header="0" w:top="1200" w:bottom="1080" w:left="1480" w:right="1020"/>
          <w:pgNumType w:start="40"/>
        </w:sectPr>
      </w:pPr>
    </w:p>
    <w:p>
      <w:pPr>
        <w:pStyle w:val="BodyText"/>
        <w:spacing w:before="100"/>
        <w:ind w:left="742"/>
      </w:pPr>
      <w:r>
        <w:rPr/>
        <w:pict>
          <v:group style="position:absolute;margin-left:81.959999pt;margin-top:62.399937pt;width:454.2pt;height:695.2pt;mso-position-horizontal-relative:page;mso-position-vertical-relative:page;z-index:-211336" coordorigin="1639,1248" coordsize="9084,13904">
            <v:line style="position:absolute" from="1639,1253" to="10714,1253" stroked="true" strokeweight=".479999pt" strokecolor="#000000">
              <v:stroke dashstyle="solid"/>
            </v:line>
            <v:line style="position:absolute" from="1644,1258" to="1644,15151" stroked="true" strokeweight=".479999pt" strokecolor="#000000">
              <v:stroke dashstyle="solid"/>
            </v:line>
            <v:line style="position:absolute" from="1639,15146" to="10714,15146" stroked="true" strokeweight=".480011pt" strokecolor="#000000">
              <v:stroke dashstyle="solid"/>
            </v:line>
            <v:line style="position:absolute" from="10718,1248" to="10718,15151" stroked="true" strokeweight=".480011pt" strokecolor="#000000">
              <v:stroke dashstyle="solid"/>
            </v:line>
            <w10:wrap type="none"/>
          </v:group>
        </w:pict>
      </w:r>
      <w:r>
        <w:rPr/>
        <w:t>3、操作方式</w:t>
      </w:r>
      <w:r>
        <w:rPr>
          <w:w w:val="50"/>
        </w:rPr>
        <w:t> </w:t>
      </w:r>
    </w:p>
    <w:p>
      <w:pPr>
        <w:pStyle w:val="BodyText"/>
        <w:spacing w:before="161"/>
        <w:ind w:left="740"/>
      </w:pPr>
      <w:r>
        <w:rPr>
          <w:rFonts w:ascii="Times New Roman" w:eastAsia="Times New Roman"/>
        </w:rPr>
        <w:t>DSA </w:t>
      </w:r>
      <w:r>
        <w:rPr>
          <w:spacing w:val="52"/>
        </w:rPr>
        <w:t>的</w:t>
      </w:r>
      <w:r>
        <w:rPr>
          <w:rFonts w:ascii="Times New Roman" w:eastAsia="Times New Roman"/>
        </w:rPr>
        <w:t>X </w:t>
      </w:r>
      <w:r>
        <w:rPr>
          <w:spacing w:val="-8"/>
        </w:rPr>
        <w:t>射线系统在进行曝光时分为两种情况：</w:t>
      </w:r>
    </w:p>
    <w:p>
      <w:pPr>
        <w:pStyle w:val="BodyText"/>
        <w:spacing w:line="364" w:lineRule="auto" w:before="160"/>
        <w:ind w:left="272" w:right="266" w:firstLine="703"/>
        <w:jc w:val="both"/>
      </w:pPr>
      <w:r>
        <w:rPr>
          <w:spacing w:val="-16"/>
        </w:rPr>
        <w:t>造影拍片过程：受检者位于检查床上，医护人员调整 </w:t>
      </w:r>
      <w:r>
        <w:rPr>
          <w:rFonts w:ascii="Times New Roman" w:eastAsia="Times New Roman"/>
        </w:rPr>
        <w:t>X </w:t>
      </w:r>
      <w:r>
        <w:rPr>
          <w:spacing w:val="-12"/>
        </w:rPr>
        <w:t>线球管、人体、影像增强</w:t>
      </w:r>
      <w:r>
        <w:rPr>
          <w:spacing w:val="-10"/>
        </w:rPr>
        <w:t>器三者之间的距离。医师、操作人员通过电子计算机系统控制 </w:t>
      </w:r>
      <w:r>
        <w:rPr>
          <w:rFonts w:ascii="Times New Roman" w:eastAsia="Times New Roman"/>
          <w:spacing w:val="-3"/>
        </w:rPr>
        <w:t>DSA </w:t>
      </w:r>
      <w:r>
        <w:rPr>
          <w:spacing w:val="-30"/>
        </w:rPr>
        <w:t>的 </w:t>
      </w:r>
      <w:r>
        <w:rPr>
          <w:rFonts w:ascii="Times New Roman" w:eastAsia="Times New Roman"/>
        </w:rPr>
        <w:t>X </w:t>
      </w:r>
      <w:r>
        <w:rPr>
          <w:spacing w:val="-7"/>
        </w:rPr>
        <w:t>系统曝光，采</w:t>
      </w:r>
      <w:r>
        <w:rPr>
          <w:spacing w:val="-12"/>
        </w:rPr>
        <w:t>集造影部位图像。在拍片过程中，由于曝光时间较短且经机房各墙体屏蔽后，对机房外</w:t>
      </w:r>
    </w:p>
    <w:p>
      <w:pPr>
        <w:pStyle w:val="BodyText"/>
        <w:spacing w:before="2"/>
        <w:ind w:left="272"/>
      </w:pPr>
      <w:r>
        <w:rPr/>
        <w:t>（包括机房楼上）的公众和工作人员基本没有影响。</w:t>
      </w:r>
    </w:p>
    <w:p>
      <w:pPr>
        <w:pStyle w:val="BodyText"/>
        <w:spacing w:line="364" w:lineRule="auto" w:before="161"/>
        <w:ind w:left="272" w:right="232" w:firstLine="703"/>
        <w:jc w:val="both"/>
      </w:pPr>
      <w:r>
        <w:rPr>
          <w:spacing w:val="-12"/>
        </w:rPr>
        <w:t>脉冲透视过程：为更清楚的了解病人情况，医生需进入手术室内进行治疗时会有</w:t>
      </w:r>
      <w:r>
        <w:rPr>
          <w:spacing w:val="-8"/>
        </w:rPr>
        <w:t>连续曝光，并采用连续脉冲透视，此时操作医师身着铅衣、铅橡胶围裙、铅橡胶颈套、</w:t>
      </w:r>
      <w:r>
        <w:rPr>
          <w:spacing w:val="-9"/>
        </w:rPr>
        <w:t>铅眼镜及介入防护手套等在机房内对病人进行直接的手术操作。对本项目 </w:t>
      </w:r>
      <w:r>
        <w:rPr>
          <w:rFonts w:ascii="Times New Roman" w:eastAsia="Times New Roman"/>
          <w:spacing w:val="-3"/>
        </w:rPr>
        <w:t>DSA </w:t>
      </w:r>
      <w:r>
        <w:rPr>
          <w:spacing w:val="-5"/>
        </w:rPr>
        <w:t>的辐射</w:t>
      </w:r>
      <w:r>
        <w:rPr>
          <w:spacing w:val="-8"/>
        </w:rPr>
        <w:t>影响进行预测时，主要考虑脉冲透视过程进行保守防护预测。</w:t>
      </w:r>
    </w:p>
    <w:p>
      <w:pPr>
        <w:pStyle w:val="BodyText"/>
        <w:spacing w:before="2"/>
        <w:ind w:left="742"/>
      </w:pPr>
      <w:r>
        <w:rPr/>
        <w:t>4、介入治疗室外环境影响分析</w:t>
      </w:r>
      <w:r>
        <w:rPr>
          <w:w w:val="50"/>
        </w:rPr>
        <w:t> </w:t>
      </w:r>
    </w:p>
    <w:p>
      <w:pPr>
        <w:pStyle w:val="ListParagraph"/>
        <w:numPr>
          <w:ilvl w:val="0"/>
          <w:numId w:val="20"/>
        </w:numPr>
        <w:tabs>
          <w:tab w:pos="1337" w:val="left" w:leader="none"/>
        </w:tabs>
        <w:spacing w:line="240" w:lineRule="auto" w:before="161" w:after="0"/>
        <w:ind w:left="1336" w:right="0" w:hanging="594"/>
        <w:jc w:val="left"/>
        <w:rPr>
          <w:sz w:val="24"/>
        </w:rPr>
      </w:pPr>
      <w:r>
        <w:rPr>
          <w:spacing w:val="-6"/>
          <w:sz w:val="24"/>
        </w:rPr>
        <w:t>计算模式</w:t>
      </w:r>
      <w:r>
        <w:rPr>
          <w:w w:val="50"/>
          <w:sz w:val="24"/>
        </w:rPr>
        <w:t> </w:t>
      </w:r>
    </w:p>
    <w:p>
      <w:pPr>
        <w:pStyle w:val="BodyText"/>
        <w:spacing w:before="160"/>
        <w:ind w:left="1092"/>
      </w:pPr>
      <w:r>
        <w:rPr/>
        <w:t>关注点处有用线束辐射空气比释动能率计算</w:t>
      </w:r>
      <w:r>
        <w:rPr>
          <w:w w:val="50"/>
        </w:rPr>
        <w:t> </w:t>
      </w:r>
    </w:p>
    <w:p>
      <w:pPr>
        <w:pStyle w:val="BodyText"/>
        <w:spacing w:line="364" w:lineRule="auto" w:before="161"/>
        <w:ind w:left="272" w:right="273" w:firstLine="480"/>
        <w:jc w:val="both"/>
      </w:pPr>
      <w:r>
        <w:rPr/>
        <w:t>由《辐射防护手册（第一分册</w:t>
      </w:r>
      <w:r>
        <w:rPr>
          <w:spacing w:val="-120"/>
        </w:rPr>
        <w:t>）》</w:t>
      </w:r>
      <w:r>
        <w:rPr/>
        <w:t>（</w:t>
      </w:r>
      <w:r>
        <w:rPr>
          <w:spacing w:val="-1"/>
        </w:rPr>
        <w:t>李德平 潘自强著</w:t>
      </w:r>
      <w:r>
        <w:rPr/>
        <w:t>）</w:t>
      </w:r>
      <w:r>
        <w:rPr>
          <w:spacing w:val="-10"/>
        </w:rPr>
        <w:t>给出的 </w:t>
      </w:r>
      <w:r>
        <w:rPr>
          <w:rFonts w:ascii="Times New Roman" w:hAnsi="Times New Roman" w:eastAsia="Times New Roman"/>
        </w:rPr>
        <w:t>Х </w:t>
      </w:r>
      <w:r>
        <w:rPr>
          <w:spacing w:val="-2"/>
        </w:rPr>
        <w:t>射线机散射线在</w:t>
      </w:r>
      <w:r>
        <w:rPr>
          <w:spacing w:val="-1"/>
        </w:rPr>
        <w:t>关注点的周比释动能计算公式</w:t>
      </w:r>
      <w:r>
        <w:rPr/>
        <w:t>（</w:t>
      </w:r>
      <w:r>
        <w:rPr>
          <w:spacing w:val="-23"/>
        </w:rPr>
        <w:t>公式 </w:t>
      </w:r>
      <w:r>
        <w:rPr>
          <w:rFonts w:ascii="Times New Roman" w:hAnsi="Times New Roman" w:eastAsia="Times New Roman"/>
        </w:rPr>
        <w:t>10.8</w:t>
      </w:r>
      <w:r>
        <w:rPr/>
        <w:t>）</w:t>
      </w:r>
      <w:r>
        <w:rPr>
          <w:spacing w:val="-3"/>
        </w:rPr>
        <w:t>进行推导，得到有用线束在关注点处的比</w:t>
      </w:r>
      <w:r>
        <w:rPr>
          <w:spacing w:val="-13"/>
        </w:rPr>
        <w:t>释动能率 </w:t>
      </w:r>
      <w:r>
        <w:rPr>
          <w:rFonts w:ascii="Times New Roman" w:hAnsi="Times New Roman" w:eastAsia="Times New Roman"/>
          <w:w w:val="99"/>
        </w:rPr>
        <w:t>H</w:t>
      </w:r>
      <w:r>
        <w:rPr>
          <w:rFonts w:ascii="Times New Roman" w:hAnsi="Times New Roman" w:eastAsia="Times New Roman"/>
        </w:rPr>
        <w:t> </w:t>
      </w:r>
      <w:r>
        <w:rPr/>
        <w:t>的计算公式（</w:t>
      </w:r>
      <w:r>
        <w:rPr>
          <w:spacing w:val="-3"/>
        </w:rPr>
        <w:t>推导中，将原公式中的使用因子、居留因子均取为 </w:t>
      </w:r>
      <w:r>
        <w:rPr>
          <w:rFonts w:ascii="Times New Roman" w:hAnsi="Times New Roman" w:eastAsia="Times New Roman"/>
        </w:rPr>
        <w:t>1</w:t>
      </w:r>
      <w:r>
        <w:rPr>
          <w:spacing w:val="-120"/>
        </w:rPr>
        <w:t>）</w:t>
      </w:r>
      <w:r>
        <w:rPr/>
        <w:t>：</w:t>
      </w:r>
    </w:p>
    <w:p>
      <w:pPr>
        <w:tabs>
          <w:tab w:pos="5650" w:val="left" w:leader="none"/>
        </w:tabs>
        <w:spacing w:line="324" w:lineRule="exact" w:before="0"/>
        <w:ind w:left="2840" w:right="0" w:firstLine="0"/>
        <w:jc w:val="left"/>
        <w:rPr>
          <w:rFonts w:ascii="Times New Roman" w:hAnsi="Times New Roman" w:eastAsia="Times New Roman"/>
          <w:sz w:val="24"/>
        </w:rPr>
      </w:pPr>
      <w:r>
        <w:rPr/>
        <w:pict>
          <v:line style="position:absolute;mso-position-horizontal-relative:page;mso-position-vertical-relative:paragraph;z-index:-211384" from="244.800003pt,12.450004pt" to="273.840005pt,12.450004pt" stroked="true" strokeweight=".959977pt" strokecolor="#000000">
            <v:stroke dashstyle="solid"/>
            <w10:wrap type="none"/>
          </v:line>
        </w:pict>
      </w:r>
      <w:r>
        <w:rPr/>
        <w:pict>
          <v:shape style="position:absolute;margin-left:329.519989pt;margin-top:6.097101pt;width:24.05pt;height:13.7pt;mso-position-horizontal-relative:page;mso-position-vertical-relative:paragraph;z-index:-211312" type="#_x0000_t202" filled="false" stroked="false">
            <v:textbox inset="0,0,0,0">
              <w:txbxContent>
                <w:p>
                  <w:pPr>
                    <w:pStyle w:val="BodyText"/>
                    <w:spacing w:line="274" w:lineRule="exact"/>
                  </w:pPr>
                  <w:r>
                    <w:rPr/>
                    <w:t>公式</w:t>
                  </w:r>
                </w:p>
              </w:txbxContent>
            </v:textbox>
            <w10:wrap type="none"/>
          </v:shape>
        </w:pict>
      </w:r>
      <w:r>
        <w:rPr>
          <w:rFonts w:ascii="Cambria" w:hAnsi="Cambria" w:eastAsia="Cambria"/>
          <w:w w:val="105"/>
          <w:sz w:val="28"/>
        </w:rPr>
        <w:t>𝐻</w:t>
      </w:r>
      <w:r>
        <w:rPr>
          <w:rFonts w:ascii="Cambria" w:hAnsi="Cambria" w:eastAsia="Cambria"/>
          <w:spacing w:val="-34"/>
          <w:w w:val="105"/>
          <w:sz w:val="28"/>
        </w:rPr>
        <w:t> </w:t>
      </w:r>
      <w:r>
        <w:rPr>
          <w:rFonts w:ascii="Cambria" w:hAnsi="Cambria" w:eastAsia="Cambria"/>
          <w:w w:val="105"/>
          <w:sz w:val="28"/>
        </w:rPr>
        <w:t>=</w:t>
      </w:r>
      <w:r>
        <w:rPr>
          <w:rFonts w:ascii="Cambria" w:hAnsi="Cambria" w:eastAsia="Cambria"/>
          <w:spacing w:val="-37"/>
          <w:w w:val="105"/>
          <w:sz w:val="28"/>
        </w:rPr>
        <w:t> </w:t>
      </w:r>
      <w:r>
        <w:rPr>
          <w:rFonts w:ascii="Cambria" w:hAnsi="Cambria" w:eastAsia="Cambria"/>
          <w:w w:val="105"/>
          <w:sz w:val="28"/>
          <w:vertAlign w:val="superscript"/>
        </w:rPr>
        <w:t>□</w:t>
      </w:r>
      <w:r>
        <w:rPr>
          <w:rFonts w:ascii="Cambria" w:hAnsi="Cambria" w:eastAsia="Cambria"/>
          <w:w w:val="105"/>
          <w:position w:val="12"/>
          <w:sz w:val="16"/>
          <w:vertAlign w:val="baseline"/>
        </w:rPr>
        <w:t>□</w:t>
      </w:r>
      <w:r>
        <w:rPr>
          <w:rFonts w:ascii="Cambria" w:hAnsi="Cambria" w:eastAsia="Cambria"/>
          <w:w w:val="105"/>
          <w:position w:val="17"/>
          <w:sz w:val="20"/>
          <w:vertAlign w:val="baseline"/>
        </w:rPr>
        <w:t>⋅□⋅□</w:t>
      </w:r>
      <w:r>
        <w:rPr>
          <w:rFonts w:ascii="Times New Roman" w:hAnsi="Times New Roman" w:eastAsia="Times New Roman"/>
          <w:w w:val="105"/>
          <w:sz w:val="28"/>
          <w:vertAlign w:val="baseline"/>
        </w:rPr>
        <w:t>…………</w:t>
        <w:tab/>
      </w:r>
      <w:r>
        <w:rPr>
          <w:rFonts w:ascii="Times New Roman" w:hAnsi="Times New Roman" w:eastAsia="Times New Roman"/>
          <w:spacing w:val="-3"/>
          <w:w w:val="110"/>
          <w:sz w:val="24"/>
          <w:vertAlign w:val="baseline"/>
        </w:rPr>
        <w:t>11-3</w:t>
      </w:r>
    </w:p>
    <w:p>
      <w:pPr>
        <w:spacing w:line="108" w:lineRule="auto" w:before="5"/>
        <w:ind w:left="0" w:right="1996" w:firstLine="0"/>
        <w:jc w:val="center"/>
        <w:rPr>
          <w:rFonts w:ascii="Cambria" w:hAnsi="Cambria"/>
          <w:sz w:val="16"/>
        </w:rPr>
      </w:pPr>
      <w:r>
        <w:rPr>
          <w:rFonts w:ascii="Cambria" w:hAnsi="Cambria"/>
          <w:position w:val="-5"/>
          <w:sz w:val="20"/>
        </w:rPr>
        <w:t>□</w:t>
      </w:r>
      <w:r>
        <w:rPr>
          <w:rFonts w:ascii="Cambria" w:hAnsi="Cambria"/>
          <w:sz w:val="16"/>
        </w:rPr>
        <w:t>□</w:t>
      </w:r>
    </w:p>
    <w:p>
      <w:pPr>
        <w:pStyle w:val="BodyText"/>
        <w:spacing w:before="11"/>
        <w:rPr>
          <w:rFonts w:ascii="Cambria"/>
          <w:sz w:val="9"/>
        </w:rPr>
      </w:pPr>
    </w:p>
    <w:p>
      <w:pPr>
        <w:pStyle w:val="BodyText"/>
        <w:spacing w:before="52"/>
        <w:ind w:left="752"/>
      </w:pPr>
      <w:r>
        <w:rPr/>
        <w:t>式中：</w:t>
      </w:r>
    </w:p>
    <w:p>
      <w:pPr>
        <w:pStyle w:val="BodyText"/>
        <w:spacing w:line="364" w:lineRule="auto" w:before="160"/>
        <w:ind w:left="272" w:right="273" w:firstLine="960"/>
      </w:pPr>
      <w:r>
        <w:rPr>
          <w:rFonts w:ascii="Times New Roman" w:hAnsi="Times New Roman" w:eastAsia="Times New Roman"/>
          <w:position w:val="2"/>
        </w:rPr>
        <w:t>H</w:t>
      </w:r>
      <w:r>
        <w:rPr>
          <w:rFonts w:ascii="Times New Roman" w:hAnsi="Times New Roman" w:eastAsia="Times New Roman"/>
          <w:sz w:val="16"/>
        </w:rPr>
        <w:t>0</w:t>
      </w:r>
      <w:r>
        <w:rPr>
          <w:rFonts w:ascii="Times New Roman" w:hAnsi="Times New Roman" w:eastAsia="Times New Roman"/>
          <w:position w:val="2"/>
        </w:rPr>
        <w:t>—X </w:t>
      </w:r>
      <w:r>
        <w:rPr>
          <w:spacing w:val="-6"/>
          <w:position w:val="2"/>
        </w:rPr>
        <w:t>射线机发射率常数</w:t>
      </w:r>
      <w:r>
        <w:rPr>
          <w:position w:val="2"/>
        </w:rPr>
        <w:t>（</w:t>
      </w:r>
      <w:r>
        <w:rPr>
          <w:spacing w:val="-11"/>
          <w:position w:val="2"/>
        </w:rPr>
        <w:t>当管电流为 </w:t>
      </w:r>
      <w:r>
        <w:rPr>
          <w:rFonts w:ascii="Times New Roman" w:hAnsi="Times New Roman" w:eastAsia="Times New Roman"/>
          <w:position w:val="2"/>
        </w:rPr>
        <w:t>1mA </w:t>
      </w:r>
      <w:r>
        <w:rPr>
          <w:spacing w:val="-15"/>
          <w:position w:val="2"/>
        </w:rPr>
        <w:t>时，距离阳极靶 </w:t>
      </w:r>
      <w:r>
        <w:rPr>
          <w:rFonts w:ascii="Times New Roman" w:hAnsi="Times New Roman" w:eastAsia="Times New Roman"/>
          <w:position w:val="2"/>
        </w:rPr>
        <w:t>1m </w:t>
      </w:r>
      <w:r>
        <w:rPr>
          <w:spacing w:val="-3"/>
          <w:position w:val="2"/>
        </w:rPr>
        <w:t>处由主束产</w:t>
      </w:r>
      <w:r>
        <w:rPr/>
        <w:t>生的比释动能率</w:t>
      </w:r>
      <w:r>
        <w:rPr>
          <w:spacing w:val="-120"/>
        </w:rPr>
        <w:t>）</w:t>
      </w:r>
      <w:r>
        <w:rPr>
          <w:spacing w:val="-1"/>
        </w:rPr>
        <w:t>，</w:t>
      </w:r>
      <w:r>
        <w:rPr>
          <w:rFonts w:ascii="Times New Roman" w:hAnsi="Times New Roman" w:eastAsia="Times New Roman"/>
          <w:w w:val="99"/>
        </w:rPr>
        <w:t>m</w:t>
      </w:r>
      <w:r>
        <w:rPr>
          <w:rFonts w:ascii="Times New Roman" w:hAnsi="Times New Roman" w:eastAsia="Times New Roman"/>
          <w:w w:val="99"/>
        </w:rPr>
        <w:t>G</w:t>
      </w:r>
      <w:r>
        <w:rPr>
          <w:rFonts w:ascii="Times New Roman" w:hAnsi="Times New Roman" w:eastAsia="Times New Roman"/>
        </w:rPr>
        <w:t>y·</w:t>
      </w:r>
      <w:r>
        <w:rPr>
          <w:rFonts w:ascii="Times New Roman" w:hAnsi="Times New Roman" w:eastAsia="Times New Roman"/>
          <w:spacing w:val="-1"/>
          <w:w w:val="99"/>
        </w:rPr>
        <w:t>m</w:t>
      </w:r>
      <w:r>
        <w:rPr>
          <w:rFonts w:ascii="Times New Roman" w:hAnsi="Times New Roman" w:eastAsia="Times New Roman"/>
          <w:spacing w:val="1"/>
          <w:w w:val="100"/>
          <w:position w:val="9"/>
          <w:sz w:val="16"/>
        </w:rPr>
        <w:t>2</w:t>
      </w:r>
      <w:r>
        <w:rPr>
          <w:rFonts w:ascii="Times New Roman" w:hAnsi="Times New Roman" w:eastAsia="Times New Roman"/>
          <w:w w:val="99"/>
        </w:rPr>
        <w:t>·</w:t>
      </w:r>
      <w:r>
        <w:rPr>
          <w:rFonts w:ascii="Times New Roman" w:hAnsi="Times New Roman" w:eastAsia="Times New Roman"/>
          <w:w w:val="99"/>
        </w:rPr>
        <w:t>m</w:t>
      </w:r>
      <w:r>
        <w:rPr>
          <w:rFonts w:ascii="Times New Roman" w:hAnsi="Times New Roman" w:eastAsia="Times New Roman"/>
          <w:spacing w:val="-1"/>
          <w:w w:val="99"/>
        </w:rPr>
        <w:t>A</w:t>
      </w:r>
      <w:r>
        <w:rPr>
          <w:rFonts w:ascii="Times New Roman" w:hAnsi="Times New Roman" w:eastAsia="Times New Roman"/>
          <w:w w:val="100"/>
          <w:position w:val="9"/>
          <w:sz w:val="16"/>
        </w:rPr>
        <w:t>-1</w:t>
      </w:r>
      <w:r>
        <w:rPr>
          <w:rFonts w:ascii="Times New Roman" w:hAnsi="Times New Roman" w:eastAsia="Times New Roman"/>
          <w:w w:val="99"/>
        </w:rPr>
        <w:t>·</w:t>
      </w:r>
      <w:r>
        <w:rPr>
          <w:rFonts w:ascii="Times New Roman" w:hAnsi="Times New Roman" w:eastAsia="Times New Roman"/>
          <w:w w:val="99"/>
        </w:rPr>
        <w:t>m</w:t>
      </w:r>
      <w:r>
        <w:rPr>
          <w:rFonts w:ascii="Times New Roman" w:hAnsi="Times New Roman" w:eastAsia="Times New Roman"/>
          <w:w w:val="99"/>
        </w:rPr>
        <w:t>i</w:t>
      </w:r>
      <w:r>
        <w:rPr>
          <w:rFonts w:ascii="Times New Roman" w:hAnsi="Times New Roman" w:eastAsia="Times New Roman"/>
        </w:rPr>
        <w:t>n</w:t>
      </w:r>
      <w:r>
        <w:rPr>
          <w:rFonts w:ascii="Times New Roman" w:hAnsi="Times New Roman" w:eastAsia="Times New Roman"/>
          <w:w w:val="100"/>
          <w:position w:val="9"/>
          <w:sz w:val="16"/>
        </w:rPr>
        <w:t>-1</w:t>
      </w:r>
      <w:r>
        <w:rPr/>
        <w:t>；</w:t>
      </w:r>
    </w:p>
    <w:p>
      <w:pPr>
        <w:pStyle w:val="BodyText"/>
        <w:spacing w:before="2"/>
        <w:ind w:left="1232"/>
      </w:pPr>
      <w:r>
        <w:rPr>
          <w:rFonts w:ascii="Times New Roman" w:hAnsi="Times New Roman" w:eastAsia="Times New Roman"/>
        </w:rPr>
        <w:t>I—</w:t>
      </w:r>
      <w:r>
        <w:rPr/>
        <w:t>管电流，</w:t>
      </w:r>
      <w:r>
        <w:rPr>
          <w:rFonts w:ascii="Times New Roman" w:hAnsi="Times New Roman" w:eastAsia="Times New Roman"/>
        </w:rPr>
        <w:t>mA</w:t>
      </w:r>
      <w:r>
        <w:rPr/>
        <w:t>；</w:t>
      </w:r>
    </w:p>
    <w:p>
      <w:pPr>
        <w:pStyle w:val="BodyText"/>
        <w:spacing w:before="161"/>
        <w:ind w:left="1215"/>
      </w:pPr>
      <w:r>
        <w:rPr>
          <w:rFonts w:ascii="Times New Roman" w:hAnsi="Times New Roman" w:eastAsia="Times New Roman"/>
        </w:rPr>
        <w:t>d—</w:t>
      </w:r>
      <w:r>
        <w:rPr/>
        <w:t>关注点至</w:t>
      </w:r>
      <w:r>
        <w:rPr>
          <w:rFonts w:ascii="Times New Roman" w:hAnsi="Times New Roman" w:eastAsia="Times New Roman"/>
        </w:rPr>
        <w:t>X </w:t>
      </w:r>
      <w:r>
        <w:rPr/>
        <w:t>射线源的距离；</w:t>
      </w:r>
    </w:p>
    <w:p>
      <w:pPr>
        <w:pStyle w:val="BodyText"/>
        <w:spacing w:line="364" w:lineRule="auto" w:before="160"/>
        <w:ind w:left="1116" w:right="737" w:firstLine="115"/>
      </w:pPr>
      <w:r>
        <w:rPr>
          <w:rFonts w:ascii="Times New Roman" w:hAnsi="Times New Roman" w:eastAsia="Times New Roman"/>
        </w:rPr>
        <w:t>B—</w:t>
      </w:r>
      <w:r>
        <w:rPr/>
        <w:t>屏蔽材料对散射线的透射因子，无量纲；计算方法详见公式 </w:t>
      </w:r>
      <w:r>
        <w:rPr>
          <w:rFonts w:ascii="Times New Roman" w:hAnsi="Times New Roman" w:eastAsia="Times New Roman"/>
        </w:rPr>
        <w:t>11-1</w:t>
      </w:r>
      <w:r>
        <w:rPr/>
        <w:t>。关注点处散射辐射空气比释动能率计算</w:t>
      </w:r>
      <w:r>
        <w:rPr>
          <w:w w:val="50"/>
        </w:rPr>
        <w:t> </w:t>
      </w:r>
    </w:p>
    <w:p>
      <w:pPr>
        <w:pStyle w:val="BodyText"/>
        <w:spacing w:line="364" w:lineRule="auto" w:before="1"/>
        <w:ind w:left="272" w:right="276" w:firstLine="480"/>
        <w:jc w:val="both"/>
      </w:pPr>
      <w:r>
        <w:rPr/>
        <w:t>由《辐射防护手册（第一分册</w:t>
      </w:r>
      <w:r>
        <w:rPr>
          <w:spacing w:val="-120"/>
        </w:rPr>
        <w:t>）》</w:t>
      </w:r>
      <w:r>
        <w:rPr/>
        <w:t>（</w:t>
      </w:r>
      <w:r>
        <w:rPr>
          <w:spacing w:val="-1"/>
        </w:rPr>
        <w:t>李德平 潘自强著</w:t>
      </w:r>
      <w:r>
        <w:rPr/>
        <w:t>）</w:t>
      </w:r>
      <w:r>
        <w:rPr>
          <w:spacing w:val="-10"/>
        </w:rPr>
        <w:t>给出的 </w:t>
      </w:r>
      <w:r>
        <w:rPr>
          <w:rFonts w:ascii="Times New Roman" w:hAnsi="Times New Roman" w:eastAsia="Times New Roman"/>
        </w:rPr>
        <w:t>Х </w:t>
      </w:r>
      <w:r>
        <w:rPr>
          <w:spacing w:val="-3"/>
        </w:rPr>
        <w:t>射线机散射线在</w:t>
      </w:r>
      <w:r>
        <w:rPr>
          <w:spacing w:val="-4"/>
        </w:rPr>
        <w:t>关注点的周比释动能计算公式</w:t>
      </w:r>
      <w:r>
        <w:rPr/>
        <w:t>（</w:t>
      </w:r>
      <w:r>
        <w:rPr>
          <w:spacing w:val="-20"/>
        </w:rPr>
        <w:t>公式 </w:t>
      </w:r>
      <w:r>
        <w:rPr>
          <w:rFonts w:ascii="Times New Roman" w:hAnsi="Times New Roman" w:eastAsia="Times New Roman"/>
          <w:spacing w:val="-9"/>
        </w:rPr>
        <w:t>10.10</w:t>
      </w:r>
      <w:r>
        <w:rPr>
          <w:spacing w:val="-9"/>
        </w:rPr>
        <w:t>）</w:t>
      </w:r>
      <w:r>
        <w:rPr>
          <w:spacing w:val="-8"/>
        </w:rPr>
        <w:t>进行推导，得到散射线在关注点处的比释</w:t>
      </w:r>
      <w:r>
        <w:rPr>
          <w:spacing w:val="-16"/>
          <w:position w:val="2"/>
        </w:rPr>
        <w:t>动能率 </w:t>
      </w:r>
      <w:r>
        <w:rPr>
          <w:rFonts w:ascii="Times New Roman" w:hAnsi="Times New Roman" w:eastAsia="Times New Roman"/>
          <w:spacing w:val="-1"/>
          <w:w w:val="99"/>
          <w:position w:val="2"/>
        </w:rPr>
        <w:t>H</w:t>
      </w:r>
      <w:r>
        <w:rPr>
          <w:rFonts w:ascii="Times New Roman" w:hAnsi="Times New Roman" w:eastAsia="Times New Roman"/>
          <w:w w:val="100"/>
          <w:sz w:val="16"/>
        </w:rPr>
        <w:t>s</w:t>
      </w:r>
      <w:r>
        <w:rPr>
          <w:rFonts w:ascii="Times New Roman" w:hAnsi="Times New Roman" w:eastAsia="Times New Roman"/>
          <w:sz w:val="16"/>
        </w:rPr>
        <w:t> </w:t>
      </w:r>
      <w:r>
        <w:rPr>
          <w:position w:val="2"/>
        </w:rPr>
        <w:t>的计算公式（</w:t>
      </w:r>
      <w:r>
        <w:rPr>
          <w:spacing w:val="-3"/>
          <w:position w:val="2"/>
        </w:rPr>
        <w:t>推导中，将原公式中的使用因子、居留因子均取为 </w:t>
      </w:r>
      <w:r>
        <w:rPr>
          <w:rFonts w:ascii="Times New Roman" w:hAnsi="Times New Roman" w:eastAsia="Times New Roman"/>
          <w:position w:val="2"/>
        </w:rPr>
        <w:t>1</w:t>
      </w:r>
      <w:r>
        <w:rPr>
          <w:spacing w:val="-120"/>
          <w:position w:val="2"/>
        </w:rPr>
        <w:t>）</w:t>
      </w:r>
      <w:r>
        <w:rPr>
          <w:position w:val="2"/>
        </w:rPr>
        <w:t>：</w:t>
      </w:r>
    </w:p>
    <w:p>
      <w:pPr>
        <w:tabs>
          <w:tab w:pos="5770" w:val="left" w:leader="dot"/>
        </w:tabs>
        <w:spacing w:line="93" w:lineRule="auto" w:before="0"/>
        <w:ind w:left="2662" w:right="0" w:firstLine="0"/>
        <w:jc w:val="left"/>
        <w:rPr>
          <w:rFonts w:ascii="Times New Roman" w:hAnsi="Times New Roman" w:eastAsia="Times New Roman"/>
          <w:sz w:val="24"/>
        </w:rPr>
      </w:pPr>
      <w:r>
        <w:rPr/>
        <w:pict>
          <v:line style="position:absolute;mso-position-horizontal-relative:page;mso-position-vertical-relative:paragraph;z-index:-211360" from="245.160004pt,13.648544pt" to="303.240007pt,13.648544pt" stroked="true" strokeweight="1.080002pt" strokecolor="#000000">
            <v:stroke dashstyle="solid"/>
            <w10:wrap type="none"/>
          </v:line>
        </w:pict>
      </w:r>
      <w:r>
        <w:rPr/>
        <w:pict>
          <v:shape style="position:absolute;margin-left:258.720001pt;margin-top:12.860309pt;width:30.4pt;height:15.9pt;mso-position-horizontal-relative:page;mso-position-vertical-relative:paragraph;z-index:-211288" type="#_x0000_t202" filled="false" stroked="false">
            <v:textbox inset="0,0,0,0">
              <w:txbxContent>
                <w:p>
                  <w:pPr>
                    <w:spacing w:line="318" w:lineRule="exact" w:before="0"/>
                    <w:ind w:left="0" w:right="0" w:firstLine="0"/>
                    <w:jc w:val="left"/>
                    <w:rPr>
                      <w:rFonts w:ascii="Cambria" w:hAnsi="Cambria"/>
                      <w:sz w:val="19"/>
                    </w:rPr>
                  </w:pPr>
                  <w:r>
                    <w:rPr>
                      <w:rFonts w:ascii="Cambria" w:hAnsi="Cambria"/>
                      <w:spacing w:val="6"/>
                      <w:w w:val="97"/>
                      <w:sz w:val="23"/>
                    </w:rPr>
                    <w:t>□</w:t>
                  </w:r>
                  <w:r>
                    <w:rPr>
                      <w:rFonts w:ascii="Cambria" w:hAnsi="Cambria"/>
                      <w:spacing w:val="9"/>
                      <w:w w:val="90"/>
                      <w:position w:val="9"/>
                      <w:sz w:val="19"/>
                    </w:rPr>
                    <w:t>□</w:t>
                  </w:r>
                  <w:r>
                    <w:rPr>
                      <w:rFonts w:ascii="Cambria" w:hAnsi="Cambria"/>
                      <w:spacing w:val="-1"/>
                      <w:w w:val="100"/>
                      <w:sz w:val="23"/>
                    </w:rPr>
                    <w:t>⋅</w:t>
                  </w:r>
                  <w:r>
                    <w:rPr>
                      <w:rFonts w:ascii="Cambria" w:hAnsi="Cambria"/>
                      <w:spacing w:val="6"/>
                      <w:w w:val="97"/>
                      <w:sz w:val="23"/>
                    </w:rPr>
                    <w:t>□</w:t>
                  </w:r>
                  <w:r>
                    <w:rPr>
                      <w:rFonts w:ascii="Cambria" w:hAnsi="Cambria"/>
                      <w:w w:val="90"/>
                      <w:position w:val="9"/>
                      <w:sz w:val="19"/>
                    </w:rPr>
                    <w:t>□</w:t>
                  </w:r>
                </w:p>
              </w:txbxContent>
            </v:textbox>
            <w10:wrap type="none"/>
          </v:shape>
        </w:pict>
      </w:r>
      <w:r>
        <w:rPr>
          <w:rFonts w:ascii="Cambria" w:hAnsi="Cambria" w:eastAsia="Cambria"/>
          <w:spacing w:val="-10"/>
          <w:w w:val="95"/>
          <w:position w:val="-18"/>
          <w:sz w:val="32"/>
        </w:rPr>
        <w:t>𝐻</w:t>
      </w:r>
      <w:r>
        <w:rPr>
          <w:rFonts w:ascii="Cambria" w:hAnsi="Cambria" w:eastAsia="Cambria"/>
          <w:spacing w:val="-1"/>
          <w:w w:val="95"/>
          <w:position w:val="-24"/>
          <w:sz w:val="23"/>
        </w:rPr>
        <w:t>□  </w:t>
      </w:r>
      <w:r>
        <w:rPr>
          <w:rFonts w:ascii="Cambria" w:hAnsi="Cambria" w:eastAsia="Cambria"/>
          <w:spacing w:val="11"/>
          <w:w w:val="95"/>
          <w:position w:val="-18"/>
          <w:sz w:val="32"/>
        </w:rPr>
        <w:t>= </w:t>
      </w:r>
      <w:r>
        <w:rPr>
          <w:rFonts w:ascii="Cambria" w:hAnsi="Cambria" w:eastAsia="Cambria"/>
          <w:w w:val="95"/>
          <w:sz w:val="23"/>
        </w:rPr>
        <w:t>□</w:t>
      </w:r>
      <w:r>
        <w:rPr>
          <w:rFonts w:ascii="Cambria" w:hAnsi="Cambria" w:eastAsia="Cambria"/>
          <w:w w:val="95"/>
          <w:position w:val="-4"/>
          <w:sz w:val="19"/>
        </w:rPr>
        <w:t>□</w:t>
      </w:r>
      <w:r>
        <w:rPr>
          <w:rFonts w:ascii="Cambria" w:hAnsi="Cambria" w:eastAsia="Cambria"/>
          <w:w w:val="95"/>
          <w:sz w:val="23"/>
        </w:rPr>
        <w:t>⋅□⋅□⋅□⋅□</w:t>
      </w:r>
      <w:r>
        <w:rPr>
          <w:rFonts w:ascii="Cambria" w:hAnsi="Cambria" w:eastAsia="Cambria"/>
          <w:w w:val="95"/>
          <w:position w:val="-4"/>
          <w:sz w:val="19"/>
        </w:rPr>
        <w:t>□</w:t>
        <w:tab/>
      </w:r>
      <w:r>
        <w:rPr>
          <w:spacing w:val="-23"/>
          <w:w w:val="105"/>
          <w:position w:val="-18"/>
          <w:sz w:val="24"/>
        </w:rPr>
        <w:t>公式 </w:t>
      </w:r>
      <w:r>
        <w:rPr>
          <w:rFonts w:ascii="Times New Roman" w:hAnsi="Times New Roman" w:eastAsia="Times New Roman"/>
          <w:spacing w:val="-3"/>
          <w:w w:val="105"/>
          <w:position w:val="-18"/>
          <w:sz w:val="24"/>
        </w:rPr>
        <w:t>11-4</w:t>
      </w:r>
    </w:p>
    <w:p>
      <w:pPr>
        <w:tabs>
          <w:tab w:pos="340" w:val="left" w:leader="none"/>
        </w:tabs>
        <w:spacing w:before="54"/>
        <w:ind w:left="0" w:right="1288" w:firstLine="0"/>
        <w:jc w:val="center"/>
        <w:rPr>
          <w:rFonts w:ascii="Cambria" w:hAnsi="Cambria"/>
          <w:sz w:val="19"/>
        </w:rPr>
      </w:pPr>
      <w:r>
        <w:rPr>
          <w:rFonts w:ascii="Cambria" w:hAnsi="Cambria"/>
          <w:w w:val="95"/>
          <w:sz w:val="19"/>
        </w:rPr>
        <w:t>□</w:t>
        <w:tab/>
      </w:r>
      <w:r>
        <w:rPr>
          <w:rFonts w:ascii="Cambria" w:hAnsi="Cambria"/>
          <w:w w:val="95"/>
          <w:position w:val="1"/>
          <w:sz w:val="19"/>
        </w:rPr>
        <w:t>□</w:t>
      </w:r>
    </w:p>
    <w:p>
      <w:pPr>
        <w:spacing w:after="0"/>
        <w:jc w:val="center"/>
        <w:rPr>
          <w:rFonts w:ascii="Cambria" w:hAnsi="Cambria"/>
          <w:sz w:val="19"/>
        </w:rPr>
        <w:sectPr>
          <w:pgSz w:w="11910" w:h="16840"/>
          <w:pgMar w:header="0" w:footer="881" w:top="1220" w:bottom="1160" w:left="1480" w:right="1020"/>
        </w:sectPr>
      </w:pPr>
    </w:p>
    <w:p>
      <w:pPr>
        <w:pStyle w:val="BodyText"/>
        <w:spacing w:before="100"/>
        <w:ind w:left="752"/>
      </w:pPr>
      <w:r>
        <w:rPr/>
        <w:t>式中：</w:t>
      </w:r>
    </w:p>
    <w:p>
      <w:pPr>
        <w:pStyle w:val="BodyText"/>
        <w:spacing w:line="364" w:lineRule="auto" w:before="160"/>
        <w:ind w:left="272" w:right="273" w:firstLine="960"/>
      </w:pPr>
      <w:r>
        <w:rPr>
          <w:rFonts w:ascii="Times New Roman" w:hAnsi="Times New Roman" w:eastAsia="Times New Roman"/>
          <w:position w:val="2"/>
        </w:rPr>
        <w:t>H</w:t>
      </w:r>
      <w:r>
        <w:rPr>
          <w:rFonts w:ascii="Times New Roman" w:hAnsi="Times New Roman" w:eastAsia="Times New Roman"/>
          <w:sz w:val="16"/>
        </w:rPr>
        <w:t>0</w:t>
      </w:r>
      <w:r>
        <w:rPr>
          <w:rFonts w:ascii="Times New Roman" w:hAnsi="Times New Roman" w:eastAsia="Times New Roman"/>
          <w:position w:val="2"/>
          <w:sz w:val="21"/>
        </w:rPr>
        <w:t>—</w:t>
      </w:r>
      <w:r>
        <w:rPr>
          <w:rFonts w:ascii="Times New Roman" w:hAnsi="Times New Roman" w:eastAsia="Times New Roman"/>
          <w:position w:val="2"/>
        </w:rPr>
        <w:t>Х </w:t>
      </w:r>
      <w:r>
        <w:rPr>
          <w:spacing w:val="-4"/>
          <w:position w:val="2"/>
        </w:rPr>
        <w:t>射线机发射率常数</w:t>
      </w:r>
      <w:r>
        <w:rPr>
          <w:position w:val="2"/>
        </w:rPr>
        <w:t>（</w:t>
      </w:r>
      <w:r>
        <w:rPr>
          <w:spacing w:val="-11"/>
          <w:position w:val="2"/>
        </w:rPr>
        <w:t>当管电流为 </w:t>
      </w:r>
      <w:r>
        <w:rPr>
          <w:rFonts w:ascii="Times New Roman" w:hAnsi="Times New Roman" w:eastAsia="Times New Roman"/>
          <w:position w:val="2"/>
        </w:rPr>
        <w:t>1mA </w:t>
      </w:r>
      <w:r>
        <w:rPr>
          <w:spacing w:val="-13"/>
          <w:position w:val="2"/>
        </w:rPr>
        <w:t>时，距离阳极靶 </w:t>
      </w:r>
      <w:r>
        <w:rPr>
          <w:rFonts w:ascii="Times New Roman" w:hAnsi="Times New Roman" w:eastAsia="Times New Roman"/>
          <w:position w:val="2"/>
        </w:rPr>
        <w:t>1m </w:t>
      </w:r>
      <w:r>
        <w:rPr>
          <w:spacing w:val="-4"/>
          <w:position w:val="2"/>
        </w:rPr>
        <w:t>处由主束产</w:t>
      </w:r>
      <w:r>
        <w:rPr/>
        <w:t>生的比释动能率</w:t>
      </w:r>
      <w:r>
        <w:rPr>
          <w:spacing w:val="-120"/>
        </w:rPr>
        <w:t>）</w:t>
      </w:r>
      <w:r>
        <w:rPr>
          <w:spacing w:val="-1"/>
        </w:rPr>
        <w:t>，</w:t>
      </w:r>
      <w:r>
        <w:rPr>
          <w:rFonts w:ascii="Times New Roman" w:hAnsi="Times New Roman" w:eastAsia="Times New Roman"/>
          <w:w w:val="99"/>
        </w:rPr>
        <w:t>m</w:t>
      </w:r>
      <w:r>
        <w:rPr>
          <w:rFonts w:ascii="Times New Roman" w:hAnsi="Times New Roman" w:eastAsia="Times New Roman"/>
          <w:w w:val="99"/>
        </w:rPr>
        <w:t>G</w:t>
      </w:r>
      <w:r>
        <w:rPr>
          <w:rFonts w:ascii="Times New Roman" w:hAnsi="Times New Roman" w:eastAsia="Times New Roman"/>
        </w:rPr>
        <w:t>y·</w:t>
      </w:r>
      <w:r>
        <w:rPr>
          <w:rFonts w:ascii="Times New Roman" w:hAnsi="Times New Roman" w:eastAsia="Times New Roman"/>
          <w:spacing w:val="-1"/>
          <w:w w:val="99"/>
        </w:rPr>
        <w:t>m</w:t>
      </w:r>
      <w:r>
        <w:rPr>
          <w:rFonts w:ascii="Times New Roman" w:hAnsi="Times New Roman" w:eastAsia="Times New Roman"/>
          <w:spacing w:val="1"/>
          <w:w w:val="100"/>
          <w:position w:val="9"/>
          <w:sz w:val="16"/>
        </w:rPr>
        <w:t>2</w:t>
      </w:r>
      <w:r>
        <w:rPr>
          <w:rFonts w:ascii="Times New Roman" w:hAnsi="Times New Roman" w:eastAsia="Times New Roman"/>
          <w:w w:val="99"/>
        </w:rPr>
        <w:t>·</w:t>
      </w:r>
      <w:r>
        <w:rPr>
          <w:rFonts w:ascii="Times New Roman" w:hAnsi="Times New Roman" w:eastAsia="Times New Roman"/>
          <w:w w:val="99"/>
        </w:rPr>
        <w:t>m</w:t>
      </w:r>
      <w:r>
        <w:rPr>
          <w:rFonts w:ascii="Times New Roman" w:hAnsi="Times New Roman" w:eastAsia="Times New Roman"/>
          <w:spacing w:val="-1"/>
          <w:w w:val="99"/>
        </w:rPr>
        <w:t>A</w:t>
      </w:r>
      <w:r>
        <w:rPr>
          <w:rFonts w:ascii="Times New Roman" w:hAnsi="Times New Roman" w:eastAsia="Times New Roman"/>
          <w:w w:val="100"/>
          <w:position w:val="9"/>
          <w:sz w:val="16"/>
        </w:rPr>
        <w:t>-1</w:t>
      </w:r>
      <w:r>
        <w:rPr>
          <w:rFonts w:ascii="Times New Roman" w:hAnsi="Times New Roman" w:eastAsia="Times New Roman"/>
          <w:w w:val="99"/>
        </w:rPr>
        <w:t>·</w:t>
      </w:r>
      <w:r>
        <w:rPr>
          <w:rFonts w:ascii="Times New Roman" w:hAnsi="Times New Roman" w:eastAsia="Times New Roman"/>
          <w:w w:val="99"/>
        </w:rPr>
        <w:t>m</w:t>
      </w:r>
      <w:r>
        <w:rPr>
          <w:rFonts w:ascii="Times New Roman" w:hAnsi="Times New Roman" w:eastAsia="Times New Roman"/>
          <w:w w:val="99"/>
        </w:rPr>
        <w:t>i</w:t>
      </w:r>
      <w:r>
        <w:rPr>
          <w:rFonts w:ascii="Times New Roman" w:hAnsi="Times New Roman" w:eastAsia="Times New Roman"/>
        </w:rPr>
        <w:t>n</w:t>
      </w:r>
      <w:r>
        <w:rPr>
          <w:rFonts w:ascii="Times New Roman" w:hAnsi="Times New Roman" w:eastAsia="Times New Roman"/>
          <w:w w:val="100"/>
          <w:position w:val="9"/>
          <w:sz w:val="16"/>
        </w:rPr>
        <w:t>-1</w:t>
      </w:r>
      <w:r>
        <w:rPr>
          <w:spacing w:val="-11"/>
        </w:rPr>
        <w:t>；本项目取 </w:t>
      </w:r>
      <w:r>
        <w:rPr>
          <w:rFonts w:ascii="Times New Roman" w:hAnsi="Times New Roman" w:eastAsia="Times New Roman"/>
        </w:rPr>
        <w:t>240000</w:t>
      </w:r>
      <w:r>
        <w:rPr>
          <w:rFonts w:ascii="Times New Roman" w:hAnsi="Times New Roman" w:eastAsia="Times New Roman"/>
          <w:w w:val="99"/>
        </w:rPr>
        <w:t>μG</w:t>
      </w:r>
      <w:r>
        <w:rPr>
          <w:rFonts w:ascii="Times New Roman" w:hAnsi="Times New Roman" w:eastAsia="Times New Roman"/>
        </w:rPr>
        <w:t>y·</w:t>
      </w:r>
      <w:r>
        <w:rPr>
          <w:rFonts w:ascii="Times New Roman" w:hAnsi="Times New Roman" w:eastAsia="Times New Roman"/>
          <w:spacing w:val="-1"/>
          <w:w w:val="99"/>
        </w:rPr>
        <w:t>m</w:t>
      </w:r>
      <w:r>
        <w:rPr>
          <w:rFonts w:ascii="Times New Roman" w:hAnsi="Times New Roman" w:eastAsia="Times New Roman"/>
          <w:spacing w:val="1"/>
          <w:w w:val="100"/>
          <w:position w:val="9"/>
          <w:sz w:val="16"/>
        </w:rPr>
        <w:t>2</w:t>
      </w:r>
      <w:r>
        <w:rPr>
          <w:rFonts w:ascii="Times New Roman" w:hAnsi="Times New Roman" w:eastAsia="Times New Roman"/>
          <w:w w:val="99"/>
        </w:rPr>
        <w:t>·</w:t>
      </w:r>
      <w:r>
        <w:rPr>
          <w:rFonts w:ascii="Times New Roman" w:hAnsi="Times New Roman" w:eastAsia="Times New Roman"/>
          <w:spacing w:val="-2"/>
          <w:w w:val="99"/>
        </w:rPr>
        <w:t>m</w:t>
      </w:r>
      <w:r>
        <w:rPr>
          <w:rFonts w:ascii="Times New Roman" w:hAnsi="Times New Roman" w:eastAsia="Times New Roman"/>
          <w:spacing w:val="-2"/>
          <w:w w:val="99"/>
        </w:rPr>
        <w:t>A</w:t>
      </w:r>
      <w:r>
        <w:rPr>
          <w:rFonts w:ascii="Times New Roman" w:hAnsi="Times New Roman" w:eastAsia="Times New Roman"/>
          <w:w w:val="100"/>
          <w:position w:val="9"/>
          <w:sz w:val="16"/>
        </w:rPr>
        <w:t>-1</w:t>
      </w:r>
      <w:r>
        <w:rPr>
          <w:rFonts w:ascii="Times New Roman" w:hAnsi="Times New Roman" w:eastAsia="Times New Roman"/>
          <w:spacing w:val="-1"/>
          <w:w w:val="99"/>
        </w:rPr>
        <w:t>·</w:t>
      </w:r>
      <w:r>
        <w:rPr>
          <w:rFonts w:ascii="Times New Roman" w:hAnsi="Times New Roman" w:eastAsia="Times New Roman"/>
          <w:w w:val="99"/>
        </w:rPr>
        <w:t>h</w:t>
      </w:r>
      <w:r>
        <w:rPr>
          <w:rFonts w:ascii="Times New Roman" w:hAnsi="Times New Roman" w:eastAsia="Times New Roman"/>
          <w:w w:val="100"/>
          <w:position w:val="9"/>
          <w:sz w:val="16"/>
        </w:rPr>
        <w:t>-1</w:t>
      </w:r>
      <w:r>
        <w:rPr/>
        <w:t>；</w:t>
      </w:r>
    </w:p>
    <w:p>
      <w:pPr>
        <w:pStyle w:val="BodyText"/>
        <w:spacing w:before="2"/>
        <w:ind w:left="1472"/>
      </w:pPr>
      <w:r>
        <w:rPr>
          <w:rFonts w:ascii="Times New Roman" w:hAnsi="Times New Roman" w:eastAsia="Times New Roman"/>
        </w:rPr>
        <w:t>I</w:t>
      </w:r>
      <w:r>
        <w:rPr>
          <w:rFonts w:ascii="Times New Roman" w:hAnsi="Times New Roman" w:eastAsia="Times New Roman"/>
          <w:sz w:val="21"/>
        </w:rPr>
        <w:t>—</w:t>
      </w:r>
      <w:r>
        <w:rPr/>
        <w:t>管电流，</w:t>
      </w:r>
      <w:r>
        <w:rPr>
          <w:rFonts w:ascii="Times New Roman" w:hAnsi="Times New Roman" w:eastAsia="Times New Roman"/>
        </w:rPr>
        <w:t>mA</w:t>
      </w:r>
      <w:r>
        <w:rPr/>
        <w:t>；本项目透视、拍片模式下正常使用的最大管电流分取</w:t>
      </w:r>
    </w:p>
    <w:p>
      <w:pPr>
        <w:pStyle w:val="BodyText"/>
        <w:spacing w:before="161"/>
        <w:ind w:left="272"/>
      </w:pPr>
      <w:r>
        <w:rPr>
          <w:rFonts w:ascii="Times New Roman" w:eastAsia="Times New Roman"/>
        </w:rPr>
        <w:t>20mA</w:t>
      </w:r>
      <w:r>
        <w:rPr/>
        <w:t>、</w:t>
      </w:r>
      <w:r>
        <w:rPr>
          <w:rFonts w:ascii="Times New Roman" w:eastAsia="Times New Roman"/>
        </w:rPr>
        <w:t>500mA</w:t>
      </w:r>
      <w:r>
        <w:rPr/>
        <w:t>；</w:t>
      </w:r>
    </w:p>
    <w:p>
      <w:pPr>
        <w:pStyle w:val="BodyText"/>
        <w:spacing w:before="160"/>
        <w:ind w:left="1207"/>
      </w:pPr>
      <w:r>
        <w:rPr>
          <w:rFonts w:ascii="Times New Roman" w:hAnsi="Times New Roman" w:eastAsia="Times New Roman"/>
        </w:rPr>
        <w:t>α—</w:t>
      </w:r>
      <w:r>
        <w:rPr/>
        <w:t>受照物体对入射</w:t>
      </w:r>
      <w:r>
        <w:rPr>
          <w:rFonts w:ascii="Times New Roman" w:hAnsi="Times New Roman" w:eastAsia="Times New Roman"/>
        </w:rPr>
        <w:t>X </w:t>
      </w:r>
      <w:r>
        <w:rPr/>
        <w:t>射线的散射比，</w:t>
      </w:r>
      <w:r>
        <w:rPr>
          <w:rFonts w:ascii="Times New Roman" w:hAnsi="Times New Roman" w:eastAsia="Times New Roman"/>
        </w:rPr>
        <w:t>α=a/400</w:t>
      </w:r>
      <w:r>
        <w:rPr/>
        <w:t>；</w:t>
      </w:r>
    </w:p>
    <w:p>
      <w:pPr>
        <w:pStyle w:val="BodyText"/>
        <w:spacing w:before="161"/>
        <w:ind w:left="1207"/>
      </w:pPr>
      <w:r>
        <w:rPr>
          <w:rFonts w:ascii="Times New Roman" w:hAnsi="Times New Roman" w:eastAsia="Times New Roman"/>
        </w:rPr>
        <w:t>a—</w:t>
      </w:r>
      <w:r>
        <w:rPr/>
        <w:t>相对于 </w:t>
      </w:r>
      <w:r>
        <w:rPr>
          <w:rFonts w:ascii="Times New Roman" w:hAnsi="Times New Roman" w:eastAsia="Times New Roman"/>
        </w:rPr>
        <w:t>400cm</w:t>
      </w:r>
      <w:r>
        <w:rPr>
          <w:rFonts w:ascii="Times New Roman" w:hAnsi="Times New Roman" w:eastAsia="Times New Roman"/>
          <w:position w:val="9"/>
          <w:sz w:val="16"/>
        </w:rPr>
        <w:t>2 </w:t>
      </w:r>
      <w:r>
        <w:rPr/>
        <w:t>散射面积的受照物体对入射</w:t>
      </w:r>
      <w:r>
        <w:rPr>
          <w:rFonts w:ascii="Times New Roman" w:hAnsi="Times New Roman" w:eastAsia="Times New Roman"/>
        </w:rPr>
        <w:t>X </w:t>
      </w:r>
      <w:r>
        <w:rPr/>
        <w:t>射线的散射比，本项目保守取</w:t>
      </w:r>
    </w:p>
    <w:p>
      <w:pPr>
        <w:pStyle w:val="BodyText"/>
        <w:spacing w:before="160"/>
        <w:ind w:left="272"/>
      </w:pPr>
      <w:r>
        <w:rPr>
          <w:rFonts w:ascii="Times New Roman" w:hAnsi="Times New Roman" w:eastAsia="Times New Roman"/>
        </w:rPr>
        <w:t>0.0009</w:t>
      </w:r>
      <w:r>
        <w:rPr/>
        <w:t>（</w:t>
      </w:r>
      <w:r>
        <w:rPr>
          <w:rFonts w:ascii="Times New Roman" w:hAnsi="Times New Roman" w:eastAsia="Times New Roman"/>
        </w:rPr>
        <w:t>90°</w:t>
      </w:r>
      <w:r>
        <w:rPr/>
        <w:t>散射角）；</w:t>
      </w:r>
    </w:p>
    <w:p>
      <w:pPr>
        <w:pStyle w:val="BodyText"/>
        <w:spacing w:before="161"/>
        <w:ind w:left="1232"/>
      </w:pPr>
      <w:r>
        <w:rPr>
          <w:rFonts w:ascii="Times New Roman" w:hAnsi="Times New Roman" w:eastAsia="Times New Roman"/>
        </w:rPr>
        <w:t>S</w:t>
      </w:r>
      <w:r>
        <w:rPr>
          <w:rFonts w:ascii="Times New Roman" w:hAnsi="Times New Roman" w:eastAsia="Times New Roman"/>
          <w:sz w:val="21"/>
        </w:rPr>
        <w:t>—</w:t>
      </w:r>
      <w:r>
        <w:rPr/>
        <w:t>主束在受照人体上的散射面积，本项目保守取 </w:t>
      </w:r>
      <w:r>
        <w:rPr>
          <w:rFonts w:ascii="Times New Roman" w:hAnsi="Times New Roman" w:eastAsia="Times New Roman"/>
        </w:rPr>
        <w:t>100cm</w:t>
      </w:r>
      <w:r>
        <w:rPr>
          <w:rFonts w:ascii="Times New Roman" w:hAnsi="Times New Roman" w:eastAsia="Times New Roman"/>
          <w:position w:val="9"/>
          <w:sz w:val="16"/>
        </w:rPr>
        <w:t>2</w:t>
      </w:r>
      <w:r>
        <w:rPr/>
        <w:t>；</w:t>
      </w:r>
    </w:p>
    <w:p>
      <w:pPr>
        <w:pStyle w:val="BodyText"/>
        <w:spacing w:before="159"/>
        <w:ind w:left="1232"/>
      </w:pPr>
      <w:r>
        <w:rPr>
          <w:rFonts w:ascii="Times New Roman" w:hAnsi="Times New Roman" w:eastAsia="Times New Roman"/>
          <w:position w:val="2"/>
        </w:rPr>
        <w:t>d</w:t>
      </w:r>
      <w:r>
        <w:rPr>
          <w:rFonts w:ascii="Times New Roman" w:hAnsi="Times New Roman" w:eastAsia="Times New Roman"/>
          <w:sz w:val="16"/>
        </w:rPr>
        <w:t>0</w:t>
      </w:r>
      <w:r>
        <w:rPr>
          <w:rFonts w:ascii="Times New Roman" w:hAnsi="Times New Roman" w:eastAsia="Times New Roman"/>
          <w:position w:val="2"/>
          <w:sz w:val="21"/>
        </w:rPr>
        <w:t>—</w:t>
      </w:r>
      <w:r>
        <w:rPr>
          <w:position w:val="2"/>
        </w:rPr>
        <w:t>源至受照点的距离，本项目取</w:t>
      </w:r>
      <w:r>
        <w:rPr>
          <w:rFonts w:ascii="Times New Roman" w:hAnsi="Times New Roman" w:eastAsia="Times New Roman"/>
          <w:position w:val="2"/>
        </w:rPr>
        <w:t>d</w:t>
      </w:r>
      <w:r>
        <w:rPr>
          <w:rFonts w:ascii="Times New Roman" w:hAnsi="Times New Roman" w:eastAsia="Times New Roman"/>
          <w:sz w:val="16"/>
        </w:rPr>
        <w:t>0 </w:t>
      </w:r>
      <w:r>
        <w:rPr>
          <w:position w:val="2"/>
        </w:rPr>
        <w:t>取 </w:t>
      </w:r>
      <w:r>
        <w:rPr>
          <w:rFonts w:ascii="Times New Roman" w:hAnsi="Times New Roman" w:eastAsia="Times New Roman"/>
          <w:position w:val="2"/>
        </w:rPr>
        <w:t>1.0m</w:t>
      </w:r>
      <w:r>
        <w:rPr>
          <w:position w:val="2"/>
        </w:rPr>
        <w:t>；</w:t>
      </w:r>
    </w:p>
    <w:p>
      <w:pPr>
        <w:pStyle w:val="BodyText"/>
        <w:spacing w:before="161"/>
        <w:ind w:left="1215"/>
      </w:pPr>
      <w:r>
        <w:rPr>
          <w:rFonts w:ascii="Times New Roman" w:hAnsi="Times New Roman" w:eastAsia="Times New Roman"/>
          <w:position w:val="2"/>
        </w:rPr>
        <w:t>d</w:t>
      </w:r>
      <w:r>
        <w:rPr>
          <w:rFonts w:ascii="Times New Roman" w:hAnsi="Times New Roman" w:eastAsia="Times New Roman"/>
          <w:sz w:val="16"/>
        </w:rPr>
        <w:t>s</w:t>
      </w:r>
      <w:r>
        <w:rPr>
          <w:rFonts w:ascii="Times New Roman" w:hAnsi="Times New Roman" w:eastAsia="Times New Roman"/>
          <w:position w:val="2"/>
        </w:rPr>
        <w:t>—</w:t>
      </w:r>
      <w:r>
        <w:rPr>
          <w:position w:val="2"/>
        </w:rPr>
        <w:t>受照体至关注点的距离；</w:t>
      </w:r>
    </w:p>
    <w:p>
      <w:pPr>
        <w:pStyle w:val="BodyText"/>
        <w:spacing w:line="364" w:lineRule="auto" w:before="160"/>
        <w:ind w:left="1116" w:right="3119" w:firstLine="115"/>
      </w:pPr>
      <w:r>
        <w:rPr>
          <w:rFonts w:ascii="Times New Roman" w:hAnsi="Times New Roman" w:eastAsia="Times New Roman"/>
          <w:position w:val="2"/>
        </w:rPr>
        <w:t>B</w:t>
      </w:r>
      <w:r>
        <w:rPr>
          <w:rFonts w:ascii="Times New Roman" w:hAnsi="Times New Roman" w:eastAsia="Times New Roman"/>
          <w:sz w:val="16"/>
        </w:rPr>
        <w:t>s</w:t>
      </w:r>
      <w:r>
        <w:rPr>
          <w:rFonts w:ascii="Times New Roman" w:hAnsi="Times New Roman" w:eastAsia="Times New Roman"/>
          <w:position w:val="2"/>
        </w:rPr>
        <w:t>——</w:t>
      </w:r>
      <w:r>
        <w:rPr>
          <w:position w:val="2"/>
        </w:rPr>
        <w:t>屏蔽材料对散射线的透射因子，无量纲。</w:t>
      </w:r>
      <w:r>
        <w:rPr/>
        <w:t>关注点处泄漏辐射空气比释动能率计算</w:t>
      </w:r>
      <w:r>
        <w:rPr>
          <w:w w:val="50"/>
        </w:rPr>
        <w:t> </w:t>
      </w:r>
    </w:p>
    <w:p>
      <w:pPr>
        <w:pStyle w:val="BodyText"/>
        <w:spacing w:before="28"/>
        <w:ind w:left="752"/>
      </w:pPr>
      <w:r>
        <w:rPr>
          <w:rFonts w:ascii="Times New Roman" w:hAnsi="Times New Roman" w:eastAsia="Times New Roman"/>
          <w:w w:val="99"/>
        </w:rPr>
        <w:t>DSA</w:t>
      </w:r>
      <w:r>
        <w:rPr>
          <w:rFonts w:ascii="Times New Roman" w:hAnsi="Times New Roman" w:eastAsia="Times New Roman"/>
          <w:spacing w:val="-1"/>
        </w:rPr>
        <w:t> </w:t>
      </w:r>
      <w:r>
        <w:rPr>
          <w:spacing w:val="-10"/>
        </w:rPr>
        <w:t>泄漏辐射剂量率 </w:t>
      </w:r>
      <w:r>
        <w:rPr>
          <w:rFonts w:ascii="Times New Roman" w:hAnsi="Times New Roman" w:eastAsia="Times New Roman"/>
          <w:spacing w:val="-97"/>
          <w:w w:val="99"/>
        </w:rPr>
        <w:t>H</w:t>
      </w:r>
      <w:r>
        <w:rPr>
          <w:rFonts w:ascii="Times New Roman" w:hAnsi="Times New Roman" w:eastAsia="Times New Roman"/>
          <w:w w:val="42"/>
          <w:position w:val="6"/>
        </w:rPr>
        <w:t></w:t>
      </w:r>
      <w:r>
        <w:rPr>
          <w:rFonts w:ascii="Times New Roman" w:hAnsi="Times New Roman" w:eastAsia="Times New Roman"/>
          <w:spacing w:val="-18"/>
          <w:position w:val="6"/>
        </w:rPr>
        <w:t> </w:t>
      </w:r>
      <w:r>
        <w:rPr>
          <w:rFonts w:ascii="Times New Roman" w:hAnsi="Times New Roman" w:eastAsia="Times New Roman"/>
          <w:w w:val="91"/>
          <w:position w:val="-5"/>
          <w:sz w:val="14"/>
        </w:rPr>
        <w:t>L</w:t>
      </w:r>
      <w:r>
        <w:rPr>
          <w:rFonts w:ascii="Times New Roman" w:hAnsi="Times New Roman" w:eastAsia="Times New Roman"/>
          <w:spacing w:val="4"/>
          <w:position w:val="-5"/>
          <w:sz w:val="14"/>
        </w:rPr>
        <w:t> </w:t>
      </w:r>
      <w:r>
        <w:rPr/>
        <w:t>采用下式计算：</w:t>
      </w:r>
    </w:p>
    <w:p>
      <w:pPr>
        <w:pStyle w:val="BodyText"/>
        <w:spacing w:before="1"/>
        <w:rPr>
          <w:sz w:val="11"/>
        </w:rPr>
      </w:pPr>
    </w:p>
    <w:p>
      <w:pPr>
        <w:spacing w:after="0"/>
        <w:rPr>
          <w:sz w:val="11"/>
        </w:rPr>
        <w:sectPr>
          <w:pgSz w:w="11910" w:h="16840"/>
          <w:pgMar w:header="0" w:footer="881" w:top="1220" w:bottom="1160" w:left="1480" w:right="1020"/>
        </w:sectPr>
      </w:pPr>
    </w:p>
    <w:p>
      <w:pPr>
        <w:pStyle w:val="BodyText"/>
        <w:rPr>
          <w:sz w:val="28"/>
        </w:rPr>
      </w:pPr>
    </w:p>
    <w:p>
      <w:pPr>
        <w:pStyle w:val="BodyText"/>
        <w:spacing w:before="1"/>
        <w:rPr>
          <w:sz w:val="27"/>
        </w:rPr>
      </w:pPr>
    </w:p>
    <w:p>
      <w:pPr>
        <w:pStyle w:val="BodyText"/>
        <w:ind w:left="752"/>
      </w:pPr>
      <w:r>
        <w:rPr/>
        <w:pict>
          <v:shape style="position:absolute;margin-left:266.880005pt;margin-top:-18.733625pt;width:9.1pt;height:11.05pt;mso-position-horizontal-relative:page;mso-position-vertical-relative:paragraph;z-index:-211240" type="#_x0000_t202" filled="false" stroked="false">
            <v:textbox inset="0,0,0,0">
              <w:txbxContent>
                <w:p>
                  <w:pPr>
                    <w:spacing w:line="220" w:lineRule="exact" w:before="0"/>
                    <w:ind w:left="0" w:right="0" w:firstLine="0"/>
                    <w:jc w:val="left"/>
                    <w:rPr>
                      <w:rFonts w:ascii="Cambria" w:hAnsi="Cambria"/>
                      <w:sz w:val="14"/>
                    </w:rPr>
                  </w:pPr>
                  <w:r>
                    <w:rPr>
                      <w:rFonts w:ascii="Cambria" w:hAnsi="Cambria"/>
                      <w:spacing w:val="8"/>
                      <w:w w:val="80"/>
                      <w:position w:val="-4"/>
                      <w:sz w:val="17"/>
                    </w:rPr>
                    <w:t>□</w:t>
                  </w:r>
                  <w:r>
                    <w:rPr>
                      <w:rFonts w:ascii="Cambria" w:hAnsi="Cambria"/>
                      <w:w w:val="90"/>
                      <w:sz w:val="14"/>
                    </w:rPr>
                    <w:t>□</w:t>
                  </w:r>
                </w:p>
              </w:txbxContent>
            </v:textbox>
            <w10:wrap type="none"/>
          </v:shape>
        </w:pict>
      </w:r>
      <w:r>
        <w:rPr/>
        <w:t>式中：</w:t>
      </w:r>
    </w:p>
    <w:p>
      <w:pPr>
        <w:spacing w:before="166"/>
        <w:ind w:left="0" w:right="0" w:firstLine="0"/>
        <w:jc w:val="right"/>
        <w:rPr>
          <w:rFonts w:ascii="Cambria" w:hAnsi="Cambria" w:eastAsia="Cambria"/>
          <w:sz w:val="24"/>
        </w:rPr>
      </w:pPr>
      <w:r>
        <w:rPr/>
        <w:br w:type="column"/>
      </w:r>
      <w:r>
        <w:rPr>
          <w:rFonts w:ascii="Cambria" w:hAnsi="Cambria" w:eastAsia="Cambria"/>
          <w:w w:val="90"/>
          <w:sz w:val="24"/>
        </w:rPr>
        <w:t>𝐻</w:t>
      </w:r>
      <w:r>
        <w:rPr>
          <w:rFonts w:ascii="Cambria" w:hAnsi="Cambria" w:eastAsia="Cambria"/>
          <w:w w:val="90"/>
          <w:sz w:val="24"/>
          <w:vertAlign w:val="subscript"/>
        </w:rPr>
        <w:t>□</w:t>
      </w:r>
    </w:p>
    <w:p>
      <w:pPr>
        <w:tabs>
          <w:tab w:pos="1753" w:val="left" w:leader="dot"/>
        </w:tabs>
        <w:spacing w:before="93"/>
        <w:ind w:left="42" w:right="0" w:firstLine="0"/>
        <w:jc w:val="left"/>
        <w:rPr>
          <w:rFonts w:ascii="Times New Roman" w:hAnsi="Times New Roman" w:eastAsia="Times New Roman"/>
          <w:sz w:val="24"/>
        </w:rPr>
      </w:pPr>
      <w:r>
        <w:rPr/>
        <w:br w:type="column"/>
      </w:r>
      <w:r>
        <w:rPr>
          <w:rFonts w:ascii="Cambria" w:hAnsi="Cambria" w:eastAsia="Cambria"/>
          <w:w w:val="105"/>
          <w:sz w:val="24"/>
        </w:rPr>
        <w:t>= </w:t>
      </w:r>
      <w:r>
        <w:rPr>
          <w:rFonts w:ascii="Cambria" w:hAnsi="Cambria" w:eastAsia="Cambria"/>
          <w:w w:val="105"/>
          <w:sz w:val="24"/>
          <w:u w:val="single"/>
          <w:vertAlign w:val="superscript"/>
        </w:rPr>
        <w:t>□</w:t>
      </w:r>
      <w:r>
        <w:rPr>
          <w:rFonts w:ascii="Cambria" w:hAnsi="Cambria" w:eastAsia="Cambria"/>
          <w:w w:val="105"/>
          <w:position w:val="10"/>
          <w:sz w:val="14"/>
          <w:u w:val="single"/>
          <w:vertAlign w:val="baseline"/>
        </w:rPr>
        <w:t>□</w:t>
      </w:r>
      <w:r>
        <w:rPr>
          <w:rFonts w:ascii="Cambria" w:hAnsi="Cambria" w:eastAsia="Cambria"/>
          <w:w w:val="105"/>
          <w:position w:val="14"/>
          <w:sz w:val="17"/>
          <w:u w:val="single"/>
          <w:vertAlign w:val="baseline"/>
        </w:rPr>
        <w:t>⋅□</w:t>
      </w:r>
      <w:r>
        <w:rPr>
          <w:rFonts w:ascii="Cambria" w:hAnsi="Cambria" w:eastAsia="Cambria"/>
          <w:w w:val="105"/>
          <w:position w:val="14"/>
          <w:sz w:val="17"/>
          <w:vertAlign w:val="baseline"/>
        </w:rPr>
        <w:tab/>
      </w:r>
      <w:r>
        <w:rPr>
          <w:spacing w:val="-23"/>
          <w:w w:val="105"/>
          <w:sz w:val="24"/>
          <w:vertAlign w:val="baseline"/>
        </w:rPr>
        <w:t>公式 </w:t>
      </w:r>
      <w:r>
        <w:rPr>
          <w:rFonts w:ascii="Times New Roman" w:hAnsi="Times New Roman" w:eastAsia="Times New Roman"/>
          <w:spacing w:val="-3"/>
          <w:w w:val="105"/>
          <w:sz w:val="24"/>
          <w:vertAlign w:val="baseline"/>
        </w:rPr>
        <w:t>11-5</w:t>
      </w:r>
    </w:p>
    <w:p>
      <w:pPr>
        <w:spacing w:after="0"/>
        <w:jc w:val="left"/>
        <w:rPr>
          <w:rFonts w:ascii="Times New Roman" w:hAnsi="Times New Roman" w:eastAsia="Times New Roman"/>
          <w:sz w:val="24"/>
        </w:rPr>
        <w:sectPr>
          <w:type w:val="continuous"/>
          <w:pgSz w:w="11910" w:h="16840"/>
          <w:pgMar w:top="1580" w:bottom="280" w:left="1480" w:right="1020"/>
          <w:cols w:num="3" w:equalWidth="0">
            <w:col w:w="1513" w:space="928"/>
            <w:col w:w="1006" w:space="39"/>
            <w:col w:w="5924"/>
          </w:cols>
        </w:sectPr>
      </w:pPr>
    </w:p>
    <w:p>
      <w:pPr>
        <w:pStyle w:val="BodyText"/>
        <w:spacing w:line="364" w:lineRule="auto" w:before="160"/>
        <w:ind w:left="272" w:right="273" w:firstLine="960"/>
      </w:pPr>
      <w:r>
        <w:rPr/>
        <w:pict>
          <v:group style="position:absolute;margin-left:81.959999pt;margin-top:62.399937pt;width:454.2pt;height:695.2pt;mso-position-horizontal-relative:page;mso-position-vertical-relative:page;z-index:-211264" coordorigin="1639,1248" coordsize="9084,13904">
            <v:line style="position:absolute" from="1639,1253" to="10714,1253" stroked="true" strokeweight=".479999pt" strokecolor="#000000">
              <v:stroke dashstyle="solid"/>
            </v:line>
            <v:line style="position:absolute" from="1644,1258" to="1644,15151" stroked="true" strokeweight=".479999pt" strokecolor="#000000">
              <v:stroke dashstyle="solid"/>
            </v:line>
            <v:line style="position:absolute" from="1639,15146" to="10714,15146" stroked="true" strokeweight=".480011pt" strokecolor="#000000">
              <v:stroke dashstyle="solid"/>
            </v:line>
            <v:line style="position:absolute" from="10718,1248" to="10718,15151" stroked="true" strokeweight=".480011pt" strokecolor="#000000">
              <v:stroke dashstyle="solid"/>
            </v:line>
            <w10:wrap type="none"/>
          </v:group>
        </w:pict>
      </w:r>
      <w:r>
        <w:rPr>
          <w:rFonts w:ascii="Times New Roman" w:hAnsi="Times New Roman" w:eastAsia="Times New Roman"/>
          <w:position w:val="2"/>
        </w:rPr>
        <w:t>H</w:t>
      </w:r>
      <w:r>
        <w:rPr>
          <w:rFonts w:ascii="Times New Roman" w:hAnsi="Times New Roman" w:eastAsia="Times New Roman"/>
          <w:sz w:val="16"/>
        </w:rPr>
        <w:t>i</w:t>
      </w:r>
      <w:r>
        <w:rPr>
          <w:rFonts w:ascii="Times New Roman" w:hAnsi="Times New Roman" w:eastAsia="Times New Roman"/>
          <w:position w:val="2"/>
        </w:rPr>
        <w:t>—</w:t>
      </w:r>
      <w:r>
        <w:rPr>
          <w:spacing w:val="-4"/>
          <w:position w:val="2"/>
        </w:rPr>
        <w:t>距靶 </w:t>
      </w:r>
      <w:r>
        <w:rPr>
          <w:rFonts w:ascii="Times New Roman" w:hAnsi="Times New Roman" w:eastAsia="Times New Roman"/>
          <w:position w:val="2"/>
        </w:rPr>
        <w:t>1m</w:t>
      </w:r>
      <w:r>
        <w:rPr>
          <w:rFonts w:ascii="Times New Roman" w:hAnsi="Times New Roman" w:eastAsia="Times New Roman"/>
          <w:spacing w:val="53"/>
          <w:position w:val="2"/>
        </w:rPr>
        <w:t> </w:t>
      </w:r>
      <w:r>
        <w:rPr>
          <w:position w:val="2"/>
        </w:rPr>
        <w:t>处泄漏射线的空气比释动能率，</w:t>
      </w:r>
      <w:r>
        <w:rPr>
          <w:rFonts w:ascii="Times New Roman" w:hAnsi="Times New Roman" w:eastAsia="Times New Roman"/>
          <w:position w:val="2"/>
        </w:rPr>
        <w:t>mGy/h</w:t>
      </w:r>
      <w:r>
        <w:rPr>
          <w:spacing w:val="-2"/>
          <w:position w:val="2"/>
        </w:rPr>
        <w:t>；根据《医用电气设备</w:t>
      </w:r>
      <w:r>
        <w:rPr>
          <w:spacing w:val="7"/>
        </w:rPr>
        <w:t>第 </w:t>
      </w:r>
      <w:r>
        <w:rPr>
          <w:rFonts w:ascii="Times New Roman" w:hAnsi="Times New Roman" w:eastAsia="Times New Roman"/>
        </w:rPr>
        <w:t>1 </w:t>
      </w:r>
      <w:r>
        <w:rPr>
          <w:spacing w:val="15"/>
        </w:rPr>
        <w:t>部分：安全通用要求 三</w:t>
      </w:r>
      <w:r>
        <w:rPr>
          <w:rFonts w:ascii="Times New Roman" w:hAnsi="Times New Roman" w:eastAsia="Times New Roman"/>
          <w:spacing w:val="16"/>
        </w:rPr>
        <w:t>.</w:t>
      </w:r>
      <w:r>
        <w:rPr>
          <w:spacing w:val="13"/>
        </w:rPr>
        <w:t>并列标准 诊断 </w:t>
      </w:r>
      <w:r>
        <w:rPr>
          <w:rFonts w:ascii="Times New Roman" w:hAnsi="Times New Roman" w:eastAsia="Times New Roman"/>
        </w:rPr>
        <w:t>X </w:t>
      </w:r>
      <w:r>
        <w:rPr>
          <w:spacing w:val="14"/>
        </w:rPr>
        <w:t>射线设备辐射防护通用要求》</w:t>
      </w:r>
    </w:p>
    <w:p>
      <w:pPr>
        <w:pStyle w:val="BodyText"/>
        <w:spacing w:line="364" w:lineRule="auto" w:before="2"/>
        <w:ind w:left="272" w:right="273"/>
      </w:pPr>
      <w:r>
        <w:rPr>
          <w:spacing w:val="-3"/>
        </w:rPr>
        <w:t>（</w:t>
      </w:r>
      <w:r>
        <w:rPr>
          <w:rFonts w:ascii="Times New Roman" w:eastAsia="Times New Roman"/>
          <w:spacing w:val="-3"/>
        </w:rPr>
        <w:t>GB9706.12-1997</w:t>
      </w:r>
      <w:r>
        <w:rPr>
          <w:spacing w:val="-3"/>
        </w:rPr>
        <w:t>）</w:t>
      </w:r>
      <w:r>
        <w:rPr>
          <w:spacing w:val="-31"/>
        </w:rPr>
        <w:t>中 </w:t>
      </w:r>
      <w:r>
        <w:rPr>
          <w:rFonts w:ascii="Times New Roman" w:eastAsia="Times New Roman"/>
        </w:rPr>
        <w:t>29.204.3 </w:t>
      </w:r>
      <w:r>
        <w:rPr>
          <w:spacing w:val="-11"/>
        </w:rPr>
        <w:t>的相应要求，取本项目 </w:t>
      </w:r>
      <w:r>
        <w:rPr>
          <w:rFonts w:ascii="Times New Roman" w:eastAsia="Times New Roman"/>
        </w:rPr>
        <w:t>DSA </w:t>
      </w:r>
      <w:r>
        <w:rPr>
          <w:spacing w:val="-15"/>
        </w:rPr>
        <w:t>离焦点 </w:t>
      </w:r>
      <w:r>
        <w:rPr>
          <w:rFonts w:ascii="Times New Roman" w:eastAsia="Times New Roman"/>
        </w:rPr>
        <w:t>1m </w:t>
      </w:r>
      <w:r>
        <w:rPr>
          <w:spacing w:val="-2"/>
        </w:rPr>
        <w:t>处的泄漏辐射</w:t>
      </w:r>
      <w:r>
        <w:rPr>
          <w:spacing w:val="-7"/>
        </w:rPr>
        <w:t>空气比释动能率为 </w:t>
      </w:r>
      <w:r>
        <w:rPr>
          <w:rFonts w:ascii="Times New Roman" w:eastAsia="Times New Roman"/>
        </w:rPr>
        <w:t>1.0mGy/h</w:t>
      </w:r>
      <w:r>
        <w:rPr/>
        <w:t>。</w:t>
      </w:r>
    </w:p>
    <w:p>
      <w:pPr>
        <w:pStyle w:val="BodyText"/>
        <w:spacing w:before="1"/>
        <w:ind w:left="1232"/>
      </w:pPr>
      <w:r>
        <w:rPr>
          <w:rFonts w:ascii="Times New Roman" w:hAnsi="Times New Roman" w:eastAsia="Times New Roman"/>
        </w:rPr>
        <w:t>B—</w:t>
      </w:r>
      <w:r>
        <w:rPr/>
        <w:t>介入治疗室各屏蔽体的泄漏射线屏蔽透射因子；</w:t>
      </w:r>
    </w:p>
    <w:p>
      <w:pPr>
        <w:pStyle w:val="BodyText"/>
        <w:spacing w:before="161"/>
        <w:ind w:left="1232"/>
      </w:pPr>
      <w:r>
        <w:rPr>
          <w:rFonts w:ascii="Times New Roman" w:hAnsi="Times New Roman" w:eastAsia="Times New Roman"/>
        </w:rPr>
        <w:t>r—</w:t>
      </w:r>
      <w:r>
        <w:rPr/>
        <w:t>受照体至关注点的距离。</w:t>
      </w:r>
    </w:p>
    <w:p>
      <w:pPr>
        <w:pStyle w:val="ListParagraph"/>
        <w:numPr>
          <w:ilvl w:val="0"/>
          <w:numId w:val="20"/>
        </w:numPr>
        <w:tabs>
          <w:tab w:pos="1337" w:val="left" w:leader="none"/>
        </w:tabs>
        <w:spacing w:line="240" w:lineRule="auto" w:before="160" w:after="0"/>
        <w:ind w:left="1336" w:right="0" w:hanging="594"/>
        <w:jc w:val="left"/>
        <w:rPr>
          <w:sz w:val="24"/>
        </w:rPr>
      </w:pPr>
      <w:r>
        <w:rPr>
          <w:spacing w:val="-6"/>
          <w:sz w:val="24"/>
        </w:rPr>
        <w:t>预测参数选取</w:t>
      </w:r>
      <w:r>
        <w:rPr>
          <w:w w:val="50"/>
          <w:sz w:val="24"/>
        </w:rPr>
        <w:t> </w:t>
      </w:r>
    </w:p>
    <w:p>
      <w:pPr>
        <w:pStyle w:val="BodyText"/>
        <w:spacing w:before="161"/>
        <w:ind w:left="975"/>
      </w:pPr>
      <w:r>
        <w:rPr/>
        <w:t>介入治疗室预测点选取如下：</w:t>
      </w:r>
    </w:p>
    <w:p>
      <w:pPr>
        <w:pStyle w:val="BodyText"/>
        <w:spacing w:before="160"/>
        <w:ind w:left="740"/>
      </w:pPr>
      <w:r>
        <w:rPr>
          <w:rFonts w:ascii="Times New Roman" w:eastAsia="Times New Roman"/>
        </w:rPr>
        <w:t>1#-</w:t>
      </w:r>
      <w:r>
        <w:rPr/>
        <w:t>东侧污物传递窗外 </w:t>
      </w:r>
      <w:r>
        <w:rPr>
          <w:rFonts w:ascii="Times New Roman" w:eastAsia="Times New Roman"/>
        </w:rPr>
        <w:t>30cm </w:t>
      </w:r>
      <w:r>
        <w:rPr/>
        <w:t>处，污物通道间；</w:t>
      </w:r>
    </w:p>
    <w:p>
      <w:pPr>
        <w:pStyle w:val="BodyText"/>
        <w:spacing w:before="161"/>
        <w:ind w:left="740"/>
      </w:pPr>
      <w:r>
        <w:rPr>
          <w:rFonts w:ascii="Times New Roman" w:eastAsia="Times New Roman"/>
        </w:rPr>
        <w:t>2#-</w:t>
      </w:r>
      <w:r>
        <w:rPr/>
        <w:t>东侧屏蔽墙外 </w:t>
      </w:r>
      <w:r>
        <w:rPr>
          <w:rFonts w:ascii="Times New Roman" w:eastAsia="Times New Roman"/>
        </w:rPr>
        <w:t>30cm </w:t>
      </w:r>
      <w:r>
        <w:rPr/>
        <w:t>处，污物通道间；</w:t>
      </w:r>
    </w:p>
    <w:p>
      <w:pPr>
        <w:pStyle w:val="BodyText"/>
        <w:spacing w:before="160"/>
        <w:ind w:left="740"/>
      </w:pPr>
      <w:r>
        <w:rPr>
          <w:rFonts w:ascii="Times New Roman" w:eastAsia="Times New Roman"/>
        </w:rPr>
        <w:t>3#-</w:t>
      </w:r>
      <w:r>
        <w:rPr/>
        <w:t>东侧屏蔽墙外 </w:t>
      </w:r>
      <w:r>
        <w:rPr>
          <w:rFonts w:ascii="Times New Roman" w:eastAsia="Times New Roman"/>
        </w:rPr>
        <w:t>30cm </w:t>
      </w:r>
      <w:r>
        <w:rPr/>
        <w:t>处，洗瓶室（药剂楼）；</w:t>
      </w:r>
    </w:p>
    <w:p>
      <w:pPr>
        <w:pStyle w:val="BodyText"/>
        <w:spacing w:before="161"/>
        <w:ind w:left="740"/>
      </w:pPr>
      <w:r>
        <w:rPr>
          <w:rFonts w:ascii="Times New Roman" w:eastAsia="Times New Roman"/>
        </w:rPr>
        <w:t>4#-</w:t>
      </w:r>
      <w:r>
        <w:rPr/>
        <w:t>南侧屏蔽墙外 </w:t>
      </w:r>
      <w:r>
        <w:rPr>
          <w:rFonts w:ascii="Times New Roman" w:eastAsia="Times New Roman"/>
        </w:rPr>
        <w:t>30cm </w:t>
      </w:r>
      <w:r>
        <w:rPr/>
        <w:t>处，通道（药剂楼）；</w:t>
      </w:r>
    </w:p>
    <w:p>
      <w:pPr>
        <w:pStyle w:val="BodyText"/>
        <w:spacing w:before="160"/>
        <w:ind w:left="740"/>
      </w:pPr>
      <w:r>
        <w:rPr>
          <w:rFonts w:ascii="Times New Roman" w:eastAsia="Times New Roman"/>
        </w:rPr>
        <w:t>5#-</w:t>
      </w:r>
      <w:r>
        <w:rPr/>
        <w:t>西侧防护门外 </w:t>
      </w:r>
      <w:r>
        <w:rPr>
          <w:rFonts w:ascii="Times New Roman" w:eastAsia="Times New Roman"/>
        </w:rPr>
        <w:t>30cm </w:t>
      </w:r>
      <w:r>
        <w:rPr/>
        <w:t>处，控制室；</w:t>
      </w:r>
    </w:p>
    <w:p>
      <w:pPr>
        <w:spacing w:after="0"/>
        <w:sectPr>
          <w:type w:val="continuous"/>
          <w:pgSz w:w="11910" w:h="16840"/>
          <w:pgMar w:top="1580" w:bottom="280" w:left="1480" w:right="1020"/>
        </w:sectPr>
      </w:pPr>
    </w:p>
    <w:p>
      <w:pPr>
        <w:pStyle w:val="BodyText"/>
        <w:spacing w:before="100"/>
        <w:ind w:left="740"/>
      </w:pPr>
      <w:r>
        <w:rPr/>
        <w:pict>
          <v:group style="position:absolute;margin-left:81.959999pt;margin-top:62.399937pt;width:454.2pt;height:716.2pt;mso-position-horizontal-relative:page;mso-position-vertical-relative:page;z-index:-211216" coordorigin="1639,1248" coordsize="9084,14324">
            <v:line style="position:absolute" from="1639,1253" to="10714,1253" stroked="true" strokeweight=".479999pt" strokecolor="#000000">
              <v:stroke dashstyle="solid"/>
            </v:line>
            <v:line style="position:absolute" from="1644,1258" to="1644,15571" stroked="true" strokeweight=".479999pt" strokecolor="#000000">
              <v:stroke dashstyle="solid"/>
            </v:line>
            <v:line style="position:absolute" from="1639,15566" to="10714,15566" stroked="true" strokeweight=".480011pt" strokecolor="#000000">
              <v:stroke dashstyle="solid"/>
            </v:line>
            <v:line style="position:absolute" from="10718,1248" to="10718,15571" stroked="true" strokeweight=".480011pt" strokecolor="#000000">
              <v:stroke dashstyle="solid"/>
            </v:line>
            <v:shape style="position:absolute;left:1776;top:4569;width:8804;height:3648" type="#_x0000_t75" stroked="false">
              <v:imagedata r:id="rId53" o:title=""/>
            </v:shape>
            <w10:wrap type="none"/>
          </v:group>
        </w:pict>
      </w:r>
      <w:r>
        <w:rPr>
          <w:rFonts w:ascii="Times New Roman" w:eastAsia="Times New Roman"/>
          <w:spacing w:val="-4"/>
        </w:rPr>
        <w:t>6#-</w:t>
      </w:r>
      <w:r>
        <w:rPr>
          <w:spacing w:val="-16"/>
        </w:rPr>
        <w:t>西侧屏蔽墙外 </w:t>
      </w:r>
      <w:r>
        <w:rPr>
          <w:rFonts w:ascii="Times New Roman" w:eastAsia="Times New Roman"/>
          <w:spacing w:val="-3"/>
        </w:rPr>
        <w:t>30cm</w:t>
      </w:r>
      <w:r>
        <w:rPr>
          <w:rFonts w:ascii="Times New Roman" w:eastAsia="Times New Roman"/>
          <w:spacing w:val="-5"/>
        </w:rPr>
        <w:t> </w:t>
      </w:r>
      <w:r>
        <w:rPr>
          <w:spacing w:val="-6"/>
        </w:rPr>
        <w:t>处，控制室；</w:t>
      </w:r>
    </w:p>
    <w:p>
      <w:pPr>
        <w:pStyle w:val="BodyText"/>
        <w:spacing w:before="161"/>
        <w:ind w:left="740"/>
      </w:pPr>
      <w:r>
        <w:rPr>
          <w:rFonts w:ascii="Times New Roman" w:eastAsia="Times New Roman"/>
          <w:spacing w:val="-4"/>
        </w:rPr>
        <w:t>7#-</w:t>
      </w:r>
      <w:r>
        <w:rPr>
          <w:spacing w:val="-16"/>
        </w:rPr>
        <w:t>西侧铅玻璃外 </w:t>
      </w:r>
      <w:r>
        <w:rPr>
          <w:rFonts w:ascii="Times New Roman" w:eastAsia="Times New Roman"/>
          <w:spacing w:val="-3"/>
        </w:rPr>
        <w:t>30cm</w:t>
      </w:r>
      <w:r>
        <w:rPr>
          <w:rFonts w:ascii="Times New Roman" w:eastAsia="Times New Roman"/>
          <w:spacing w:val="-5"/>
        </w:rPr>
        <w:t> </w:t>
      </w:r>
      <w:r>
        <w:rPr>
          <w:spacing w:val="-6"/>
        </w:rPr>
        <w:t>处，控制室；</w:t>
      </w:r>
    </w:p>
    <w:p>
      <w:pPr>
        <w:pStyle w:val="BodyText"/>
        <w:spacing w:before="160"/>
        <w:ind w:left="740"/>
      </w:pPr>
      <w:r>
        <w:rPr>
          <w:rFonts w:ascii="Times New Roman" w:eastAsia="Times New Roman"/>
          <w:spacing w:val="-4"/>
        </w:rPr>
        <w:t>8#-</w:t>
      </w:r>
      <w:r>
        <w:rPr>
          <w:spacing w:val="-16"/>
        </w:rPr>
        <w:t>西侧屏蔽墙外 </w:t>
      </w:r>
      <w:r>
        <w:rPr>
          <w:rFonts w:ascii="Times New Roman" w:eastAsia="Times New Roman"/>
          <w:spacing w:val="-3"/>
        </w:rPr>
        <w:t>30cm</w:t>
      </w:r>
      <w:r>
        <w:rPr>
          <w:rFonts w:ascii="Times New Roman" w:eastAsia="Times New Roman"/>
          <w:spacing w:val="-5"/>
        </w:rPr>
        <w:t> </w:t>
      </w:r>
      <w:r>
        <w:rPr>
          <w:spacing w:val="-6"/>
        </w:rPr>
        <w:t>处，设备间；</w:t>
      </w:r>
    </w:p>
    <w:p>
      <w:pPr>
        <w:pStyle w:val="BodyText"/>
        <w:spacing w:before="161"/>
        <w:ind w:left="740"/>
      </w:pPr>
      <w:r>
        <w:rPr>
          <w:rFonts w:ascii="Times New Roman" w:eastAsia="Times New Roman"/>
        </w:rPr>
        <w:t>9#-</w:t>
      </w:r>
      <w:r>
        <w:rPr/>
        <w:t>北侧屏蔽墙外 </w:t>
      </w:r>
      <w:r>
        <w:rPr>
          <w:rFonts w:ascii="Times New Roman" w:eastAsia="Times New Roman"/>
        </w:rPr>
        <w:t>30cm </w:t>
      </w:r>
      <w:r>
        <w:rPr/>
        <w:t>处，医生通道；</w:t>
      </w:r>
    </w:p>
    <w:p>
      <w:pPr>
        <w:pStyle w:val="BodyText"/>
        <w:spacing w:before="160"/>
        <w:ind w:left="740"/>
      </w:pPr>
      <w:r>
        <w:rPr>
          <w:rFonts w:ascii="Times New Roman" w:eastAsia="Times New Roman"/>
        </w:rPr>
        <w:t>10#-</w:t>
      </w:r>
      <w:r>
        <w:rPr/>
        <w:t>北侧防护门外 </w:t>
      </w:r>
      <w:r>
        <w:rPr>
          <w:rFonts w:ascii="Times New Roman" w:eastAsia="Times New Roman"/>
        </w:rPr>
        <w:t>30cm </w:t>
      </w:r>
      <w:r>
        <w:rPr/>
        <w:t>处，病员通道及家属等候区；</w:t>
      </w:r>
    </w:p>
    <w:p>
      <w:pPr>
        <w:pStyle w:val="BodyText"/>
        <w:spacing w:before="161"/>
        <w:ind w:left="752"/>
      </w:pPr>
      <w:r>
        <w:rPr>
          <w:rFonts w:ascii="Times New Roman" w:eastAsia="Times New Roman"/>
        </w:rPr>
        <w:t>11#-</w:t>
      </w:r>
      <w:r>
        <w:rPr/>
        <w:t>第一术者位；</w:t>
      </w:r>
      <w:r>
        <w:rPr>
          <w:rFonts w:ascii="Times New Roman" w:eastAsia="Times New Roman"/>
        </w:rPr>
        <w:t>12#-</w:t>
      </w:r>
      <w:r>
        <w:rPr/>
        <w:t>第二术者位。</w:t>
      </w:r>
    </w:p>
    <w:p>
      <w:pPr>
        <w:pStyle w:val="BodyText"/>
        <w:spacing w:before="160"/>
        <w:ind w:left="740"/>
      </w:pPr>
      <w:r>
        <w:rPr/>
        <w:t>共布设 </w:t>
      </w:r>
      <w:r>
        <w:rPr>
          <w:rFonts w:ascii="Times New Roman" w:eastAsia="Times New Roman"/>
        </w:rPr>
        <w:t>11 </w:t>
      </w:r>
      <w:r>
        <w:rPr/>
        <w:t>个预测点，预测点布设见图 </w:t>
      </w:r>
      <w:r>
        <w:rPr>
          <w:rFonts w:ascii="Times New Roman" w:eastAsia="Times New Roman"/>
        </w:rPr>
        <w:t>11-1 </w:t>
      </w:r>
      <w:r>
        <w:rPr/>
        <w:t>所示。</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30"/>
        </w:rPr>
      </w:pPr>
    </w:p>
    <w:p>
      <w:pPr>
        <w:spacing w:before="0"/>
        <w:ind w:left="2960" w:right="0" w:firstLine="0"/>
        <w:jc w:val="left"/>
        <w:rPr>
          <w:sz w:val="21"/>
        </w:rPr>
      </w:pPr>
      <w:r>
        <w:rPr>
          <w:spacing w:val="-30"/>
          <w:sz w:val="21"/>
        </w:rPr>
        <w:t>图 </w:t>
      </w:r>
      <w:r>
        <w:rPr>
          <w:rFonts w:ascii="Times New Roman" w:eastAsia="Times New Roman"/>
          <w:spacing w:val="-4"/>
          <w:sz w:val="21"/>
        </w:rPr>
        <w:t>11-1 </w:t>
      </w:r>
      <w:r>
        <w:rPr>
          <w:spacing w:val="-9"/>
          <w:sz w:val="21"/>
        </w:rPr>
        <w:t>介入治疗室预测点布设示意图</w:t>
      </w:r>
    </w:p>
    <w:p>
      <w:pPr>
        <w:pStyle w:val="BodyText"/>
        <w:spacing w:before="2"/>
        <w:rPr>
          <w:sz w:val="20"/>
        </w:rPr>
      </w:pPr>
    </w:p>
    <w:p>
      <w:pPr>
        <w:pStyle w:val="BodyText"/>
        <w:spacing w:line="364" w:lineRule="auto"/>
        <w:ind w:left="272" w:right="266" w:firstLine="468"/>
        <w:jc w:val="both"/>
      </w:pPr>
      <w:r>
        <w:rPr>
          <w:spacing w:val="14"/>
        </w:rPr>
        <w:t>本项目</w:t>
      </w:r>
      <w:r>
        <w:rPr>
          <w:rFonts w:ascii="Times New Roman" w:eastAsia="Times New Roman"/>
          <w:spacing w:val="-3"/>
        </w:rPr>
        <w:t>DSA </w:t>
      </w:r>
      <w:r>
        <w:rPr>
          <w:spacing w:val="-16"/>
        </w:rPr>
        <w:t>最大管电压为 </w:t>
      </w:r>
      <w:r>
        <w:rPr>
          <w:rFonts w:ascii="Times New Roman" w:eastAsia="Times New Roman"/>
          <w:spacing w:val="-10"/>
        </w:rPr>
        <w:t>125kV</w:t>
      </w:r>
      <w:r>
        <w:rPr>
          <w:spacing w:val="-15"/>
        </w:rPr>
        <w:t>，最大管电流为 </w:t>
      </w:r>
      <w:r>
        <w:rPr>
          <w:rFonts w:ascii="Times New Roman" w:eastAsia="Times New Roman"/>
          <w:spacing w:val="-9"/>
        </w:rPr>
        <w:t>1000mA</w:t>
      </w:r>
      <w:r>
        <w:rPr>
          <w:spacing w:val="-11"/>
        </w:rPr>
        <w:t>，但实际使用时，为防止</w:t>
      </w:r>
      <w:r>
        <w:rPr>
          <w:spacing w:val="-7"/>
        </w:rPr>
        <w:t>球管烧毁并延长其使用寿命，管电压和功率通常预留 </w:t>
      </w:r>
      <w:r>
        <w:rPr>
          <w:rFonts w:ascii="Times New Roman" w:eastAsia="Times New Roman"/>
          <w:spacing w:val="-4"/>
        </w:rPr>
        <w:t>20%~30%</w:t>
      </w:r>
      <w:r>
        <w:rPr>
          <w:spacing w:val="-7"/>
        </w:rPr>
        <w:t>的余量，即管电压控制</w:t>
      </w:r>
      <w:r>
        <w:rPr>
          <w:spacing w:val="-38"/>
        </w:rPr>
        <w:t>在 </w:t>
      </w:r>
      <w:r>
        <w:rPr>
          <w:rFonts w:ascii="Times New Roman" w:eastAsia="Times New Roman"/>
          <w:spacing w:val="-3"/>
        </w:rPr>
        <w:t>100kV </w:t>
      </w:r>
      <w:r>
        <w:rPr>
          <w:spacing w:val="-5"/>
        </w:rPr>
        <w:t>以下。</w:t>
      </w:r>
    </w:p>
    <w:p>
      <w:pPr>
        <w:pStyle w:val="BodyText"/>
        <w:spacing w:line="312" w:lineRule="auto"/>
        <w:ind w:left="272" w:right="149" w:firstLine="468"/>
        <w:jc w:val="both"/>
      </w:pPr>
      <w:r>
        <w:rPr>
          <w:spacing w:val="-8"/>
        </w:rPr>
        <w:t>根据医院提供信息</w:t>
      </w:r>
      <w:r>
        <w:rPr>
          <w:color w:val="FF0000"/>
          <w:spacing w:val="-8"/>
        </w:rPr>
        <w:t>，</w:t>
      </w:r>
      <w:r>
        <w:rPr>
          <w:spacing w:val="-16"/>
        </w:rPr>
        <w:t>当 </w:t>
      </w:r>
      <w:r>
        <w:rPr>
          <w:rFonts w:ascii="Times New Roman" w:eastAsia="Times New Roman"/>
        </w:rPr>
        <w:t>DSA </w:t>
      </w:r>
      <w:r>
        <w:rPr>
          <w:spacing w:val="-8"/>
        </w:rPr>
        <w:t>运行管电压为额定电压的极端情况时，透视模式下的</w:t>
      </w:r>
      <w:r>
        <w:rPr>
          <w:spacing w:val="-16"/>
        </w:rPr>
        <w:t>电流不大于 </w:t>
      </w:r>
      <w:r>
        <w:rPr>
          <w:rFonts w:ascii="Times New Roman" w:eastAsia="Times New Roman"/>
          <w:spacing w:val="-4"/>
        </w:rPr>
        <w:t>110mA</w:t>
      </w:r>
      <w:r>
        <w:rPr>
          <w:spacing w:val="-13"/>
        </w:rPr>
        <w:t>，拍片模式下的电流不大于 </w:t>
      </w:r>
      <w:r>
        <w:rPr>
          <w:rFonts w:ascii="Times New Roman" w:eastAsia="Times New Roman"/>
          <w:spacing w:val="-3"/>
        </w:rPr>
        <w:t>500mA</w:t>
      </w:r>
      <w:r>
        <w:rPr>
          <w:spacing w:val="-3"/>
        </w:rPr>
        <w:t>；</w:t>
      </w:r>
      <w:r>
        <w:rPr>
          <w:rFonts w:ascii="Times New Roman" w:eastAsia="Times New Roman"/>
          <w:spacing w:val="-3"/>
        </w:rPr>
        <w:t>DSA </w:t>
      </w:r>
      <w:r>
        <w:rPr>
          <w:spacing w:val="-8"/>
        </w:rPr>
        <w:t>正常运行时，透视模式的</w:t>
      </w:r>
      <w:r>
        <w:rPr>
          <w:spacing w:val="-17"/>
        </w:rPr>
        <w:t>工况为</w:t>
      </w:r>
      <w:r>
        <w:rPr>
          <w:spacing w:val="-11"/>
        </w:rPr>
        <w:t>（</w:t>
      </w:r>
      <w:r>
        <w:rPr>
          <w:rFonts w:ascii="Times New Roman" w:eastAsia="Times New Roman"/>
          <w:spacing w:val="-11"/>
        </w:rPr>
        <w:t>60</w:t>
      </w:r>
      <w:r>
        <w:rPr>
          <w:spacing w:val="-11"/>
        </w:rPr>
        <w:t>～</w:t>
      </w:r>
      <w:r>
        <w:rPr>
          <w:rFonts w:ascii="Times New Roman" w:eastAsia="Times New Roman"/>
          <w:spacing w:val="-11"/>
        </w:rPr>
        <w:t>90</w:t>
      </w:r>
      <w:r>
        <w:rPr>
          <w:spacing w:val="-11"/>
        </w:rPr>
        <w:t>）</w:t>
      </w:r>
      <w:r>
        <w:rPr>
          <w:rFonts w:ascii="Times New Roman" w:eastAsia="Times New Roman"/>
          <w:spacing w:val="-11"/>
        </w:rPr>
        <w:t>kV/</w:t>
      </w:r>
      <w:r>
        <w:rPr>
          <w:spacing w:val="-11"/>
        </w:rPr>
        <w:t>（</w:t>
      </w:r>
      <w:r>
        <w:rPr>
          <w:rFonts w:ascii="Times New Roman" w:eastAsia="Times New Roman"/>
          <w:spacing w:val="-11"/>
        </w:rPr>
        <w:t>5</w:t>
      </w:r>
      <w:r>
        <w:rPr>
          <w:spacing w:val="-11"/>
        </w:rPr>
        <w:t>～</w:t>
      </w:r>
      <w:r>
        <w:rPr>
          <w:rFonts w:ascii="Times New Roman" w:eastAsia="Times New Roman"/>
          <w:spacing w:val="-11"/>
        </w:rPr>
        <w:t>20</w:t>
      </w:r>
      <w:r>
        <w:rPr>
          <w:spacing w:val="-11"/>
        </w:rPr>
        <w:t>）</w:t>
      </w:r>
      <w:r>
        <w:rPr>
          <w:rFonts w:ascii="Times New Roman" w:eastAsia="Times New Roman"/>
          <w:spacing w:val="-11"/>
        </w:rPr>
        <w:t>mA</w:t>
      </w:r>
      <w:r>
        <w:rPr>
          <w:spacing w:val="-12"/>
        </w:rPr>
        <w:t>，拍片模式的工况为</w:t>
      </w:r>
      <w:r>
        <w:rPr>
          <w:spacing w:val="-9"/>
        </w:rPr>
        <w:t>（</w:t>
      </w:r>
      <w:r>
        <w:rPr>
          <w:rFonts w:ascii="Times New Roman" w:eastAsia="Times New Roman"/>
          <w:spacing w:val="-9"/>
        </w:rPr>
        <w:t>60</w:t>
      </w:r>
      <w:r>
        <w:rPr>
          <w:spacing w:val="-9"/>
        </w:rPr>
        <w:t>～</w:t>
      </w:r>
      <w:r>
        <w:rPr>
          <w:rFonts w:ascii="Times New Roman" w:eastAsia="Times New Roman"/>
          <w:spacing w:val="-9"/>
        </w:rPr>
        <w:t>90</w:t>
      </w:r>
      <w:r>
        <w:rPr>
          <w:spacing w:val="-9"/>
        </w:rPr>
        <w:t>）</w:t>
      </w:r>
      <w:r>
        <w:rPr>
          <w:rFonts w:ascii="Times New Roman" w:eastAsia="Times New Roman"/>
          <w:spacing w:val="-9"/>
        </w:rPr>
        <w:t>kV/</w:t>
      </w:r>
      <w:r>
        <w:rPr>
          <w:spacing w:val="-9"/>
        </w:rPr>
        <w:t>（</w:t>
      </w:r>
      <w:r>
        <w:rPr>
          <w:rFonts w:ascii="Times New Roman" w:eastAsia="Times New Roman"/>
          <w:spacing w:val="-9"/>
        </w:rPr>
        <w:t>100</w:t>
      </w:r>
      <w:r>
        <w:rPr>
          <w:spacing w:val="-9"/>
        </w:rPr>
        <w:t>～</w:t>
      </w:r>
      <w:r>
        <w:rPr>
          <w:rFonts w:ascii="Times New Roman" w:eastAsia="Times New Roman"/>
          <w:spacing w:val="-9"/>
        </w:rPr>
        <w:t>500</w:t>
      </w:r>
      <w:r>
        <w:rPr>
          <w:spacing w:val="-9"/>
        </w:rPr>
        <w:t>）</w:t>
      </w:r>
      <w:r>
        <w:rPr>
          <w:rFonts w:ascii="Times New Roman" w:eastAsia="Times New Roman"/>
          <w:spacing w:val="-9"/>
        </w:rPr>
        <w:t>mA</w:t>
      </w:r>
      <w:r>
        <w:rPr/>
        <w:t>。</w:t>
      </w:r>
    </w:p>
    <w:p>
      <w:pPr>
        <w:pStyle w:val="BodyText"/>
        <w:spacing w:line="364" w:lineRule="auto" w:before="2"/>
        <w:ind w:left="272" w:right="266" w:firstLine="468"/>
        <w:jc w:val="both"/>
      </w:pPr>
      <w:r>
        <w:rPr>
          <w:spacing w:val="-13"/>
        </w:rPr>
        <w:t>故隔室拍片时 </w:t>
      </w:r>
      <w:r>
        <w:rPr>
          <w:rFonts w:ascii="Times New Roman" w:eastAsia="Times New Roman"/>
          <w:spacing w:val="-3"/>
        </w:rPr>
        <w:t>DSA </w:t>
      </w:r>
      <w:r>
        <w:rPr>
          <w:spacing w:val="-11"/>
        </w:rPr>
        <w:t>设备的保守估计最大运行工况取 </w:t>
      </w:r>
      <w:r>
        <w:rPr>
          <w:rFonts w:ascii="Times New Roman" w:eastAsia="Times New Roman"/>
          <w:spacing w:val="-4"/>
        </w:rPr>
        <w:t>90kV/500mA</w:t>
      </w:r>
      <w:r>
        <w:rPr>
          <w:spacing w:val="-13"/>
        </w:rPr>
        <w:t>；在透视时 </w:t>
      </w:r>
      <w:r>
        <w:rPr>
          <w:rFonts w:ascii="Times New Roman" w:eastAsia="Times New Roman"/>
          <w:spacing w:val="-3"/>
        </w:rPr>
        <w:t>DSA </w:t>
      </w:r>
      <w:r>
        <w:rPr>
          <w:spacing w:val="-14"/>
        </w:rPr>
        <w:t>设备的最大运行工况为 </w:t>
      </w:r>
      <w:r>
        <w:rPr>
          <w:rFonts w:ascii="Times New Roman" w:eastAsia="Times New Roman"/>
          <w:spacing w:val="-4"/>
        </w:rPr>
        <w:t>90kV/20mA</w:t>
      </w:r>
      <w:r>
        <w:rPr>
          <w:spacing w:val="-16"/>
        </w:rPr>
        <w:t>。在进行介入手术时，</w:t>
      </w:r>
      <w:r>
        <w:rPr>
          <w:rFonts w:ascii="Times New Roman" w:eastAsia="Times New Roman"/>
          <w:spacing w:val="-26"/>
        </w:rPr>
        <w:t>X </w:t>
      </w:r>
      <w:r>
        <w:rPr>
          <w:spacing w:val="-8"/>
        </w:rPr>
        <w:t>线系统通常以透视照射模式</w:t>
      </w:r>
      <w:r>
        <w:rPr>
          <w:spacing w:val="-22"/>
        </w:rPr>
        <w:t>运行，因此对 </w:t>
      </w:r>
      <w:r>
        <w:rPr>
          <w:rFonts w:ascii="Times New Roman" w:eastAsia="Times New Roman"/>
        </w:rPr>
        <w:t>X </w:t>
      </w:r>
      <w:r>
        <w:rPr>
          <w:spacing w:val="-11"/>
        </w:rPr>
        <w:t>线系统的辐射影响进行预测时，主要考虑脉冲透视过程进行保守防护预</w:t>
      </w:r>
      <w:r>
        <w:rPr>
          <w:spacing w:val="-3"/>
        </w:rPr>
        <w:t>测。</w:t>
      </w:r>
    </w:p>
    <w:p>
      <w:pPr>
        <w:pStyle w:val="BodyText"/>
        <w:spacing w:line="364" w:lineRule="auto" w:before="3"/>
        <w:ind w:left="272" w:right="269" w:firstLine="480"/>
        <w:jc w:val="both"/>
        <w:rPr>
          <w:rFonts w:ascii="Times New Roman" w:hAnsi="Times New Roman" w:eastAsia="Times New Roman"/>
        </w:rPr>
      </w:pPr>
      <w:r>
        <w:rPr>
          <w:spacing w:val="-1"/>
        </w:rPr>
        <w:t>本次评价按照常用最大工况进行预测</w:t>
      </w:r>
      <w:r>
        <w:rPr/>
        <w:t>（</w:t>
      </w:r>
      <w:r>
        <w:rPr>
          <w:rFonts w:ascii="Times New Roman" w:hAnsi="Times New Roman" w:eastAsia="Times New Roman"/>
        </w:rPr>
        <w:t>DSA </w:t>
      </w:r>
      <w:r>
        <w:rPr>
          <w:spacing w:val="-10"/>
        </w:rPr>
        <w:t>最大管电压为 </w:t>
      </w:r>
      <w:r>
        <w:rPr>
          <w:rFonts w:ascii="Times New Roman" w:hAnsi="Times New Roman" w:eastAsia="Times New Roman"/>
        </w:rPr>
        <w:t>90kV</w:t>
      </w:r>
      <w:r>
        <w:rPr/>
        <w:t>），</w:t>
      </w:r>
      <w:r>
        <w:rPr>
          <w:rFonts w:ascii="Times New Roman" w:hAnsi="Times New Roman" w:eastAsia="Times New Roman"/>
        </w:rPr>
        <w:t>DSA </w:t>
      </w:r>
      <w:r>
        <w:rPr/>
        <w:t>过滤板</w:t>
      </w:r>
      <w:r>
        <w:rPr>
          <w:spacing w:val="-20"/>
        </w:rPr>
        <w:t>采用 </w:t>
      </w:r>
      <w:r>
        <w:rPr>
          <w:rFonts w:ascii="Times New Roman" w:hAnsi="Times New Roman" w:eastAsia="Times New Roman"/>
          <w:spacing w:val="-6"/>
        </w:rPr>
        <w:t>3mmAl</w:t>
      </w:r>
      <w:r>
        <w:rPr>
          <w:spacing w:val="-6"/>
        </w:rPr>
        <w:t>，根据《辐射防护导论</w:t>
      </w:r>
      <w:r>
        <w:rPr>
          <w:spacing w:val="-152"/>
        </w:rPr>
        <w:t>》</w:t>
      </w:r>
      <w:r>
        <w:rPr/>
        <w:t>（方杰著</w:t>
      </w:r>
      <w:r>
        <w:rPr>
          <w:spacing w:val="-32"/>
        </w:rPr>
        <w:t>）</w:t>
      </w:r>
      <w:r>
        <w:rPr>
          <w:spacing w:val="-20"/>
        </w:rPr>
        <w:t>附图 </w:t>
      </w:r>
      <w:r>
        <w:rPr>
          <w:rFonts w:ascii="Times New Roman" w:hAnsi="Times New Roman" w:eastAsia="Times New Roman"/>
          <w:spacing w:val="-16"/>
        </w:rPr>
        <w:t>3</w:t>
      </w:r>
      <w:r>
        <w:rPr>
          <w:spacing w:val="-20"/>
        </w:rPr>
        <w:t>，离靶 </w:t>
      </w:r>
      <w:r>
        <w:rPr>
          <w:rFonts w:ascii="Times New Roman" w:hAnsi="Times New Roman" w:eastAsia="Times New Roman"/>
        </w:rPr>
        <w:t>1 </w:t>
      </w:r>
      <w:r>
        <w:rPr/>
        <w:t>米处的发射率常数保守</w:t>
      </w:r>
      <w:r>
        <w:rPr>
          <w:spacing w:val="-32"/>
        </w:rPr>
        <w:t>取 </w:t>
      </w:r>
      <w:r>
        <w:rPr>
          <w:rFonts w:ascii="Times New Roman" w:hAnsi="Times New Roman" w:eastAsia="Times New Roman"/>
        </w:rPr>
        <w:t>4mGy·m</w:t>
      </w:r>
      <w:r>
        <w:rPr>
          <w:rFonts w:ascii="Times New Roman" w:hAnsi="Times New Roman" w:eastAsia="Times New Roman"/>
          <w:position w:val="9"/>
          <w:sz w:val="16"/>
        </w:rPr>
        <w:t>2</w:t>
      </w:r>
      <w:r>
        <w:rPr>
          <w:rFonts w:ascii="Times New Roman" w:hAnsi="Times New Roman" w:eastAsia="Times New Roman"/>
        </w:rPr>
        <w:t>/mA·min</w:t>
      </w:r>
      <w:r>
        <w:rPr/>
        <w:t>（</w:t>
      </w:r>
      <w:r>
        <w:rPr>
          <w:spacing w:val="-32"/>
        </w:rPr>
        <w:t>即 </w:t>
      </w:r>
      <w:r>
        <w:rPr>
          <w:rFonts w:ascii="Times New Roman" w:hAnsi="Times New Roman" w:eastAsia="Times New Roman"/>
        </w:rPr>
        <w:t>240000μGy·m</w:t>
      </w:r>
      <w:r>
        <w:rPr>
          <w:rFonts w:ascii="Times New Roman" w:hAnsi="Times New Roman" w:eastAsia="Times New Roman"/>
          <w:position w:val="9"/>
          <w:sz w:val="16"/>
        </w:rPr>
        <w:t>2</w:t>
      </w:r>
      <w:r>
        <w:rPr>
          <w:rFonts w:ascii="Times New Roman" w:hAnsi="Times New Roman" w:eastAsia="Times New Roman"/>
        </w:rPr>
        <w:t>·mA</w:t>
      </w:r>
      <w:r>
        <w:rPr>
          <w:rFonts w:ascii="Times New Roman" w:hAnsi="Times New Roman" w:eastAsia="Times New Roman"/>
          <w:position w:val="9"/>
          <w:sz w:val="16"/>
        </w:rPr>
        <w:t>-1</w:t>
      </w:r>
      <w:r>
        <w:rPr>
          <w:rFonts w:ascii="Times New Roman" w:hAnsi="Times New Roman" w:eastAsia="Times New Roman"/>
        </w:rPr>
        <w:t>·h</w:t>
      </w:r>
      <w:r>
        <w:rPr>
          <w:rFonts w:ascii="Times New Roman" w:hAnsi="Times New Roman" w:eastAsia="Times New Roman"/>
          <w:position w:val="9"/>
          <w:sz w:val="16"/>
        </w:rPr>
        <w:t>-1</w:t>
      </w:r>
      <w:r>
        <w:rPr/>
        <w:t>）</w:t>
      </w:r>
      <w:r>
        <w:rPr>
          <w:spacing w:val="-3"/>
          <w:sz w:val="21"/>
        </w:rPr>
        <w:t>。</w:t>
      </w:r>
      <w:r>
        <w:rPr>
          <w:spacing w:val="-19"/>
        </w:rPr>
        <w:t>根据公式 </w:t>
      </w:r>
      <w:r>
        <w:rPr>
          <w:rFonts w:ascii="Times New Roman" w:hAnsi="Times New Roman" w:eastAsia="Times New Roman"/>
          <w:spacing w:val="-3"/>
        </w:rPr>
        <w:t>11-1 </w:t>
      </w:r>
      <w:r>
        <w:rPr>
          <w:spacing w:val="-7"/>
        </w:rPr>
        <w:t>可计算铅、混凝土</w:t>
      </w:r>
      <w:r>
        <w:rPr>
          <w:spacing w:val="57"/>
        </w:rPr>
        <w:t>对</w:t>
      </w:r>
      <w:r>
        <w:rPr>
          <w:rFonts w:ascii="Times New Roman" w:hAnsi="Times New Roman" w:eastAsia="Times New Roman"/>
        </w:rPr>
        <w:t>X </w:t>
      </w:r>
      <w:r>
        <w:rPr>
          <w:spacing w:val="-10"/>
        </w:rPr>
        <w:t>射线的减弱因子。各预测点的空间位置距离和屏蔽体厚度等相关预测参数见表 </w:t>
      </w:r>
      <w:r>
        <w:rPr>
          <w:rFonts w:ascii="Times New Roman" w:hAnsi="Times New Roman" w:eastAsia="Times New Roman"/>
          <w:spacing w:val="-3"/>
        </w:rPr>
        <w:t>11-</w:t>
      </w:r>
    </w:p>
    <w:p>
      <w:pPr>
        <w:pStyle w:val="BodyText"/>
        <w:spacing w:before="2"/>
        <w:ind w:left="272"/>
      </w:pPr>
      <w:r>
        <w:rPr>
          <w:rFonts w:ascii="Times New Roman" w:eastAsia="Times New Roman"/>
        </w:rPr>
        <w:t>4</w:t>
      </w:r>
      <w:r>
        <w:rPr/>
        <w:t>。</w:t>
      </w:r>
    </w:p>
    <w:p>
      <w:pPr>
        <w:spacing w:after="0"/>
        <w:sectPr>
          <w:pgSz w:w="11910" w:h="16840"/>
          <w:pgMar w:header="0" w:footer="881" w:top="1220" w:bottom="116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0"/>
        <w:gridCol w:w="763"/>
        <w:gridCol w:w="1274"/>
        <w:gridCol w:w="1159"/>
        <w:gridCol w:w="1159"/>
        <w:gridCol w:w="1121"/>
        <w:gridCol w:w="1198"/>
      </w:tblGrid>
      <w:tr>
        <w:trPr>
          <w:trHeight w:val="11821" w:hRule="atLeast"/>
        </w:trPr>
        <w:tc>
          <w:tcPr>
            <w:tcW w:w="9074" w:type="dxa"/>
            <w:gridSpan w:val="7"/>
            <w:tcBorders>
              <w:bottom w:val="single" w:sz="12" w:space="0" w:color="000000"/>
            </w:tcBorders>
          </w:tcPr>
          <w:p>
            <w:pPr>
              <w:pStyle w:val="TableParagraph"/>
              <w:spacing w:before="22"/>
              <w:ind w:left="2330" w:right="2315"/>
              <w:rPr>
                <w:sz w:val="21"/>
              </w:rPr>
            </w:pPr>
            <w:r>
              <w:rPr>
                <w:spacing w:val="-30"/>
                <w:sz w:val="21"/>
              </w:rPr>
              <w:t>表 </w:t>
            </w:r>
            <w:r>
              <w:rPr>
                <w:rFonts w:ascii="Times New Roman" w:eastAsia="Times New Roman"/>
                <w:spacing w:val="-4"/>
                <w:sz w:val="21"/>
              </w:rPr>
              <w:t>11-4 </w:t>
            </w:r>
            <w:r>
              <w:rPr>
                <w:spacing w:val="-9"/>
                <w:sz w:val="21"/>
              </w:rPr>
              <w:t>介入治疗室预测点相关预测参数</w:t>
            </w: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34"/>
              </w:rPr>
            </w:pPr>
          </w:p>
          <w:p>
            <w:pPr>
              <w:pStyle w:val="TableParagraph"/>
              <w:ind w:left="107"/>
              <w:jc w:val="left"/>
              <w:rPr>
                <w:sz w:val="18"/>
              </w:rPr>
            </w:pPr>
            <w:r>
              <w:rPr>
                <w:sz w:val="18"/>
              </w:rPr>
              <w:t>注：</w:t>
            </w:r>
            <w:r>
              <w:rPr>
                <w:rFonts w:ascii="Times New Roman" w:eastAsia="Times New Roman"/>
                <w:sz w:val="18"/>
              </w:rPr>
              <w:t>1.</w:t>
            </w:r>
            <w:r>
              <w:rPr>
                <w:sz w:val="18"/>
              </w:rPr>
              <w:t>减弱因子按照</w:t>
            </w:r>
            <w:r>
              <w:rPr>
                <w:rFonts w:ascii="Times New Roman" w:eastAsia="Times New Roman"/>
                <w:sz w:val="18"/>
              </w:rPr>
              <w:t>DSA </w:t>
            </w:r>
            <w:r>
              <w:rPr>
                <w:sz w:val="18"/>
              </w:rPr>
              <w:t>运行时常用工况（电压 </w:t>
            </w:r>
            <w:r>
              <w:rPr>
                <w:rFonts w:ascii="Times New Roman" w:eastAsia="Times New Roman"/>
                <w:sz w:val="18"/>
              </w:rPr>
              <w:t>90kV</w:t>
            </w:r>
            <w:r>
              <w:rPr>
                <w:sz w:val="18"/>
              </w:rPr>
              <w:t>）取值。</w:t>
            </w:r>
          </w:p>
          <w:p>
            <w:pPr>
              <w:pStyle w:val="TableParagraph"/>
              <w:spacing w:before="81"/>
              <w:ind w:left="455"/>
              <w:jc w:val="left"/>
              <w:rPr>
                <w:sz w:val="18"/>
              </w:rPr>
            </w:pPr>
            <w:r>
              <w:rPr>
                <w:rFonts w:ascii="Times New Roman" w:eastAsia="Times New Roman"/>
                <w:sz w:val="18"/>
              </w:rPr>
              <w:t>2.</w:t>
            </w:r>
            <w:r>
              <w:rPr>
                <w:sz w:val="18"/>
              </w:rPr>
              <w:t>介入治疗室正上方为行政楼天井，正下面为泥土层无地下室。</w:t>
            </w:r>
          </w:p>
          <w:p>
            <w:pPr>
              <w:pStyle w:val="TableParagraph"/>
              <w:spacing w:before="122"/>
              <w:ind w:left="578"/>
              <w:jc w:val="left"/>
              <w:rPr>
                <w:sz w:val="24"/>
              </w:rPr>
            </w:pPr>
            <w:r>
              <w:rPr>
                <w:sz w:val="24"/>
              </w:rPr>
              <w:t>（3）预测结果</w:t>
            </w:r>
            <w:r>
              <w:rPr>
                <w:w w:val="50"/>
                <w:sz w:val="24"/>
              </w:rPr>
              <w:t> </w:t>
            </w:r>
          </w:p>
          <w:p>
            <w:pPr>
              <w:pStyle w:val="TableParagraph"/>
              <w:spacing w:line="364" w:lineRule="auto" w:before="161"/>
              <w:ind w:left="107" w:right="88" w:firstLine="468"/>
              <w:jc w:val="both"/>
              <w:rPr>
                <w:sz w:val="24"/>
              </w:rPr>
            </w:pPr>
            <w:r>
              <w:rPr>
                <w:spacing w:val="-11"/>
                <w:sz w:val="24"/>
              </w:rPr>
              <w:t>根据上述给出的计算公式、预测参数和 </w:t>
            </w:r>
            <w:r>
              <w:rPr>
                <w:rFonts w:ascii="Times New Roman" w:eastAsia="Times New Roman"/>
                <w:spacing w:val="-3"/>
                <w:sz w:val="24"/>
              </w:rPr>
              <w:t>DSA </w:t>
            </w:r>
            <w:r>
              <w:rPr>
                <w:spacing w:val="-30"/>
                <w:sz w:val="24"/>
              </w:rPr>
              <w:t>的 </w:t>
            </w:r>
            <w:r>
              <w:rPr>
                <w:rFonts w:ascii="Times New Roman" w:eastAsia="Times New Roman"/>
                <w:sz w:val="24"/>
              </w:rPr>
              <w:t>X </w:t>
            </w:r>
            <w:r>
              <w:rPr>
                <w:spacing w:val="-8"/>
                <w:sz w:val="24"/>
              </w:rPr>
              <w:t>射线系统累计出束照射时间，在</w:t>
            </w:r>
            <w:r>
              <w:rPr>
                <w:spacing w:val="-12"/>
                <w:sz w:val="24"/>
              </w:rPr>
              <w:t>不考虑床板、人体等吸收射线的情况下，保守计算介入治疗室周围预测点剂量率估算结</w:t>
            </w:r>
            <w:r>
              <w:rPr>
                <w:spacing w:val="-14"/>
                <w:sz w:val="24"/>
              </w:rPr>
              <w:t>果，计算结果见表 </w:t>
            </w:r>
            <w:r>
              <w:rPr>
                <w:rFonts w:ascii="Times New Roman" w:eastAsia="Times New Roman"/>
                <w:spacing w:val="-4"/>
                <w:sz w:val="24"/>
              </w:rPr>
              <w:t>11-5</w:t>
            </w:r>
            <w:r>
              <w:rPr>
                <w:sz w:val="24"/>
              </w:rPr>
              <w:t>。</w:t>
            </w:r>
          </w:p>
          <w:p>
            <w:pPr>
              <w:pStyle w:val="TableParagraph"/>
              <w:spacing w:line="212" w:lineRule="exact"/>
              <w:ind w:left="2330" w:right="2319"/>
              <w:rPr>
                <w:sz w:val="21"/>
              </w:rPr>
            </w:pPr>
            <w:r>
              <w:rPr>
                <w:sz w:val="21"/>
              </w:rPr>
              <w:t>表 </w:t>
            </w:r>
            <w:r>
              <w:rPr>
                <w:rFonts w:ascii="Times New Roman" w:eastAsia="Times New Roman"/>
                <w:sz w:val="21"/>
              </w:rPr>
              <w:t>11-5  </w:t>
            </w:r>
            <w:r>
              <w:rPr>
                <w:sz w:val="21"/>
              </w:rPr>
              <w:t>介入治疗室周围预测点剂量率估算结果</w:t>
            </w:r>
          </w:p>
        </w:tc>
      </w:tr>
      <w:tr>
        <w:trPr>
          <w:trHeight w:val="371" w:hRule="atLeast"/>
        </w:trPr>
        <w:tc>
          <w:tcPr>
            <w:tcW w:w="4437" w:type="dxa"/>
            <w:gridSpan w:val="3"/>
            <w:tcBorders>
              <w:top w:val="single" w:sz="12" w:space="0" w:color="000000"/>
            </w:tcBorders>
          </w:tcPr>
          <w:p>
            <w:pPr>
              <w:pStyle w:val="TableParagraph"/>
              <w:spacing w:before="53"/>
              <w:ind w:left="1807" w:right="1739"/>
              <w:rPr>
                <w:sz w:val="21"/>
              </w:rPr>
            </w:pPr>
            <w:r>
              <w:rPr>
                <w:sz w:val="21"/>
              </w:rPr>
              <w:t>保护目标</w:t>
            </w:r>
          </w:p>
        </w:tc>
        <w:tc>
          <w:tcPr>
            <w:tcW w:w="4637" w:type="dxa"/>
            <w:gridSpan w:val="4"/>
            <w:tcBorders>
              <w:top w:val="single" w:sz="12" w:space="0" w:color="000000"/>
            </w:tcBorders>
          </w:tcPr>
          <w:p>
            <w:pPr>
              <w:pStyle w:val="TableParagraph"/>
              <w:spacing w:before="53"/>
              <w:ind w:left="806"/>
              <w:jc w:val="left"/>
              <w:rPr>
                <w:sz w:val="21"/>
              </w:rPr>
            </w:pPr>
            <w:r>
              <w:rPr>
                <w:rFonts w:ascii="Times New Roman" w:hAnsi="Times New Roman" w:eastAsia="Times New Roman"/>
                <w:sz w:val="21"/>
              </w:rPr>
              <w:t>X </w:t>
            </w:r>
            <w:r>
              <w:rPr>
                <w:sz w:val="21"/>
              </w:rPr>
              <w:t>射线空气吸收剂量率（</w:t>
            </w:r>
            <w:r>
              <w:rPr>
                <w:rFonts w:ascii="Times New Roman" w:hAnsi="Times New Roman" w:eastAsia="Times New Roman"/>
                <w:sz w:val="21"/>
              </w:rPr>
              <w:t>µGy/h</w:t>
            </w:r>
            <w:r>
              <w:rPr>
                <w:sz w:val="21"/>
              </w:rPr>
              <w:t>）</w:t>
            </w:r>
          </w:p>
        </w:tc>
      </w:tr>
      <w:tr>
        <w:trPr>
          <w:trHeight w:val="623" w:hRule="atLeast"/>
        </w:trPr>
        <w:tc>
          <w:tcPr>
            <w:tcW w:w="2400" w:type="dxa"/>
            <w:tcBorders>
              <w:bottom w:val="single" w:sz="12" w:space="0" w:color="000000"/>
            </w:tcBorders>
          </w:tcPr>
          <w:p>
            <w:pPr>
              <w:pStyle w:val="TableParagraph"/>
              <w:spacing w:before="178"/>
              <w:ind w:left="818"/>
              <w:jc w:val="left"/>
              <w:rPr>
                <w:sz w:val="21"/>
              </w:rPr>
            </w:pPr>
            <w:r>
              <w:rPr>
                <w:sz w:val="21"/>
              </w:rPr>
              <w:t>预测点位</w:t>
            </w:r>
          </w:p>
        </w:tc>
        <w:tc>
          <w:tcPr>
            <w:tcW w:w="763" w:type="dxa"/>
            <w:tcBorders>
              <w:bottom w:val="single" w:sz="12" w:space="0" w:color="000000"/>
            </w:tcBorders>
          </w:tcPr>
          <w:p>
            <w:pPr>
              <w:pStyle w:val="TableParagraph"/>
              <w:spacing w:before="178"/>
              <w:ind w:left="155" w:right="138"/>
              <w:rPr>
                <w:sz w:val="21"/>
              </w:rPr>
            </w:pPr>
            <w:r>
              <w:rPr>
                <w:sz w:val="21"/>
              </w:rPr>
              <w:t>模式</w:t>
            </w:r>
          </w:p>
        </w:tc>
        <w:tc>
          <w:tcPr>
            <w:tcW w:w="1274" w:type="dxa"/>
            <w:tcBorders>
              <w:bottom w:val="single" w:sz="12" w:space="0" w:color="000000"/>
            </w:tcBorders>
          </w:tcPr>
          <w:p>
            <w:pPr>
              <w:pStyle w:val="TableParagraph"/>
              <w:spacing w:before="22"/>
              <w:ind w:left="110"/>
              <w:jc w:val="left"/>
              <w:rPr>
                <w:sz w:val="21"/>
              </w:rPr>
            </w:pPr>
            <w:r>
              <w:rPr>
                <w:spacing w:val="-1"/>
                <w:sz w:val="21"/>
              </w:rPr>
              <w:t>与射线装置</w:t>
            </w:r>
          </w:p>
          <w:p>
            <w:pPr>
              <w:pStyle w:val="TableParagraph"/>
              <w:spacing w:line="269" w:lineRule="exact" w:before="43"/>
              <w:ind w:left="146"/>
              <w:jc w:val="left"/>
              <w:rPr>
                <w:sz w:val="21"/>
              </w:rPr>
            </w:pPr>
            <w:r>
              <w:rPr>
                <w:spacing w:val="-8"/>
                <w:sz w:val="21"/>
              </w:rPr>
              <w:t>距离</w:t>
            </w:r>
            <w:r>
              <w:rPr>
                <w:spacing w:val="-4"/>
                <w:sz w:val="21"/>
              </w:rPr>
              <w:t>（</w:t>
            </w:r>
            <w:r>
              <w:rPr>
                <w:rFonts w:ascii="Times New Roman" w:eastAsia="Times New Roman"/>
                <w:spacing w:val="-4"/>
                <w:sz w:val="21"/>
              </w:rPr>
              <w:t>m</w:t>
            </w:r>
            <w:r>
              <w:rPr>
                <w:spacing w:val="-4"/>
                <w:sz w:val="21"/>
              </w:rPr>
              <w:t>）</w:t>
            </w:r>
          </w:p>
        </w:tc>
        <w:tc>
          <w:tcPr>
            <w:tcW w:w="1159" w:type="dxa"/>
            <w:tcBorders>
              <w:bottom w:val="single" w:sz="12" w:space="0" w:color="000000"/>
            </w:tcBorders>
          </w:tcPr>
          <w:p>
            <w:pPr>
              <w:pStyle w:val="TableParagraph"/>
              <w:spacing w:before="178"/>
              <w:ind w:left="154" w:right="137"/>
              <w:rPr>
                <w:sz w:val="21"/>
              </w:rPr>
            </w:pPr>
            <w:r>
              <w:rPr>
                <w:sz w:val="21"/>
              </w:rPr>
              <w:t>漏射线</w:t>
            </w:r>
          </w:p>
        </w:tc>
        <w:tc>
          <w:tcPr>
            <w:tcW w:w="1159" w:type="dxa"/>
            <w:tcBorders>
              <w:bottom w:val="single" w:sz="12" w:space="0" w:color="000000"/>
            </w:tcBorders>
          </w:tcPr>
          <w:p>
            <w:pPr>
              <w:pStyle w:val="TableParagraph"/>
              <w:spacing w:before="178"/>
              <w:ind w:left="154" w:right="136"/>
              <w:rPr>
                <w:sz w:val="21"/>
              </w:rPr>
            </w:pPr>
            <w:r>
              <w:rPr>
                <w:sz w:val="21"/>
              </w:rPr>
              <w:t>散射线</w:t>
            </w:r>
          </w:p>
        </w:tc>
        <w:tc>
          <w:tcPr>
            <w:tcW w:w="1121" w:type="dxa"/>
            <w:tcBorders>
              <w:bottom w:val="single" w:sz="12" w:space="0" w:color="000000"/>
            </w:tcBorders>
          </w:tcPr>
          <w:p>
            <w:pPr>
              <w:pStyle w:val="TableParagraph"/>
              <w:spacing w:before="178"/>
              <w:ind w:left="126" w:right="105"/>
              <w:rPr>
                <w:sz w:val="21"/>
              </w:rPr>
            </w:pPr>
            <w:r>
              <w:rPr>
                <w:sz w:val="21"/>
              </w:rPr>
              <w:t>有用线束</w:t>
            </w:r>
          </w:p>
        </w:tc>
        <w:tc>
          <w:tcPr>
            <w:tcW w:w="1198" w:type="dxa"/>
            <w:tcBorders>
              <w:bottom w:val="single" w:sz="12" w:space="0" w:color="000000"/>
            </w:tcBorders>
          </w:tcPr>
          <w:p>
            <w:pPr>
              <w:pStyle w:val="TableParagraph"/>
              <w:spacing w:before="178"/>
              <w:ind w:left="151" w:right="180"/>
              <w:rPr>
                <w:sz w:val="21"/>
              </w:rPr>
            </w:pPr>
            <w:r>
              <w:rPr>
                <w:sz w:val="21"/>
              </w:rPr>
              <w:t>合计</w:t>
            </w:r>
          </w:p>
        </w:tc>
      </w:tr>
      <w:tr>
        <w:trPr>
          <w:trHeight w:val="311" w:hRule="atLeast"/>
        </w:trPr>
        <w:tc>
          <w:tcPr>
            <w:tcW w:w="2400" w:type="dxa"/>
            <w:vMerge w:val="restart"/>
            <w:tcBorders>
              <w:top w:val="single" w:sz="12" w:space="0" w:color="000000"/>
            </w:tcBorders>
          </w:tcPr>
          <w:p>
            <w:pPr>
              <w:pStyle w:val="TableParagraph"/>
              <w:spacing w:before="27"/>
              <w:ind w:left="172"/>
              <w:jc w:val="left"/>
              <w:rPr>
                <w:sz w:val="21"/>
              </w:rPr>
            </w:pPr>
            <w:r>
              <w:rPr>
                <w:rFonts w:ascii="Times New Roman" w:eastAsia="Times New Roman"/>
                <w:sz w:val="21"/>
              </w:rPr>
              <w:t>1#-</w:t>
            </w:r>
            <w:r>
              <w:rPr>
                <w:sz w:val="21"/>
              </w:rPr>
              <w:t>东侧污物传递窗墙外</w:t>
            </w:r>
          </w:p>
          <w:p>
            <w:pPr>
              <w:pStyle w:val="TableParagraph"/>
              <w:spacing w:before="43"/>
              <w:ind w:left="258"/>
              <w:jc w:val="left"/>
              <w:rPr>
                <w:sz w:val="21"/>
              </w:rPr>
            </w:pPr>
            <w:r>
              <w:rPr>
                <w:rFonts w:ascii="Times New Roman" w:eastAsia="Times New Roman"/>
                <w:sz w:val="21"/>
              </w:rPr>
              <w:t>30cm </w:t>
            </w:r>
            <w:r>
              <w:rPr>
                <w:sz w:val="21"/>
              </w:rPr>
              <w:t>处，污物通道间</w:t>
            </w:r>
          </w:p>
        </w:tc>
        <w:tc>
          <w:tcPr>
            <w:tcW w:w="763" w:type="dxa"/>
            <w:tcBorders>
              <w:top w:val="single" w:sz="12" w:space="0" w:color="000000"/>
            </w:tcBorders>
          </w:tcPr>
          <w:p>
            <w:pPr>
              <w:pStyle w:val="TableParagraph"/>
              <w:spacing w:before="22"/>
              <w:ind w:left="155" w:right="138"/>
              <w:rPr>
                <w:sz w:val="21"/>
              </w:rPr>
            </w:pPr>
            <w:r>
              <w:rPr>
                <w:sz w:val="21"/>
              </w:rPr>
              <w:t>透视</w:t>
            </w:r>
          </w:p>
        </w:tc>
        <w:tc>
          <w:tcPr>
            <w:tcW w:w="1274" w:type="dxa"/>
            <w:vMerge w:val="restart"/>
            <w:tcBorders>
              <w:top w:val="single" w:sz="12" w:space="0" w:color="000000"/>
            </w:tcBorders>
          </w:tcPr>
          <w:p>
            <w:pPr>
              <w:pStyle w:val="TableParagraph"/>
              <w:spacing w:before="197"/>
              <w:ind w:left="16" w:right="3"/>
              <w:rPr>
                <w:rFonts w:ascii="Times New Roman"/>
                <w:sz w:val="21"/>
              </w:rPr>
            </w:pPr>
            <w:r>
              <w:rPr>
                <w:rFonts w:ascii="Times New Roman"/>
                <w:sz w:val="21"/>
              </w:rPr>
              <w:t>5.6</w:t>
            </w:r>
          </w:p>
        </w:tc>
        <w:tc>
          <w:tcPr>
            <w:tcW w:w="1159" w:type="dxa"/>
            <w:tcBorders>
              <w:top w:val="single" w:sz="12" w:space="0" w:color="000000"/>
            </w:tcBorders>
          </w:tcPr>
          <w:p>
            <w:pPr>
              <w:pStyle w:val="TableParagraph"/>
              <w:spacing w:before="31"/>
              <w:ind w:left="154" w:right="139"/>
              <w:rPr>
                <w:rFonts w:ascii="Times New Roman" w:hAnsi="Times New Roman"/>
                <w:sz w:val="14"/>
              </w:rPr>
            </w:pPr>
            <w:r>
              <w:rPr>
                <w:rFonts w:ascii="Times New Roman" w:hAnsi="Times New Roman"/>
                <w:sz w:val="21"/>
              </w:rPr>
              <w:t>2.53×10</w:t>
            </w:r>
            <w:r>
              <w:rPr>
                <w:rFonts w:ascii="Times New Roman" w:hAnsi="Times New Roman"/>
                <w:position w:val="7"/>
                <w:sz w:val="14"/>
              </w:rPr>
              <w:t>-4</w:t>
            </w:r>
          </w:p>
        </w:tc>
        <w:tc>
          <w:tcPr>
            <w:tcW w:w="1159" w:type="dxa"/>
            <w:tcBorders>
              <w:top w:val="single" w:sz="12" w:space="0" w:color="000000"/>
            </w:tcBorders>
          </w:tcPr>
          <w:p>
            <w:pPr>
              <w:pStyle w:val="TableParagraph"/>
              <w:spacing w:before="31"/>
              <w:ind w:left="153" w:right="140"/>
              <w:rPr>
                <w:rFonts w:ascii="Times New Roman" w:hAnsi="Times New Roman"/>
                <w:sz w:val="14"/>
              </w:rPr>
            </w:pPr>
            <w:r>
              <w:rPr>
                <w:rFonts w:ascii="Times New Roman" w:hAnsi="Times New Roman"/>
                <w:sz w:val="21"/>
              </w:rPr>
              <w:t>2.73×10</w:t>
            </w:r>
            <w:r>
              <w:rPr>
                <w:rFonts w:ascii="Times New Roman" w:hAnsi="Times New Roman"/>
                <w:position w:val="7"/>
                <w:sz w:val="14"/>
              </w:rPr>
              <w:t>-4</w:t>
            </w:r>
          </w:p>
        </w:tc>
        <w:tc>
          <w:tcPr>
            <w:tcW w:w="1121" w:type="dxa"/>
            <w:tcBorders>
              <w:top w:val="single" w:sz="12" w:space="0" w:color="000000"/>
            </w:tcBorders>
          </w:tcPr>
          <w:p>
            <w:pPr>
              <w:pStyle w:val="TableParagraph"/>
              <w:spacing w:before="36"/>
              <w:ind w:left="14"/>
              <w:rPr>
                <w:rFonts w:ascii="Times New Roman"/>
                <w:sz w:val="21"/>
              </w:rPr>
            </w:pPr>
            <w:r>
              <w:rPr>
                <w:rFonts w:ascii="Times New Roman"/>
                <w:w w:val="100"/>
                <w:sz w:val="21"/>
              </w:rPr>
              <w:t>/</w:t>
            </w:r>
          </w:p>
        </w:tc>
        <w:tc>
          <w:tcPr>
            <w:tcW w:w="1198" w:type="dxa"/>
            <w:tcBorders>
              <w:top w:val="single" w:sz="12" w:space="0" w:color="000000"/>
            </w:tcBorders>
          </w:tcPr>
          <w:p>
            <w:pPr>
              <w:pStyle w:val="TableParagraph"/>
              <w:spacing w:before="31"/>
              <w:ind w:left="151" w:right="184"/>
              <w:rPr>
                <w:rFonts w:ascii="Times New Roman" w:hAnsi="Times New Roman"/>
                <w:sz w:val="14"/>
              </w:rPr>
            </w:pPr>
            <w:r>
              <w:rPr>
                <w:rFonts w:ascii="Times New Roman" w:hAnsi="Times New Roman"/>
                <w:sz w:val="21"/>
              </w:rPr>
              <w:t>5.26×10</w:t>
            </w:r>
            <w:r>
              <w:rPr>
                <w:rFonts w:ascii="Times New Roman" w:hAnsi="Times New Roman"/>
                <w:position w:val="7"/>
                <w:sz w:val="14"/>
              </w:rPr>
              <w:t>-4</w:t>
            </w:r>
          </w:p>
        </w:tc>
      </w:tr>
      <w:tr>
        <w:trPr>
          <w:trHeight w:val="311" w:hRule="atLeast"/>
        </w:trPr>
        <w:tc>
          <w:tcPr>
            <w:tcW w:w="2400" w:type="dxa"/>
            <w:vMerge/>
            <w:tcBorders>
              <w:top w:val="nil"/>
            </w:tcBorders>
          </w:tcPr>
          <w:p>
            <w:pPr>
              <w:rPr>
                <w:sz w:val="2"/>
                <w:szCs w:val="2"/>
              </w:rPr>
            </w:pPr>
          </w:p>
        </w:tc>
        <w:tc>
          <w:tcPr>
            <w:tcW w:w="763" w:type="dxa"/>
          </w:tcPr>
          <w:p>
            <w:pPr>
              <w:pStyle w:val="TableParagraph"/>
              <w:spacing w:before="22"/>
              <w:ind w:left="155" w:right="138"/>
              <w:rPr>
                <w:sz w:val="21"/>
              </w:rPr>
            </w:pPr>
            <w:r>
              <w:rPr>
                <w:sz w:val="21"/>
              </w:rPr>
              <w:t>拍片</w:t>
            </w:r>
          </w:p>
        </w:tc>
        <w:tc>
          <w:tcPr>
            <w:tcW w:w="1274" w:type="dxa"/>
            <w:vMerge/>
            <w:tcBorders>
              <w:top w:val="nil"/>
            </w:tcBorders>
          </w:tcPr>
          <w:p>
            <w:pPr>
              <w:rPr>
                <w:sz w:val="2"/>
                <w:szCs w:val="2"/>
              </w:rPr>
            </w:pPr>
          </w:p>
        </w:tc>
        <w:tc>
          <w:tcPr>
            <w:tcW w:w="1159" w:type="dxa"/>
          </w:tcPr>
          <w:p>
            <w:pPr>
              <w:pStyle w:val="TableParagraph"/>
              <w:spacing w:before="32"/>
              <w:ind w:left="154" w:right="139"/>
              <w:rPr>
                <w:rFonts w:ascii="Times New Roman" w:hAnsi="Times New Roman"/>
                <w:sz w:val="14"/>
              </w:rPr>
            </w:pPr>
            <w:r>
              <w:rPr>
                <w:rFonts w:ascii="Times New Roman" w:hAnsi="Times New Roman"/>
                <w:sz w:val="21"/>
              </w:rPr>
              <w:t>2.53×10</w:t>
            </w:r>
            <w:r>
              <w:rPr>
                <w:rFonts w:ascii="Times New Roman" w:hAnsi="Times New Roman"/>
                <w:position w:val="7"/>
                <w:sz w:val="14"/>
              </w:rPr>
              <w:t>-4</w:t>
            </w:r>
          </w:p>
        </w:tc>
        <w:tc>
          <w:tcPr>
            <w:tcW w:w="1159" w:type="dxa"/>
          </w:tcPr>
          <w:p>
            <w:pPr>
              <w:pStyle w:val="TableParagraph"/>
              <w:spacing w:before="32"/>
              <w:ind w:left="154" w:right="140"/>
              <w:rPr>
                <w:rFonts w:ascii="Times New Roman" w:hAnsi="Times New Roman"/>
                <w:sz w:val="14"/>
              </w:rPr>
            </w:pPr>
            <w:r>
              <w:rPr>
                <w:rFonts w:ascii="Times New Roman" w:hAnsi="Times New Roman"/>
                <w:sz w:val="21"/>
              </w:rPr>
              <w:t>6.83×10</w:t>
            </w:r>
            <w:r>
              <w:rPr>
                <w:rFonts w:ascii="Times New Roman" w:hAnsi="Times New Roman"/>
                <w:position w:val="7"/>
                <w:sz w:val="14"/>
              </w:rPr>
              <w:t>-3</w:t>
            </w:r>
          </w:p>
        </w:tc>
        <w:tc>
          <w:tcPr>
            <w:tcW w:w="1121" w:type="dxa"/>
          </w:tcPr>
          <w:p>
            <w:pPr>
              <w:pStyle w:val="TableParagraph"/>
              <w:spacing w:before="36"/>
              <w:ind w:right="16"/>
              <w:rPr>
                <w:rFonts w:ascii="Times New Roman"/>
                <w:sz w:val="21"/>
              </w:rPr>
            </w:pPr>
            <w:r>
              <w:rPr>
                <w:rFonts w:ascii="Times New Roman"/>
                <w:w w:val="100"/>
                <w:sz w:val="21"/>
              </w:rPr>
              <w:t>/</w:t>
            </w:r>
          </w:p>
        </w:tc>
        <w:tc>
          <w:tcPr>
            <w:tcW w:w="1198" w:type="dxa"/>
          </w:tcPr>
          <w:p>
            <w:pPr>
              <w:pStyle w:val="TableParagraph"/>
              <w:spacing w:before="32"/>
              <w:ind w:left="151" w:right="184"/>
              <w:rPr>
                <w:rFonts w:ascii="Times New Roman" w:hAnsi="Times New Roman"/>
                <w:sz w:val="14"/>
              </w:rPr>
            </w:pPr>
            <w:r>
              <w:rPr>
                <w:rFonts w:ascii="Times New Roman" w:hAnsi="Times New Roman"/>
                <w:sz w:val="21"/>
              </w:rPr>
              <w:t>7.08×10</w:t>
            </w:r>
            <w:r>
              <w:rPr>
                <w:rFonts w:ascii="Times New Roman" w:hAnsi="Times New Roman"/>
                <w:position w:val="7"/>
                <w:sz w:val="14"/>
              </w:rPr>
              <w:t>-3</w:t>
            </w:r>
          </w:p>
        </w:tc>
      </w:tr>
      <w:tr>
        <w:trPr>
          <w:trHeight w:val="308" w:hRule="atLeast"/>
        </w:trPr>
        <w:tc>
          <w:tcPr>
            <w:tcW w:w="2400" w:type="dxa"/>
            <w:vMerge w:val="restart"/>
            <w:tcBorders>
              <w:bottom w:val="single" w:sz="8" w:space="0" w:color="000000"/>
            </w:tcBorders>
          </w:tcPr>
          <w:p>
            <w:pPr>
              <w:pStyle w:val="TableParagraph"/>
              <w:spacing w:before="58"/>
              <w:ind w:left="153" w:right="85"/>
              <w:rPr>
                <w:rFonts w:ascii="Times New Roman" w:eastAsia="Times New Roman"/>
                <w:sz w:val="21"/>
              </w:rPr>
            </w:pPr>
            <w:r>
              <w:rPr>
                <w:rFonts w:ascii="Times New Roman" w:eastAsia="Times New Roman"/>
                <w:sz w:val="21"/>
              </w:rPr>
              <w:t>2#-</w:t>
            </w:r>
            <w:r>
              <w:rPr>
                <w:sz w:val="21"/>
              </w:rPr>
              <w:t>东侧屏蔽墙外 </w:t>
            </w:r>
            <w:r>
              <w:rPr>
                <w:rFonts w:ascii="Times New Roman" w:eastAsia="Times New Roman"/>
                <w:sz w:val="21"/>
              </w:rPr>
              <w:t>30cm</w:t>
            </w:r>
          </w:p>
          <w:p>
            <w:pPr>
              <w:pStyle w:val="TableParagraph"/>
              <w:spacing w:before="43"/>
              <w:ind w:left="153" w:right="85"/>
              <w:rPr>
                <w:sz w:val="21"/>
              </w:rPr>
            </w:pPr>
            <w:r>
              <w:rPr>
                <w:sz w:val="21"/>
              </w:rPr>
              <w:t>处，污物通道间</w:t>
            </w:r>
          </w:p>
        </w:tc>
        <w:tc>
          <w:tcPr>
            <w:tcW w:w="763" w:type="dxa"/>
          </w:tcPr>
          <w:p>
            <w:pPr>
              <w:pStyle w:val="TableParagraph"/>
              <w:spacing w:line="264" w:lineRule="exact" w:before="25"/>
              <w:ind w:left="155" w:right="138"/>
              <w:rPr>
                <w:sz w:val="21"/>
              </w:rPr>
            </w:pPr>
            <w:r>
              <w:rPr>
                <w:sz w:val="21"/>
              </w:rPr>
              <w:t>透视</w:t>
            </w:r>
          </w:p>
        </w:tc>
        <w:tc>
          <w:tcPr>
            <w:tcW w:w="1274" w:type="dxa"/>
            <w:vMerge w:val="restart"/>
            <w:tcBorders>
              <w:bottom w:val="single" w:sz="8" w:space="0" w:color="000000"/>
            </w:tcBorders>
          </w:tcPr>
          <w:p>
            <w:pPr>
              <w:pStyle w:val="TableParagraph"/>
              <w:spacing w:before="10"/>
              <w:jc w:val="left"/>
              <w:rPr>
                <w:sz w:val="17"/>
              </w:rPr>
            </w:pPr>
          </w:p>
          <w:p>
            <w:pPr>
              <w:pStyle w:val="TableParagraph"/>
              <w:ind w:left="16" w:right="3"/>
              <w:rPr>
                <w:rFonts w:ascii="Times New Roman"/>
                <w:sz w:val="21"/>
              </w:rPr>
            </w:pPr>
            <w:r>
              <w:rPr>
                <w:rFonts w:ascii="Times New Roman"/>
                <w:sz w:val="21"/>
              </w:rPr>
              <w:t>5.6</w:t>
            </w:r>
          </w:p>
        </w:tc>
        <w:tc>
          <w:tcPr>
            <w:tcW w:w="1159" w:type="dxa"/>
          </w:tcPr>
          <w:p>
            <w:pPr>
              <w:pStyle w:val="TableParagraph"/>
              <w:spacing w:before="34"/>
              <w:ind w:left="154" w:right="139"/>
              <w:rPr>
                <w:rFonts w:ascii="Times New Roman" w:hAnsi="Times New Roman"/>
                <w:sz w:val="14"/>
              </w:rPr>
            </w:pPr>
            <w:r>
              <w:rPr>
                <w:rFonts w:ascii="Times New Roman" w:hAnsi="Times New Roman"/>
                <w:sz w:val="21"/>
              </w:rPr>
              <w:t>1.55×10</w:t>
            </w:r>
            <w:r>
              <w:rPr>
                <w:rFonts w:ascii="Times New Roman" w:hAnsi="Times New Roman"/>
                <w:position w:val="7"/>
                <w:sz w:val="14"/>
              </w:rPr>
              <w:t>-5</w:t>
            </w:r>
          </w:p>
        </w:tc>
        <w:tc>
          <w:tcPr>
            <w:tcW w:w="1159" w:type="dxa"/>
          </w:tcPr>
          <w:p>
            <w:pPr>
              <w:pStyle w:val="TableParagraph"/>
              <w:spacing w:before="34"/>
              <w:ind w:left="154" w:right="140"/>
              <w:rPr>
                <w:rFonts w:ascii="Times New Roman" w:hAnsi="Times New Roman"/>
                <w:sz w:val="14"/>
              </w:rPr>
            </w:pPr>
            <w:r>
              <w:rPr>
                <w:rFonts w:ascii="Times New Roman" w:hAnsi="Times New Roman"/>
                <w:sz w:val="21"/>
              </w:rPr>
              <w:t>1.68×10</w:t>
            </w:r>
            <w:r>
              <w:rPr>
                <w:rFonts w:ascii="Times New Roman" w:hAnsi="Times New Roman"/>
                <w:position w:val="7"/>
                <w:sz w:val="14"/>
              </w:rPr>
              <w:t>-5</w:t>
            </w:r>
          </w:p>
        </w:tc>
        <w:tc>
          <w:tcPr>
            <w:tcW w:w="1121" w:type="dxa"/>
          </w:tcPr>
          <w:p>
            <w:pPr>
              <w:pStyle w:val="TableParagraph"/>
              <w:spacing w:before="39"/>
              <w:ind w:right="16"/>
              <w:rPr>
                <w:rFonts w:ascii="Times New Roman"/>
                <w:sz w:val="21"/>
              </w:rPr>
            </w:pPr>
            <w:r>
              <w:rPr>
                <w:rFonts w:ascii="Times New Roman"/>
                <w:w w:val="100"/>
                <w:sz w:val="21"/>
              </w:rPr>
              <w:t>/</w:t>
            </w:r>
          </w:p>
        </w:tc>
        <w:tc>
          <w:tcPr>
            <w:tcW w:w="1198" w:type="dxa"/>
          </w:tcPr>
          <w:p>
            <w:pPr>
              <w:pStyle w:val="TableParagraph"/>
              <w:spacing w:before="34"/>
              <w:ind w:left="151" w:right="184"/>
              <w:rPr>
                <w:rFonts w:ascii="Times New Roman" w:hAnsi="Times New Roman"/>
                <w:sz w:val="14"/>
              </w:rPr>
            </w:pPr>
            <w:r>
              <w:rPr>
                <w:rFonts w:ascii="Times New Roman" w:hAnsi="Times New Roman"/>
                <w:sz w:val="21"/>
              </w:rPr>
              <w:t>3.23×10</w:t>
            </w:r>
            <w:r>
              <w:rPr>
                <w:rFonts w:ascii="Times New Roman" w:hAnsi="Times New Roman"/>
                <w:position w:val="7"/>
                <w:sz w:val="14"/>
              </w:rPr>
              <w:t>-5</w:t>
            </w:r>
          </w:p>
        </w:tc>
      </w:tr>
      <w:tr>
        <w:trPr>
          <w:trHeight w:val="364" w:hRule="atLeast"/>
        </w:trPr>
        <w:tc>
          <w:tcPr>
            <w:tcW w:w="2400" w:type="dxa"/>
            <w:vMerge/>
            <w:tcBorders>
              <w:top w:val="nil"/>
              <w:bottom w:val="single" w:sz="8" w:space="0" w:color="000000"/>
            </w:tcBorders>
          </w:tcPr>
          <w:p>
            <w:pPr>
              <w:rPr>
                <w:sz w:val="2"/>
                <w:szCs w:val="2"/>
              </w:rPr>
            </w:pPr>
          </w:p>
        </w:tc>
        <w:tc>
          <w:tcPr>
            <w:tcW w:w="763" w:type="dxa"/>
            <w:tcBorders>
              <w:bottom w:val="single" w:sz="8" w:space="0" w:color="000000"/>
            </w:tcBorders>
          </w:tcPr>
          <w:p>
            <w:pPr>
              <w:pStyle w:val="TableParagraph"/>
              <w:spacing w:before="46"/>
              <w:ind w:left="155" w:right="138"/>
              <w:rPr>
                <w:sz w:val="21"/>
              </w:rPr>
            </w:pPr>
            <w:r>
              <w:rPr>
                <w:sz w:val="21"/>
              </w:rPr>
              <w:t>拍片</w:t>
            </w:r>
          </w:p>
        </w:tc>
        <w:tc>
          <w:tcPr>
            <w:tcW w:w="1274" w:type="dxa"/>
            <w:vMerge/>
            <w:tcBorders>
              <w:top w:val="nil"/>
              <w:bottom w:val="single" w:sz="8" w:space="0" w:color="000000"/>
            </w:tcBorders>
          </w:tcPr>
          <w:p>
            <w:pPr>
              <w:rPr>
                <w:sz w:val="2"/>
                <w:szCs w:val="2"/>
              </w:rPr>
            </w:pPr>
          </w:p>
        </w:tc>
        <w:tc>
          <w:tcPr>
            <w:tcW w:w="1159" w:type="dxa"/>
            <w:tcBorders>
              <w:bottom w:val="single" w:sz="8" w:space="0" w:color="000000"/>
            </w:tcBorders>
          </w:tcPr>
          <w:p>
            <w:pPr>
              <w:pStyle w:val="TableParagraph"/>
              <w:spacing w:before="55"/>
              <w:ind w:left="154" w:right="139"/>
              <w:rPr>
                <w:rFonts w:ascii="Times New Roman" w:hAnsi="Times New Roman"/>
                <w:sz w:val="14"/>
              </w:rPr>
            </w:pPr>
            <w:r>
              <w:rPr>
                <w:rFonts w:ascii="Times New Roman" w:hAnsi="Times New Roman"/>
                <w:sz w:val="21"/>
              </w:rPr>
              <w:t>1.55×10</w:t>
            </w:r>
            <w:r>
              <w:rPr>
                <w:rFonts w:ascii="Times New Roman" w:hAnsi="Times New Roman"/>
                <w:position w:val="7"/>
                <w:sz w:val="14"/>
              </w:rPr>
              <w:t>-5</w:t>
            </w:r>
          </w:p>
        </w:tc>
        <w:tc>
          <w:tcPr>
            <w:tcW w:w="1159" w:type="dxa"/>
            <w:tcBorders>
              <w:bottom w:val="single" w:sz="8" w:space="0" w:color="000000"/>
            </w:tcBorders>
          </w:tcPr>
          <w:p>
            <w:pPr>
              <w:pStyle w:val="TableParagraph"/>
              <w:spacing w:before="55"/>
              <w:ind w:left="153" w:right="140"/>
              <w:rPr>
                <w:rFonts w:ascii="Times New Roman" w:hAnsi="Times New Roman"/>
                <w:sz w:val="14"/>
              </w:rPr>
            </w:pPr>
            <w:r>
              <w:rPr>
                <w:rFonts w:ascii="Times New Roman" w:hAnsi="Times New Roman"/>
                <w:sz w:val="21"/>
              </w:rPr>
              <w:t>4.19×10</w:t>
            </w:r>
            <w:r>
              <w:rPr>
                <w:rFonts w:ascii="Times New Roman" w:hAnsi="Times New Roman"/>
                <w:position w:val="7"/>
                <w:sz w:val="14"/>
              </w:rPr>
              <w:t>-4</w:t>
            </w:r>
          </w:p>
        </w:tc>
        <w:tc>
          <w:tcPr>
            <w:tcW w:w="1121" w:type="dxa"/>
            <w:tcBorders>
              <w:bottom w:val="single" w:sz="8" w:space="0" w:color="000000"/>
            </w:tcBorders>
          </w:tcPr>
          <w:p>
            <w:pPr>
              <w:pStyle w:val="TableParagraph"/>
              <w:spacing w:before="60"/>
              <w:ind w:left="14"/>
              <w:rPr>
                <w:rFonts w:ascii="Times New Roman"/>
                <w:sz w:val="21"/>
              </w:rPr>
            </w:pPr>
            <w:r>
              <w:rPr>
                <w:rFonts w:ascii="Times New Roman"/>
                <w:w w:val="100"/>
                <w:sz w:val="21"/>
              </w:rPr>
              <w:t>/</w:t>
            </w:r>
          </w:p>
        </w:tc>
        <w:tc>
          <w:tcPr>
            <w:tcW w:w="1198" w:type="dxa"/>
            <w:tcBorders>
              <w:bottom w:val="single" w:sz="8" w:space="0" w:color="000000"/>
            </w:tcBorders>
          </w:tcPr>
          <w:p>
            <w:pPr>
              <w:pStyle w:val="TableParagraph"/>
              <w:spacing w:before="55"/>
              <w:ind w:left="151" w:right="184"/>
              <w:rPr>
                <w:rFonts w:ascii="Times New Roman" w:hAnsi="Times New Roman"/>
                <w:sz w:val="14"/>
              </w:rPr>
            </w:pPr>
            <w:r>
              <w:rPr>
                <w:rFonts w:ascii="Times New Roman" w:hAnsi="Times New Roman"/>
                <w:sz w:val="21"/>
              </w:rPr>
              <w:t>4.34×10</w:t>
            </w:r>
            <w:r>
              <w:rPr>
                <w:rFonts w:ascii="Times New Roman" w:hAnsi="Times New Roman"/>
                <w:position w:val="7"/>
                <w:sz w:val="14"/>
              </w:rPr>
              <w:t>-4</w:t>
            </w:r>
          </w:p>
        </w:tc>
      </w:tr>
    </w:tbl>
    <w:p>
      <w:pPr>
        <w:rPr>
          <w:sz w:val="2"/>
          <w:szCs w:val="2"/>
        </w:rPr>
      </w:pPr>
      <w:r>
        <w:rPr/>
        <w:pict>
          <v:shape style="position:absolute;margin-left:84.360001pt;margin-top:78.479942pt;width:450.15pt;height:435.15pt;mso-position-horizontal-relative:page;mso-position-vertical-relative:page;z-index:2056"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1392"/>
                    <w:gridCol w:w="1152"/>
                    <w:gridCol w:w="1289"/>
                    <w:gridCol w:w="1145"/>
                    <w:gridCol w:w="665"/>
                    <w:gridCol w:w="1649"/>
                  </w:tblGrid>
                  <w:tr>
                    <w:trPr>
                      <w:trHeight w:val="358" w:hRule="atLeast"/>
                    </w:trPr>
                    <w:tc>
                      <w:tcPr>
                        <w:tcW w:w="3060" w:type="dxa"/>
                        <w:gridSpan w:val="2"/>
                        <w:vMerge w:val="restart"/>
                        <w:tcBorders>
                          <w:left w:val="nil"/>
                          <w:right w:val="single" w:sz="4" w:space="0" w:color="000000"/>
                        </w:tcBorders>
                      </w:tcPr>
                      <w:p>
                        <w:pPr>
                          <w:pStyle w:val="TableParagraph"/>
                          <w:spacing w:before="6"/>
                          <w:jc w:val="left"/>
                          <w:rPr>
                            <w:sz w:val="19"/>
                          </w:rPr>
                        </w:pPr>
                      </w:p>
                      <w:p>
                        <w:pPr>
                          <w:pStyle w:val="TableParagraph"/>
                          <w:ind w:left="77" w:right="38"/>
                          <w:rPr>
                            <w:sz w:val="21"/>
                          </w:rPr>
                        </w:pPr>
                        <w:r>
                          <w:rPr>
                            <w:sz w:val="21"/>
                          </w:rPr>
                          <w:t>预测点位</w:t>
                        </w:r>
                      </w:p>
                    </w:tc>
                    <w:tc>
                      <w:tcPr>
                        <w:tcW w:w="3586" w:type="dxa"/>
                        <w:gridSpan w:val="3"/>
                        <w:tcBorders>
                          <w:left w:val="single" w:sz="4" w:space="0" w:color="000000"/>
                          <w:bottom w:val="single" w:sz="4" w:space="0" w:color="000000"/>
                          <w:right w:val="single" w:sz="4" w:space="0" w:color="000000"/>
                        </w:tcBorders>
                      </w:tcPr>
                      <w:p>
                        <w:pPr>
                          <w:pStyle w:val="TableParagraph"/>
                          <w:spacing w:before="51"/>
                          <w:ind w:left="1363" w:right="1332"/>
                          <w:rPr>
                            <w:sz w:val="21"/>
                          </w:rPr>
                        </w:pPr>
                        <w:r>
                          <w:rPr>
                            <w:sz w:val="21"/>
                          </w:rPr>
                          <w:t>减弱因子</w:t>
                        </w:r>
                      </w:p>
                    </w:tc>
                    <w:tc>
                      <w:tcPr>
                        <w:tcW w:w="665" w:type="dxa"/>
                        <w:vMerge w:val="restart"/>
                        <w:tcBorders>
                          <w:left w:val="single" w:sz="4" w:space="0" w:color="000000"/>
                          <w:right w:val="single" w:sz="4" w:space="0" w:color="000000"/>
                        </w:tcBorders>
                      </w:tcPr>
                      <w:p>
                        <w:pPr>
                          <w:pStyle w:val="TableParagraph"/>
                          <w:spacing w:line="278" w:lineRule="auto" w:before="94"/>
                          <w:ind w:left="136" w:right="59"/>
                          <w:jc w:val="left"/>
                          <w:rPr>
                            <w:sz w:val="21"/>
                          </w:rPr>
                        </w:pPr>
                        <w:r>
                          <w:rPr>
                            <w:sz w:val="21"/>
                          </w:rPr>
                          <w:t>居留因子</w:t>
                        </w:r>
                      </w:p>
                    </w:tc>
                    <w:tc>
                      <w:tcPr>
                        <w:tcW w:w="1649" w:type="dxa"/>
                        <w:vMerge w:val="restart"/>
                        <w:tcBorders>
                          <w:left w:val="single" w:sz="4" w:space="0" w:color="000000"/>
                          <w:right w:val="nil"/>
                        </w:tcBorders>
                      </w:tcPr>
                      <w:p>
                        <w:pPr>
                          <w:pStyle w:val="TableParagraph"/>
                          <w:spacing w:before="6"/>
                          <w:jc w:val="left"/>
                          <w:rPr>
                            <w:sz w:val="19"/>
                          </w:rPr>
                        </w:pPr>
                      </w:p>
                      <w:p>
                        <w:pPr>
                          <w:pStyle w:val="TableParagraph"/>
                          <w:ind w:left="423"/>
                          <w:jc w:val="left"/>
                          <w:rPr>
                            <w:sz w:val="21"/>
                          </w:rPr>
                        </w:pPr>
                        <w:r>
                          <w:rPr>
                            <w:sz w:val="21"/>
                          </w:rPr>
                          <w:t>照射类型</w:t>
                        </w:r>
                      </w:p>
                    </w:tc>
                  </w:tr>
                  <w:tr>
                    <w:trPr>
                      <w:trHeight w:val="377" w:hRule="atLeast"/>
                    </w:trPr>
                    <w:tc>
                      <w:tcPr>
                        <w:tcW w:w="3060" w:type="dxa"/>
                        <w:gridSpan w:val="2"/>
                        <w:vMerge/>
                        <w:tcBorders>
                          <w:top w:val="nil"/>
                          <w:left w:val="nil"/>
                          <w:right w:val="single" w:sz="4" w:space="0" w:color="000000"/>
                        </w:tcBorders>
                      </w:tcPr>
                      <w:p>
                        <w:pPr>
                          <w:rPr>
                            <w:sz w:val="2"/>
                            <w:szCs w:val="2"/>
                          </w:rPr>
                        </w:pPr>
                      </w:p>
                    </w:tc>
                    <w:tc>
                      <w:tcPr>
                        <w:tcW w:w="1152" w:type="dxa"/>
                        <w:tcBorders>
                          <w:top w:val="single" w:sz="4" w:space="0" w:color="000000"/>
                          <w:left w:val="single" w:sz="4" w:space="0" w:color="000000"/>
                          <w:right w:val="single" w:sz="4" w:space="0" w:color="000000"/>
                        </w:tcBorders>
                      </w:tcPr>
                      <w:p>
                        <w:pPr>
                          <w:pStyle w:val="TableParagraph"/>
                          <w:spacing w:before="60"/>
                          <w:ind w:left="160" w:right="127"/>
                          <w:rPr>
                            <w:sz w:val="21"/>
                          </w:rPr>
                        </w:pPr>
                        <w:r>
                          <w:rPr>
                            <w:sz w:val="21"/>
                          </w:rPr>
                          <w:t>漏射线</w:t>
                        </w:r>
                      </w:p>
                    </w:tc>
                    <w:tc>
                      <w:tcPr>
                        <w:tcW w:w="1289" w:type="dxa"/>
                        <w:tcBorders>
                          <w:top w:val="single" w:sz="4" w:space="0" w:color="000000"/>
                          <w:left w:val="single" w:sz="4" w:space="0" w:color="000000"/>
                          <w:right w:val="single" w:sz="4" w:space="0" w:color="000000"/>
                        </w:tcBorders>
                      </w:tcPr>
                      <w:p>
                        <w:pPr>
                          <w:pStyle w:val="TableParagraph"/>
                          <w:spacing w:before="60"/>
                          <w:ind w:left="227" w:right="197"/>
                          <w:rPr>
                            <w:sz w:val="21"/>
                          </w:rPr>
                        </w:pPr>
                        <w:r>
                          <w:rPr>
                            <w:sz w:val="21"/>
                          </w:rPr>
                          <w:t>散射线</w:t>
                        </w:r>
                      </w:p>
                    </w:tc>
                    <w:tc>
                      <w:tcPr>
                        <w:tcW w:w="1145" w:type="dxa"/>
                        <w:tcBorders>
                          <w:top w:val="single" w:sz="4" w:space="0" w:color="000000"/>
                          <w:left w:val="single" w:sz="4" w:space="0" w:color="000000"/>
                          <w:right w:val="single" w:sz="4" w:space="0" w:color="000000"/>
                        </w:tcBorders>
                      </w:tcPr>
                      <w:p>
                        <w:pPr>
                          <w:pStyle w:val="TableParagraph"/>
                          <w:spacing w:before="60"/>
                          <w:ind w:left="144" w:right="111"/>
                          <w:rPr>
                            <w:sz w:val="21"/>
                          </w:rPr>
                        </w:pPr>
                        <w:r>
                          <w:rPr>
                            <w:sz w:val="21"/>
                          </w:rPr>
                          <w:t>有用线束</w:t>
                        </w:r>
                      </w:p>
                    </w:tc>
                    <w:tc>
                      <w:tcPr>
                        <w:tcW w:w="665" w:type="dxa"/>
                        <w:vMerge/>
                        <w:tcBorders>
                          <w:top w:val="nil"/>
                          <w:left w:val="single" w:sz="4" w:space="0" w:color="000000"/>
                          <w:right w:val="single" w:sz="4" w:space="0" w:color="000000"/>
                        </w:tcBorders>
                      </w:tcPr>
                      <w:p>
                        <w:pPr>
                          <w:rPr>
                            <w:sz w:val="2"/>
                            <w:szCs w:val="2"/>
                          </w:rPr>
                        </w:pPr>
                      </w:p>
                    </w:tc>
                    <w:tc>
                      <w:tcPr>
                        <w:tcW w:w="1649" w:type="dxa"/>
                        <w:vMerge/>
                        <w:tcBorders>
                          <w:top w:val="nil"/>
                          <w:left w:val="single" w:sz="4" w:space="0" w:color="000000"/>
                          <w:right w:val="nil"/>
                        </w:tcBorders>
                      </w:tcPr>
                      <w:p>
                        <w:pPr>
                          <w:rPr>
                            <w:sz w:val="2"/>
                            <w:szCs w:val="2"/>
                          </w:rPr>
                        </w:pPr>
                      </w:p>
                    </w:tc>
                  </w:tr>
                  <w:tr>
                    <w:trPr>
                      <w:trHeight w:val="625" w:hRule="atLeast"/>
                    </w:trPr>
                    <w:tc>
                      <w:tcPr>
                        <w:tcW w:w="3060" w:type="dxa"/>
                        <w:gridSpan w:val="2"/>
                        <w:tcBorders>
                          <w:left w:val="nil"/>
                          <w:bottom w:val="single" w:sz="4" w:space="0" w:color="000000"/>
                          <w:right w:val="single" w:sz="4" w:space="0" w:color="000000"/>
                        </w:tcBorders>
                      </w:tcPr>
                      <w:p>
                        <w:pPr>
                          <w:pStyle w:val="TableParagraph"/>
                          <w:spacing w:before="24"/>
                          <w:ind w:left="76" w:right="39"/>
                          <w:rPr>
                            <w:rFonts w:ascii="Times New Roman" w:eastAsia="Times New Roman"/>
                            <w:sz w:val="21"/>
                          </w:rPr>
                        </w:pPr>
                        <w:r>
                          <w:rPr>
                            <w:rFonts w:ascii="Times New Roman" w:eastAsia="Times New Roman"/>
                            <w:sz w:val="21"/>
                          </w:rPr>
                          <w:t>1#-</w:t>
                        </w:r>
                        <w:r>
                          <w:rPr>
                            <w:sz w:val="21"/>
                          </w:rPr>
                          <w:t>东侧污物传递窗外 </w:t>
                        </w:r>
                        <w:r>
                          <w:rPr>
                            <w:rFonts w:ascii="Times New Roman" w:eastAsia="Times New Roman"/>
                            <w:sz w:val="21"/>
                          </w:rPr>
                          <w:t>30cm</w:t>
                        </w:r>
                      </w:p>
                      <w:p>
                        <w:pPr>
                          <w:pStyle w:val="TableParagraph"/>
                          <w:spacing w:before="43"/>
                          <w:ind w:left="77" w:right="35"/>
                          <w:rPr>
                            <w:sz w:val="21"/>
                          </w:rPr>
                        </w:pPr>
                        <w:r>
                          <w:rPr>
                            <w:sz w:val="21"/>
                          </w:rPr>
                          <w:t>处，污物通道间</w:t>
                        </w:r>
                      </w:p>
                    </w:tc>
                    <w:tc>
                      <w:tcPr>
                        <w:tcW w:w="1152" w:type="dxa"/>
                        <w:tcBorders>
                          <w:left w:val="single" w:sz="4" w:space="0" w:color="000000"/>
                          <w:bottom w:val="single" w:sz="4" w:space="0" w:color="000000"/>
                          <w:right w:val="single" w:sz="4" w:space="0" w:color="000000"/>
                        </w:tcBorders>
                      </w:tcPr>
                      <w:p>
                        <w:pPr>
                          <w:pStyle w:val="TableParagraph"/>
                          <w:spacing w:before="190"/>
                          <w:ind w:left="159" w:right="128"/>
                          <w:rPr>
                            <w:rFonts w:ascii="Times New Roman" w:hAnsi="Times New Roman"/>
                            <w:sz w:val="14"/>
                          </w:rPr>
                        </w:pPr>
                        <w:r>
                          <w:rPr>
                            <w:rFonts w:ascii="Times New Roman" w:hAnsi="Times New Roman"/>
                            <w:sz w:val="21"/>
                          </w:rPr>
                          <w:t>7.93×10</w:t>
                        </w:r>
                        <w:r>
                          <w:rPr>
                            <w:rFonts w:ascii="Times New Roman" w:hAnsi="Times New Roman"/>
                            <w:position w:val="7"/>
                            <w:sz w:val="14"/>
                          </w:rPr>
                          <w:t>-6</w:t>
                        </w:r>
                      </w:p>
                    </w:tc>
                    <w:tc>
                      <w:tcPr>
                        <w:tcW w:w="1289" w:type="dxa"/>
                        <w:tcBorders>
                          <w:left w:val="single" w:sz="4" w:space="0" w:color="000000"/>
                          <w:bottom w:val="single" w:sz="4" w:space="0" w:color="000000"/>
                          <w:right w:val="single" w:sz="4" w:space="0" w:color="000000"/>
                        </w:tcBorders>
                      </w:tcPr>
                      <w:p>
                        <w:pPr>
                          <w:pStyle w:val="TableParagraph"/>
                          <w:spacing w:before="190"/>
                          <w:ind w:left="227" w:right="198"/>
                          <w:rPr>
                            <w:rFonts w:ascii="Times New Roman" w:hAnsi="Times New Roman"/>
                            <w:sz w:val="14"/>
                          </w:rPr>
                        </w:pPr>
                        <w:r>
                          <w:rPr>
                            <w:rFonts w:ascii="Times New Roman" w:hAnsi="Times New Roman"/>
                            <w:sz w:val="21"/>
                          </w:rPr>
                          <w:t>7.93×10</w:t>
                        </w:r>
                        <w:r>
                          <w:rPr>
                            <w:rFonts w:ascii="Times New Roman" w:hAnsi="Times New Roman"/>
                            <w:position w:val="7"/>
                            <w:sz w:val="14"/>
                          </w:rPr>
                          <w:t>-6</w:t>
                        </w:r>
                      </w:p>
                    </w:tc>
                    <w:tc>
                      <w:tcPr>
                        <w:tcW w:w="1145" w:type="dxa"/>
                        <w:tcBorders>
                          <w:left w:val="single" w:sz="4" w:space="0" w:color="000000"/>
                          <w:bottom w:val="single" w:sz="4" w:space="0" w:color="000000"/>
                          <w:right w:val="single" w:sz="4" w:space="0" w:color="000000"/>
                        </w:tcBorders>
                      </w:tcPr>
                      <w:p>
                        <w:pPr>
                          <w:pStyle w:val="TableParagraph"/>
                          <w:spacing w:before="194"/>
                          <w:ind w:left="25"/>
                          <w:rPr>
                            <w:rFonts w:ascii="Times New Roman"/>
                            <w:sz w:val="21"/>
                          </w:rPr>
                        </w:pPr>
                        <w:r>
                          <w:rPr>
                            <w:rFonts w:ascii="Times New Roman"/>
                            <w:w w:val="100"/>
                            <w:sz w:val="21"/>
                          </w:rPr>
                          <w:t>/</w:t>
                        </w:r>
                      </w:p>
                    </w:tc>
                    <w:tc>
                      <w:tcPr>
                        <w:tcW w:w="665" w:type="dxa"/>
                        <w:tcBorders>
                          <w:left w:val="single" w:sz="4" w:space="0" w:color="000000"/>
                          <w:bottom w:val="single" w:sz="4" w:space="0" w:color="000000"/>
                          <w:right w:val="single" w:sz="4" w:space="0" w:color="000000"/>
                        </w:tcBorders>
                      </w:tcPr>
                      <w:p>
                        <w:pPr>
                          <w:pStyle w:val="TableParagraph"/>
                          <w:spacing w:before="194"/>
                          <w:ind w:left="188" w:right="158"/>
                          <w:rPr>
                            <w:rFonts w:ascii="Times New Roman"/>
                            <w:sz w:val="21"/>
                          </w:rPr>
                        </w:pPr>
                        <w:r>
                          <w:rPr>
                            <w:rFonts w:ascii="Times New Roman"/>
                            <w:sz w:val="21"/>
                          </w:rPr>
                          <w:t>1/4</w:t>
                        </w:r>
                      </w:p>
                    </w:tc>
                    <w:tc>
                      <w:tcPr>
                        <w:tcW w:w="1649" w:type="dxa"/>
                        <w:tcBorders>
                          <w:left w:val="single" w:sz="4" w:space="0" w:color="000000"/>
                          <w:bottom w:val="single" w:sz="4" w:space="0" w:color="000000"/>
                          <w:right w:val="nil"/>
                        </w:tcBorders>
                      </w:tcPr>
                      <w:p>
                        <w:pPr>
                          <w:pStyle w:val="TableParagraph"/>
                          <w:spacing w:before="180"/>
                          <w:ind w:left="77" w:right="52"/>
                          <w:rPr>
                            <w:sz w:val="21"/>
                          </w:rPr>
                        </w:pPr>
                        <w:r>
                          <w:rPr>
                            <w:sz w:val="21"/>
                          </w:rPr>
                          <w:t>（散射、漏射）</w:t>
                        </w:r>
                      </w:p>
                    </w:tc>
                  </w:tr>
                  <w:tr>
                    <w:trPr>
                      <w:trHeight w:val="623"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2"/>
                          <w:ind w:left="77" w:right="39"/>
                          <w:rPr>
                            <w:sz w:val="21"/>
                          </w:rPr>
                        </w:pPr>
                        <w:r>
                          <w:rPr>
                            <w:rFonts w:ascii="Times New Roman" w:eastAsia="Times New Roman"/>
                            <w:sz w:val="21"/>
                          </w:rPr>
                          <w:t>2#-</w:t>
                        </w:r>
                        <w:r>
                          <w:rPr>
                            <w:sz w:val="21"/>
                          </w:rPr>
                          <w:t>东侧屏蔽墙外 </w:t>
                        </w:r>
                        <w:r>
                          <w:rPr>
                            <w:rFonts w:ascii="Times New Roman" w:eastAsia="Times New Roman"/>
                            <w:sz w:val="21"/>
                          </w:rPr>
                          <w:t>30cm </w:t>
                        </w:r>
                        <w:r>
                          <w:rPr>
                            <w:sz w:val="21"/>
                          </w:rPr>
                          <w:t>处，污</w:t>
                        </w:r>
                      </w:p>
                      <w:p>
                        <w:pPr>
                          <w:pStyle w:val="TableParagraph"/>
                          <w:spacing w:before="43"/>
                          <w:ind w:left="77" w:right="38"/>
                          <w:rPr>
                            <w:sz w:val="21"/>
                          </w:rPr>
                        </w:pPr>
                        <w:r>
                          <w:rPr>
                            <w:sz w:val="21"/>
                          </w:rPr>
                          <w:t>物通道间</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88"/>
                          <w:ind w:left="159" w:right="12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88"/>
                          <w:ind w:left="227" w:right="19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2"/>
                          <w:ind w:right="27"/>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2"/>
                          <w:ind w:left="188" w:right="158"/>
                          <w:rPr>
                            <w:rFonts w:ascii="Times New Roman"/>
                            <w:sz w:val="21"/>
                          </w:rPr>
                        </w:pPr>
                        <w:r>
                          <w:rPr>
                            <w:rFonts w:ascii="Times New Roman"/>
                            <w:sz w:val="21"/>
                          </w:rPr>
                          <w:t>1/4</w:t>
                        </w:r>
                      </w:p>
                    </w:tc>
                    <w:tc>
                      <w:tcPr>
                        <w:tcW w:w="1649" w:type="dxa"/>
                        <w:tcBorders>
                          <w:top w:val="single" w:sz="4" w:space="0" w:color="000000"/>
                          <w:left w:val="single" w:sz="4" w:space="0" w:color="000000"/>
                          <w:bottom w:val="single" w:sz="4" w:space="0" w:color="000000"/>
                          <w:right w:val="nil"/>
                        </w:tcBorders>
                      </w:tcPr>
                      <w:p>
                        <w:pPr>
                          <w:pStyle w:val="TableParagraph"/>
                          <w:spacing w:before="178"/>
                          <w:ind w:left="77" w:right="52"/>
                          <w:rPr>
                            <w:sz w:val="21"/>
                          </w:rPr>
                        </w:pPr>
                        <w:r>
                          <w:rPr>
                            <w:sz w:val="21"/>
                          </w:rPr>
                          <w:t>（散射、漏射）</w:t>
                        </w:r>
                      </w:p>
                    </w:tc>
                  </w:tr>
                  <w:tr>
                    <w:trPr>
                      <w:trHeight w:val="623"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2"/>
                          <w:ind w:left="77" w:right="39"/>
                          <w:rPr>
                            <w:sz w:val="21"/>
                          </w:rPr>
                        </w:pPr>
                        <w:r>
                          <w:rPr>
                            <w:rFonts w:ascii="Times New Roman" w:eastAsia="Times New Roman"/>
                            <w:sz w:val="21"/>
                          </w:rPr>
                          <w:t>3#-</w:t>
                        </w:r>
                        <w:r>
                          <w:rPr>
                            <w:sz w:val="21"/>
                          </w:rPr>
                          <w:t>东侧屏蔽墙外 </w:t>
                        </w:r>
                        <w:r>
                          <w:rPr>
                            <w:rFonts w:ascii="Times New Roman" w:eastAsia="Times New Roman"/>
                            <w:sz w:val="21"/>
                          </w:rPr>
                          <w:t>30cm </w:t>
                        </w:r>
                        <w:r>
                          <w:rPr>
                            <w:sz w:val="21"/>
                          </w:rPr>
                          <w:t>处，洗</w:t>
                        </w:r>
                      </w:p>
                      <w:p>
                        <w:pPr>
                          <w:pStyle w:val="TableParagraph"/>
                          <w:spacing w:before="43"/>
                          <w:ind w:left="77" w:right="35"/>
                          <w:rPr>
                            <w:sz w:val="21"/>
                          </w:rPr>
                        </w:pPr>
                        <w:r>
                          <w:rPr>
                            <w:sz w:val="21"/>
                          </w:rPr>
                          <w:t>瓶室（药剂楼）</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88"/>
                          <w:ind w:left="159" w:right="12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88"/>
                          <w:ind w:left="227" w:right="19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2"/>
                          <w:ind w:left="25"/>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2"/>
                          <w:ind w:left="188" w:right="158"/>
                          <w:rPr>
                            <w:rFonts w:ascii="Times New Roman"/>
                            <w:sz w:val="21"/>
                          </w:rPr>
                        </w:pPr>
                        <w:r>
                          <w:rPr>
                            <w:rFonts w:ascii="Times New Roman"/>
                            <w:sz w:val="21"/>
                          </w:rPr>
                          <w:t>1/4</w:t>
                        </w:r>
                      </w:p>
                    </w:tc>
                    <w:tc>
                      <w:tcPr>
                        <w:tcW w:w="1649" w:type="dxa"/>
                        <w:tcBorders>
                          <w:top w:val="single" w:sz="4" w:space="0" w:color="000000"/>
                          <w:left w:val="single" w:sz="4" w:space="0" w:color="000000"/>
                          <w:bottom w:val="single" w:sz="4" w:space="0" w:color="000000"/>
                          <w:right w:val="nil"/>
                        </w:tcBorders>
                      </w:tcPr>
                      <w:p>
                        <w:pPr>
                          <w:pStyle w:val="TableParagraph"/>
                          <w:spacing w:before="178"/>
                          <w:ind w:left="77" w:right="52"/>
                          <w:rPr>
                            <w:sz w:val="21"/>
                          </w:rPr>
                        </w:pPr>
                        <w:r>
                          <w:rPr>
                            <w:sz w:val="21"/>
                          </w:rPr>
                          <w:t>（散射、漏射）</w:t>
                        </w:r>
                      </w:p>
                    </w:tc>
                  </w:tr>
                  <w:tr>
                    <w:trPr>
                      <w:trHeight w:val="623"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2"/>
                          <w:ind w:left="77" w:right="39"/>
                          <w:rPr>
                            <w:sz w:val="21"/>
                          </w:rPr>
                        </w:pPr>
                        <w:r>
                          <w:rPr>
                            <w:rFonts w:ascii="Times New Roman" w:eastAsia="Times New Roman"/>
                            <w:sz w:val="21"/>
                          </w:rPr>
                          <w:t>4#-</w:t>
                        </w:r>
                        <w:r>
                          <w:rPr>
                            <w:sz w:val="21"/>
                          </w:rPr>
                          <w:t>南侧屏蔽墙外 </w:t>
                        </w:r>
                        <w:r>
                          <w:rPr>
                            <w:rFonts w:ascii="Times New Roman" w:eastAsia="Times New Roman"/>
                            <w:sz w:val="21"/>
                          </w:rPr>
                          <w:t>30cm </w:t>
                        </w:r>
                        <w:r>
                          <w:rPr>
                            <w:sz w:val="21"/>
                          </w:rPr>
                          <w:t>处，通</w:t>
                        </w:r>
                      </w:p>
                      <w:p>
                        <w:pPr>
                          <w:pStyle w:val="TableParagraph"/>
                          <w:spacing w:before="43"/>
                          <w:ind w:left="77" w:right="39"/>
                          <w:rPr>
                            <w:sz w:val="21"/>
                          </w:rPr>
                        </w:pPr>
                        <w:r>
                          <w:rPr>
                            <w:sz w:val="21"/>
                          </w:rPr>
                          <w:t>道（药剂楼）</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88"/>
                          <w:ind w:left="159" w:right="12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88"/>
                          <w:ind w:left="227" w:right="19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2"/>
                          <w:ind w:left="25"/>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2"/>
                          <w:ind w:left="188" w:right="158"/>
                          <w:rPr>
                            <w:rFonts w:ascii="Times New Roman"/>
                            <w:sz w:val="21"/>
                          </w:rPr>
                        </w:pPr>
                        <w:r>
                          <w:rPr>
                            <w:rFonts w:ascii="Times New Roman"/>
                            <w:sz w:val="21"/>
                          </w:rPr>
                          <w:t>1/4</w:t>
                        </w:r>
                      </w:p>
                    </w:tc>
                    <w:tc>
                      <w:tcPr>
                        <w:tcW w:w="1649" w:type="dxa"/>
                        <w:tcBorders>
                          <w:top w:val="single" w:sz="4" w:space="0" w:color="000000"/>
                          <w:left w:val="single" w:sz="4" w:space="0" w:color="000000"/>
                          <w:bottom w:val="single" w:sz="4" w:space="0" w:color="000000"/>
                          <w:right w:val="nil"/>
                        </w:tcBorders>
                      </w:tcPr>
                      <w:p>
                        <w:pPr>
                          <w:pStyle w:val="TableParagraph"/>
                          <w:spacing w:before="178"/>
                          <w:ind w:left="79" w:right="49"/>
                          <w:rPr>
                            <w:sz w:val="21"/>
                          </w:rPr>
                        </w:pPr>
                        <w:r>
                          <w:rPr>
                            <w:sz w:val="21"/>
                          </w:rPr>
                          <w:t>（散射、漏射）</w:t>
                        </w:r>
                      </w:p>
                    </w:tc>
                  </w:tr>
                  <w:tr>
                    <w:trPr>
                      <w:trHeight w:val="623"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2"/>
                          <w:ind w:left="77" w:right="39"/>
                          <w:rPr>
                            <w:sz w:val="21"/>
                          </w:rPr>
                        </w:pPr>
                        <w:r>
                          <w:rPr>
                            <w:rFonts w:ascii="Times New Roman" w:eastAsia="Times New Roman"/>
                            <w:sz w:val="21"/>
                          </w:rPr>
                          <w:t>5#-</w:t>
                        </w:r>
                        <w:r>
                          <w:rPr>
                            <w:sz w:val="21"/>
                          </w:rPr>
                          <w:t>西侧防护门外 </w:t>
                        </w:r>
                        <w:r>
                          <w:rPr>
                            <w:rFonts w:ascii="Times New Roman" w:eastAsia="Times New Roman"/>
                            <w:sz w:val="21"/>
                          </w:rPr>
                          <w:t>30cm </w:t>
                        </w:r>
                        <w:r>
                          <w:rPr>
                            <w:sz w:val="21"/>
                          </w:rPr>
                          <w:t>处，控</w:t>
                        </w:r>
                      </w:p>
                      <w:p>
                        <w:pPr>
                          <w:pStyle w:val="TableParagraph"/>
                          <w:spacing w:before="43"/>
                          <w:ind w:left="77" w:right="38"/>
                          <w:rPr>
                            <w:sz w:val="21"/>
                          </w:rPr>
                        </w:pPr>
                        <w:r>
                          <w:rPr>
                            <w:sz w:val="21"/>
                          </w:rPr>
                          <w:t>制室</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88"/>
                          <w:ind w:left="159" w:right="128"/>
                          <w:rPr>
                            <w:rFonts w:ascii="Times New Roman" w:hAnsi="Times New Roman"/>
                            <w:sz w:val="14"/>
                          </w:rPr>
                        </w:pPr>
                        <w:r>
                          <w:rPr>
                            <w:rFonts w:ascii="Times New Roman" w:hAnsi="Times New Roman"/>
                            <w:sz w:val="21"/>
                          </w:rPr>
                          <w:t>7.93×10</w:t>
                        </w:r>
                        <w:r>
                          <w:rPr>
                            <w:rFonts w:ascii="Times New Roman" w:hAnsi="Times New Roman"/>
                            <w:position w:val="7"/>
                            <w:sz w:val="14"/>
                          </w:rPr>
                          <w:t>-6</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88"/>
                          <w:ind w:left="227" w:right="198"/>
                          <w:rPr>
                            <w:rFonts w:ascii="Times New Roman" w:hAnsi="Times New Roman"/>
                            <w:sz w:val="14"/>
                          </w:rPr>
                        </w:pPr>
                        <w:r>
                          <w:rPr>
                            <w:rFonts w:ascii="Times New Roman" w:hAnsi="Times New Roman"/>
                            <w:sz w:val="21"/>
                          </w:rPr>
                          <w:t>7.93×10</w:t>
                        </w:r>
                        <w:r>
                          <w:rPr>
                            <w:rFonts w:ascii="Times New Roman" w:hAnsi="Times New Roman"/>
                            <w:position w:val="7"/>
                            <w:sz w:val="14"/>
                          </w:rPr>
                          <w:t>-6</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2"/>
                          <w:ind w:left="25"/>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2"/>
                          <w:ind w:left="28"/>
                          <w:rPr>
                            <w:rFonts w:ascii="Times New Roman"/>
                            <w:sz w:val="21"/>
                          </w:rPr>
                        </w:pPr>
                        <w:r>
                          <w:rPr>
                            <w:rFonts w:ascii="Times New Roman"/>
                            <w:w w:val="100"/>
                            <w:sz w:val="21"/>
                          </w:rPr>
                          <w:t>1</w:t>
                        </w:r>
                      </w:p>
                    </w:tc>
                    <w:tc>
                      <w:tcPr>
                        <w:tcW w:w="1649" w:type="dxa"/>
                        <w:tcBorders>
                          <w:top w:val="single" w:sz="4" w:space="0" w:color="000000"/>
                          <w:left w:val="single" w:sz="4" w:space="0" w:color="000000"/>
                          <w:bottom w:val="single" w:sz="4" w:space="0" w:color="000000"/>
                          <w:right w:val="nil"/>
                        </w:tcBorders>
                      </w:tcPr>
                      <w:p>
                        <w:pPr>
                          <w:pStyle w:val="TableParagraph"/>
                          <w:spacing w:before="178"/>
                          <w:ind w:left="79" w:right="49"/>
                          <w:rPr>
                            <w:sz w:val="21"/>
                          </w:rPr>
                        </w:pPr>
                        <w:r>
                          <w:rPr>
                            <w:sz w:val="21"/>
                          </w:rPr>
                          <w:t>（散射、漏射）</w:t>
                        </w:r>
                      </w:p>
                    </w:tc>
                  </w:tr>
                  <w:tr>
                    <w:trPr>
                      <w:trHeight w:val="625"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5"/>
                          <w:ind w:left="77" w:right="39"/>
                          <w:rPr>
                            <w:sz w:val="21"/>
                          </w:rPr>
                        </w:pPr>
                        <w:r>
                          <w:rPr>
                            <w:rFonts w:ascii="Times New Roman" w:eastAsia="Times New Roman"/>
                            <w:sz w:val="21"/>
                          </w:rPr>
                          <w:t>6#-</w:t>
                        </w:r>
                        <w:r>
                          <w:rPr>
                            <w:sz w:val="21"/>
                          </w:rPr>
                          <w:t>西侧屏蔽墙外 </w:t>
                        </w:r>
                        <w:r>
                          <w:rPr>
                            <w:rFonts w:ascii="Times New Roman" w:eastAsia="Times New Roman"/>
                            <w:sz w:val="21"/>
                          </w:rPr>
                          <w:t>30cm </w:t>
                        </w:r>
                        <w:r>
                          <w:rPr>
                            <w:sz w:val="21"/>
                          </w:rPr>
                          <w:t>处，控</w:t>
                        </w:r>
                      </w:p>
                      <w:p>
                        <w:pPr>
                          <w:pStyle w:val="TableParagraph"/>
                          <w:spacing w:before="43"/>
                          <w:ind w:left="77" w:right="38"/>
                          <w:rPr>
                            <w:sz w:val="21"/>
                          </w:rPr>
                        </w:pPr>
                        <w:r>
                          <w:rPr>
                            <w:sz w:val="21"/>
                          </w:rPr>
                          <w:t>制室</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90"/>
                          <w:ind w:left="159" w:right="12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90"/>
                          <w:ind w:left="227" w:right="19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5"/>
                          <w:ind w:left="25"/>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5"/>
                          <w:ind w:left="28"/>
                          <w:rPr>
                            <w:rFonts w:ascii="Times New Roman"/>
                            <w:sz w:val="21"/>
                          </w:rPr>
                        </w:pPr>
                        <w:r>
                          <w:rPr>
                            <w:rFonts w:ascii="Times New Roman"/>
                            <w:w w:val="100"/>
                            <w:sz w:val="21"/>
                          </w:rPr>
                          <w:t>1</w:t>
                        </w:r>
                      </w:p>
                    </w:tc>
                    <w:tc>
                      <w:tcPr>
                        <w:tcW w:w="1649" w:type="dxa"/>
                        <w:tcBorders>
                          <w:top w:val="single" w:sz="4" w:space="0" w:color="000000"/>
                          <w:left w:val="single" w:sz="4" w:space="0" w:color="000000"/>
                          <w:bottom w:val="single" w:sz="4" w:space="0" w:color="000000"/>
                          <w:right w:val="nil"/>
                        </w:tcBorders>
                      </w:tcPr>
                      <w:p>
                        <w:pPr>
                          <w:pStyle w:val="TableParagraph"/>
                          <w:spacing w:before="181"/>
                          <w:ind w:left="79" w:right="49"/>
                          <w:rPr>
                            <w:sz w:val="21"/>
                          </w:rPr>
                        </w:pPr>
                        <w:r>
                          <w:rPr>
                            <w:sz w:val="21"/>
                          </w:rPr>
                          <w:t>（散射、漏射）</w:t>
                        </w:r>
                      </w:p>
                    </w:tc>
                  </w:tr>
                  <w:tr>
                    <w:trPr>
                      <w:trHeight w:val="623"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2"/>
                          <w:ind w:left="77" w:right="39"/>
                          <w:rPr>
                            <w:sz w:val="21"/>
                          </w:rPr>
                        </w:pPr>
                        <w:r>
                          <w:rPr>
                            <w:rFonts w:ascii="Times New Roman" w:eastAsia="Times New Roman"/>
                            <w:sz w:val="21"/>
                          </w:rPr>
                          <w:t>7#-</w:t>
                        </w:r>
                        <w:r>
                          <w:rPr>
                            <w:sz w:val="21"/>
                          </w:rPr>
                          <w:t>西侧铅玻璃外 </w:t>
                        </w:r>
                        <w:r>
                          <w:rPr>
                            <w:rFonts w:ascii="Times New Roman" w:eastAsia="Times New Roman"/>
                            <w:sz w:val="21"/>
                          </w:rPr>
                          <w:t>30cm </w:t>
                        </w:r>
                        <w:r>
                          <w:rPr>
                            <w:sz w:val="21"/>
                          </w:rPr>
                          <w:t>处，控</w:t>
                        </w:r>
                      </w:p>
                      <w:p>
                        <w:pPr>
                          <w:pStyle w:val="TableParagraph"/>
                          <w:spacing w:before="43"/>
                          <w:ind w:left="77" w:right="38"/>
                          <w:rPr>
                            <w:sz w:val="21"/>
                          </w:rPr>
                        </w:pPr>
                        <w:r>
                          <w:rPr>
                            <w:sz w:val="21"/>
                          </w:rPr>
                          <w:t>制室</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88"/>
                          <w:ind w:left="159" w:right="128"/>
                          <w:rPr>
                            <w:rFonts w:ascii="Times New Roman" w:hAnsi="Times New Roman"/>
                            <w:sz w:val="14"/>
                          </w:rPr>
                        </w:pPr>
                        <w:r>
                          <w:rPr>
                            <w:rFonts w:ascii="Times New Roman" w:hAnsi="Times New Roman"/>
                            <w:sz w:val="21"/>
                          </w:rPr>
                          <w:t>7.93×10</w:t>
                        </w:r>
                        <w:r>
                          <w:rPr>
                            <w:rFonts w:ascii="Times New Roman" w:hAnsi="Times New Roman"/>
                            <w:position w:val="7"/>
                            <w:sz w:val="14"/>
                          </w:rPr>
                          <w:t>-6</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88"/>
                          <w:ind w:left="227" w:right="198"/>
                          <w:rPr>
                            <w:rFonts w:ascii="Times New Roman" w:hAnsi="Times New Roman"/>
                            <w:sz w:val="14"/>
                          </w:rPr>
                        </w:pPr>
                        <w:r>
                          <w:rPr>
                            <w:rFonts w:ascii="Times New Roman" w:hAnsi="Times New Roman"/>
                            <w:sz w:val="21"/>
                          </w:rPr>
                          <w:t>7.93×10</w:t>
                        </w:r>
                        <w:r>
                          <w:rPr>
                            <w:rFonts w:ascii="Times New Roman" w:hAnsi="Times New Roman"/>
                            <w:position w:val="7"/>
                            <w:sz w:val="14"/>
                          </w:rPr>
                          <w:t>-6</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2"/>
                          <w:ind w:left="25"/>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2"/>
                          <w:ind w:left="28"/>
                          <w:rPr>
                            <w:rFonts w:ascii="Times New Roman"/>
                            <w:sz w:val="21"/>
                          </w:rPr>
                        </w:pPr>
                        <w:r>
                          <w:rPr>
                            <w:rFonts w:ascii="Times New Roman"/>
                            <w:w w:val="100"/>
                            <w:sz w:val="21"/>
                          </w:rPr>
                          <w:t>1</w:t>
                        </w:r>
                      </w:p>
                    </w:tc>
                    <w:tc>
                      <w:tcPr>
                        <w:tcW w:w="1649" w:type="dxa"/>
                        <w:tcBorders>
                          <w:top w:val="single" w:sz="4" w:space="0" w:color="000000"/>
                          <w:left w:val="single" w:sz="4" w:space="0" w:color="000000"/>
                          <w:bottom w:val="single" w:sz="4" w:space="0" w:color="000000"/>
                          <w:right w:val="nil"/>
                        </w:tcBorders>
                      </w:tcPr>
                      <w:p>
                        <w:pPr>
                          <w:pStyle w:val="TableParagraph"/>
                          <w:spacing w:before="178"/>
                          <w:ind w:left="79" w:right="49"/>
                          <w:rPr>
                            <w:sz w:val="21"/>
                          </w:rPr>
                        </w:pPr>
                        <w:r>
                          <w:rPr>
                            <w:sz w:val="21"/>
                          </w:rPr>
                          <w:t>（散射、漏射）</w:t>
                        </w:r>
                      </w:p>
                    </w:tc>
                  </w:tr>
                  <w:tr>
                    <w:trPr>
                      <w:trHeight w:val="623"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2"/>
                          <w:ind w:left="77" w:right="39"/>
                          <w:rPr>
                            <w:sz w:val="21"/>
                          </w:rPr>
                        </w:pPr>
                        <w:r>
                          <w:rPr>
                            <w:rFonts w:ascii="Times New Roman" w:eastAsia="Times New Roman"/>
                            <w:sz w:val="21"/>
                          </w:rPr>
                          <w:t>8#-</w:t>
                        </w:r>
                        <w:r>
                          <w:rPr>
                            <w:sz w:val="21"/>
                          </w:rPr>
                          <w:t>西侧屏蔽墙外 </w:t>
                        </w:r>
                        <w:r>
                          <w:rPr>
                            <w:rFonts w:ascii="Times New Roman" w:eastAsia="Times New Roman"/>
                            <w:sz w:val="21"/>
                          </w:rPr>
                          <w:t>30cm </w:t>
                        </w:r>
                        <w:r>
                          <w:rPr>
                            <w:sz w:val="21"/>
                          </w:rPr>
                          <w:t>处，设</w:t>
                        </w:r>
                      </w:p>
                      <w:p>
                        <w:pPr>
                          <w:pStyle w:val="TableParagraph"/>
                          <w:spacing w:before="43"/>
                          <w:ind w:left="77" w:right="38"/>
                          <w:rPr>
                            <w:sz w:val="21"/>
                          </w:rPr>
                        </w:pPr>
                        <w:r>
                          <w:rPr>
                            <w:sz w:val="21"/>
                          </w:rPr>
                          <w:t>备间</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88"/>
                          <w:ind w:left="159" w:right="12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88"/>
                          <w:ind w:left="227" w:right="19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2"/>
                          <w:ind w:left="25"/>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2"/>
                          <w:ind w:left="28"/>
                          <w:rPr>
                            <w:rFonts w:ascii="Times New Roman"/>
                            <w:sz w:val="21"/>
                          </w:rPr>
                        </w:pPr>
                        <w:r>
                          <w:rPr>
                            <w:rFonts w:ascii="Times New Roman"/>
                            <w:w w:val="100"/>
                            <w:sz w:val="21"/>
                          </w:rPr>
                          <w:t>1</w:t>
                        </w:r>
                      </w:p>
                    </w:tc>
                    <w:tc>
                      <w:tcPr>
                        <w:tcW w:w="1649" w:type="dxa"/>
                        <w:tcBorders>
                          <w:top w:val="single" w:sz="4" w:space="0" w:color="000000"/>
                          <w:left w:val="single" w:sz="4" w:space="0" w:color="000000"/>
                          <w:bottom w:val="single" w:sz="4" w:space="0" w:color="000000"/>
                          <w:right w:val="nil"/>
                        </w:tcBorders>
                      </w:tcPr>
                      <w:p>
                        <w:pPr>
                          <w:pStyle w:val="TableParagraph"/>
                          <w:spacing w:before="178"/>
                          <w:ind w:left="79" w:right="49"/>
                          <w:rPr>
                            <w:sz w:val="21"/>
                          </w:rPr>
                        </w:pPr>
                        <w:r>
                          <w:rPr>
                            <w:sz w:val="21"/>
                          </w:rPr>
                          <w:t>（散射、漏射）</w:t>
                        </w:r>
                      </w:p>
                    </w:tc>
                  </w:tr>
                  <w:tr>
                    <w:trPr>
                      <w:trHeight w:val="623"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2"/>
                          <w:ind w:left="77" w:right="39"/>
                          <w:rPr>
                            <w:sz w:val="21"/>
                          </w:rPr>
                        </w:pPr>
                        <w:r>
                          <w:rPr>
                            <w:rFonts w:ascii="Times New Roman" w:eastAsia="Times New Roman"/>
                            <w:sz w:val="21"/>
                          </w:rPr>
                          <w:t>9#-</w:t>
                        </w:r>
                        <w:r>
                          <w:rPr>
                            <w:sz w:val="21"/>
                          </w:rPr>
                          <w:t>北侧屏蔽墙外 </w:t>
                        </w:r>
                        <w:r>
                          <w:rPr>
                            <w:rFonts w:ascii="Times New Roman" w:eastAsia="Times New Roman"/>
                            <w:sz w:val="21"/>
                          </w:rPr>
                          <w:t>30cm </w:t>
                        </w:r>
                        <w:r>
                          <w:rPr>
                            <w:sz w:val="21"/>
                          </w:rPr>
                          <w:t>处，医</w:t>
                        </w:r>
                      </w:p>
                      <w:p>
                        <w:pPr>
                          <w:pStyle w:val="TableParagraph"/>
                          <w:spacing w:before="43"/>
                          <w:ind w:left="77" w:right="37"/>
                          <w:rPr>
                            <w:sz w:val="21"/>
                          </w:rPr>
                        </w:pPr>
                        <w:r>
                          <w:rPr>
                            <w:sz w:val="21"/>
                          </w:rPr>
                          <w:t>生通道</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88"/>
                          <w:ind w:left="159" w:right="12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88"/>
                          <w:ind w:left="227" w:right="198"/>
                          <w:rPr>
                            <w:rFonts w:ascii="Times New Roman" w:hAnsi="Times New Roman"/>
                            <w:sz w:val="14"/>
                          </w:rPr>
                        </w:pPr>
                        <w:r>
                          <w:rPr>
                            <w:rFonts w:ascii="Times New Roman" w:hAnsi="Times New Roman"/>
                            <w:sz w:val="21"/>
                          </w:rPr>
                          <w:t>4.86×10</w:t>
                        </w:r>
                        <w:r>
                          <w:rPr>
                            <w:rFonts w:ascii="Times New Roman" w:hAnsi="Times New Roman"/>
                            <w:position w:val="7"/>
                            <w:sz w:val="14"/>
                          </w:rPr>
                          <w:t>-7</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2"/>
                          <w:ind w:left="25"/>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2"/>
                          <w:ind w:left="28"/>
                          <w:rPr>
                            <w:rFonts w:ascii="Times New Roman"/>
                            <w:sz w:val="21"/>
                          </w:rPr>
                        </w:pPr>
                        <w:r>
                          <w:rPr>
                            <w:rFonts w:ascii="Times New Roman"/>
                            <w:w w:val="100"/>
                            <w:sz w:val="21"/>
                          </w:rPr>
                          <w:t>1</w:t>
                        </w:r>
                      </w:p>
                    </w:tc>
                    <w:tc>
                      <w:tcPr>
                        <w:tcW w:w="1649" w:type="dxa"/>
                        <w:tcBorders>
                          <w:top w:val="single" w:sz="4" w:space="0" w:color="000000"/>
                          <w:left w:val="single" w:sz="4" w:space="0" w:color="000000"/>
                          <w:bottom w:val="single" w:sz="4" w:space="0" w:color="000000"/>
                          <w:right w:val="nil"/>
                        </w:tcBorders>
                      </w:tcPr>
                      <w:p>
                        <w:pPr>
                          <w:pStyle w:val="TableParagraph"/>
                          <w:spacing w:before="178"/>
                          <w:ind w:left="79" w:right="49"/>
                          <w:rPr>
                            <w:sz w:val="21"/>
                          </w:rPr>
                        </w:pPr>
                        <w:r>
                          <w:rPr>
                            <w:sz w:val="21"/>
                          </w:rPr>
                          <w:t>（散射、漏射）</w:t>
                        </w:r>
                      </w:p>
                    </w:tc>
                  </w:tr>
                  <w:tr>
                    <w:trPr>
                      <w:trHeight w:val="623" w:hRule="atLeast"/>
                    </w:trPr>
                    <w:tc>
                      <w:tcPr>
                        <w:tcW w:w="3060" w:type="dxa"/>
                        <w:gridSpan w:val="2"/>
                        <w:tcBorders>
                          <w:top w:val="single" w:sz="4" w:space="0" w:color="000000"/>
                          <w:left w:val="nil"/>
                          <w:bottom w:val="single" w:sz="4" w:space="0" w:color="000000"/>
                          <w:right w:val="single" w:sz="4" w:space="0" w:color="000000"/>
                        </w:tcBorders>
                      </w:tcPr>
                      <w:p>
                        <w:pPr>
                          <w:pStyle w:val="TableParagraph"/>
                          <w:spacing w:before="22"/>
                          <w:ind w:left="77" w:right="39"/>
                          <w:rPr>
                            <w:sz w:val="21"/>
                          </w:rPr>
                        </w:pPr>
                        <w:r>
                          <w:rPr>
                            <w:rFonts w:ascii="Times New Roman" w:eastAsia="Times New Roman"/>
                            <w:sz w:val="21"/>
                          </w:rPr>
                          <w:t>10#-</w:t>
                        </w:r>
                        <w:r>
                          <w:rPr>
                            <w:sz w:val="21"/>
                          </w:rPr>
                          <w:t>北侧防护门外 </w:t>
                        </w:r>
                        <w:r>
                          <w:rPr>
                            <w:rFonts w:ascii="Times New Roman" w:eastAsia="Times New Roman"/>
                            <w:sz w:val="21"/>
                          </w:rPr>
                          <w:t>30cm </w:t>
                        </w:r>
                        <w:r>
                          <w:rPr>
                            <w:sz w:val="21"/>
                          </w:rPr>
                          <w:t>处，病</w:t>
                        </w:r>
                      </w:p>
                      <w:p>
                        <w:pPr>
                          <w:pStyle w:val="TableParagraph"/>
                          <w:spacing w:before="43"/>
                          <w:ind w:left="77" w:right="36"/>
                          <w:rPr>
                            <w:sz w:val="21"/>
                          </w:rPr>
                        </w:pPr>
                        <w:r>
                          <w:rPr>
                            <w:sz w:val="21"/>
                          </w:rPr>
                          <w:t>员通道及家属等候区</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188"/>
                          <w:ind w:left="159" w:right="128"/>
                          <w:rPr>
                            <w:rFonts w:ascii="Times New Roman" w:hAnsi="Times New Roman"/>
                            <w:sz w:val="14"/>
                          </w:rPr>
                        </w:pPr>
                        <w:r>
                          <w:rPr>
                            <w:rFonts w:ascii="Times New Roman" w:hAnsi="Times New Roman"/>
                            <w:sz w:val="21"/>
                          </w:rPr>
                          <w:t>7.93×10</w:t>
                        </w:r>
                        <w:r>
                          <w:rPr>
                            <w:rFonts w:ascii="Times New Roman" w:hAnsi="Times New Roman"/>
                            <w:position w:val="7"/>
                            <w:sz w:val="14"/>
                          </w:rPr>
                          <w:t>-6</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188"/>
                          <w:ind w:left="227" w:right="198"/>
                          <w:rPr>
                            <w:rFonts w:ascii="Times New Roman" w:hAnsi="Times New Roman"/>
                            <w:sz w:val="14"/>
                          </w:rPr>
                        </w:pPr>
                        <w:r>
                          <w:rPr>
                            <w:rFonts w:ascii="Times New Roman" w:hAnsi="Times New Roman"/>
                            <w:sz w:val="21"/>
                          </w:rPr>
                          <w:t>7.93×10</w:t>
                        </w:r>
                        <w:r>
                          <w:rPr>
                            <w:rFonts w:ascii="Times New Roman" w:hAnsi="Times New Roman"/>
                            <w:position w:val="7"/>
                            <w:sz w:val="14"/>
                          </w:rPr>
                          <w:t>-6</w:t>
                        </w:r>
                      </w:p>
                    </w:tc>
                    <w:tc>
                      <w:tcPr>
                        <w:tcW w:w="1145" w:type="dxa"/>
                        <w:tcBorders>
                          <w:top w:val="single" w:sz="4" w:space="0" w:color="000000"/>
                          <w:left w:val="single" w:sz="4" w:space="0" w:color="000000"/>
                          <w:bottom w:val="single" w:sz="4" w:space="0" w:color="000000"/>
                          <w:right w:val="single" w:sz="4" w:space="0" w:color="000000"/>
                        </w:tcBorders>
                      </w:tcPr>
                      <w:p>
                        <w:pPr>
                          <w:pStyle w:val="TableParagraph"/>
                          <w:spacing w:before="192"/>
                          <w:ind w:left="25"/>
                          <w:rPr>
                            <w:rFonts w:ascii="Times New Roman"/>
                            <w:sz w:val="21"/>
                          </w:rPr>
                        </w:pPr>
                        <w:r>
                          <w:rPr>
                            <w:rFonts w:ascii="Times New Roman"/>
                            <w:w w:val="100"/>
                            <w:sz w:val="21"/>
                          </w:rPr>
                          <w:t>/</w:t>
                        </w:r>
                      </w:p>
                    </w:tc>
                    <w:tc>
                      <w:tcPr>
                        <w:tcW w:w="665" w:type="dxa"/>
                        <w:tcBorders>
                          <w:top w:val="single" w:sz="4" w:space="0" w:color="000000"/>
                          <w:left w:val="single" w:sz="4" w:space="0" w:color="000000"/>
                          <w:bottom w:val="single" w:sz="4" w:space="0" w:color="000000"/>
                          <w:right w:val="single" w:sz="4" w:space="0" w:color="000000"/>
                        </w:tcBorders>
                      </w:tcPr>
                      <w:p>
                        <w:pPr>
                          <w:pStyle w:val="TableParagraph"/>
                          <w:spacing w:before="192"/>
                          <w:ind w:left="188" w:right="158"/>
                          <w:rPr>
                            <w:rFonts w:ascii="Times New Roman"/>
                            <w:sz w:val="21"/>
                          </w:rPr>
                        </w:pPr>
                        <w:r>
                          <w:rPr>
                            <w:rFonts w:ascii="Times New Roman"/>
                            <w:sz w:val="21"/>
                          </w:rPr>
                          <w:t>1/4</w:t>
                        </w:r>
                      </w:p>
                    </w:tc>
                    <w:tc>
                      <w:tcPr>
                        <w:tcW w:w="1649" w:type="dxa"/>
                        <w:tcBorders>
                          <w:top w:val="single" w:sz="4" w:space="0" w:color="000000"/>
                          <w:left w:val="single" w:sz="4" w:space="0" w:color="000000"/>
                          <w:bottom w:val="single" w:sz="4" w:space="0" w:color="000000"/>
                          <w:right w:val="nil"/>
                        </w:tcBorders>
                      </w:tcPr>
                      <w:p>
                        <w:pPr>
                          <w:pStyle w:val="TableParagraph"/>
                          <w:spacing w:before="178"/>
                          <w:ind w:left="79" w:right="49"/>
                          <w:rPr>
                            <w:sz w:val="21"/>
                          </w:rPr>
                        </w:pPr>
                        <w:r>
                          <w:rPr>
                            <w:sz w:val="21"/>
                          </w:rPr>
                          <w:t>（散射、漏射）</w:t>
                        </w:r>
                      </w:p>
                    </w:tc>
                  </w:tr>
                  <w:tr>
                    <w:trPr>
                      <w:trHeight w:val="369" w:hRule="atLeast"/>
                    </w:trPr>
                    <w:tc>
                      <w:tcPr>
                        <w:tcW w:w="1668" w:type="dxa"/>
                        <w:vMerge w:val="restart"/>
                        <w:tcBorders>
                          <w:top w:val="single" w:sz="4" w:space="0" w:color="000000"/>
                          <w:left w:val="nil"/>
                          <w:bottom w:val="single" w:sz="4" w:space="0" w:color="000000"/>
                          <w:right w:val="single" w:sz="4" w:space="0" w:color="000000"/>
                        </w:tcBorders>
                      </w:tcPr>
                      <w:p>
                        <w:pPr>
                          <w:pStyle w:val="TableParagraph"/>
                          <w:spacing w:before="10"/>
                          <w:jc w:val="left"/>
                          <w:rPr>
                            <w:sz w:val="18"/>
                          </w:rPr>
                        </w:pPr>
                      </w:p>
                      <w:p>
                        <w:pPr>
                          <w:pStyle w:val="TableParagraph"/>
                          <w:ind w:left="151"/>
                          <w:jc w:val="left"/>
                          <w:rPr>
                            <w:sz w:val="21"/>
                          </w:rPr>
                        </w:pPr>
                        <w:r>
                          <w:rPr>
                            <w:rFonts w:ascii="Times New Roman" w:eastAsia="Times New Roman"/>
                            <w:sz w:val="21"/>
                          </w:rPr>
                          <w:t>11#-</w:t>
                        </w:r>
                        <w:r>
                          <w:rPr>
                            <w:sz w:val="21"/>
                          </w:rPr>
                          <w:t>第一术者位</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before="51"/>
                          <w:ind w:left="372" w:right="339"/>
                          <w:rPr>
                            <w:sz w:val="21"/>
                          </w:rPr>
                        </w:pPr>
                        <w:r>
                          <w:rPr>
                            <w:sz w:val="21"/>
                          </w:rPr>
                          <w:t>铅衣内</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60"/>
                          <w:ind w:left="160" w:right="128"/>
                          <w:rPr>
                            <w:rFonts w:ascii="Times New Roman" w:hAnsi="Times New Roman"/>
                            <w:sz w:val="14"/>
                          </w:rPr>
                        </w:pPr>
                        <w:r>
                          <w:rPr>
                            <w:rFonts w:ascii="Times New Roman" w:hAnsi="Times New Roman"/>
                            <w:sz w:val="21"/>
                          </w:rPr>
                          <w:t>4.08×10</w:t>
                        </w:r>
                        <w:r>
                          <w:rPr>
                            <w:rFonts w:ascii="Times New Roman" w:hAnsi="Times New Roman"/>
                            <w:position w:val="7"/>
                            <w:sz w:val="14"/>
                          </w:rPr>
                          <w:t>-3</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60"/>
                          <w:ind w:left="226" w:right="198"/>
                          <w:rPr>
                            <w:rFonts w:ascii="Times New Roman" w:hAnsi="Times New Roman"/>
                            <w:sz w:val="14"/>
                          </w:rPr>
                        </w:pPr>
                        <w:r>
                          <w:rPr>
                            <w:rFonts w:ascii="Times New Roman" w:hAnsi="Times New Roman"/>
                            <w:sz w:val="21"/>
                          </w:rPr>
                          <w:t>4.08×10</w:t>
                        </w:r>
                        <w:r>
                          <w:rPr>
                            <w:rFonts w:ascii="Times New Roman" w:hAnsi="Times New Roman"/>
                            <w:position w:val="7"/>
                            <w:sz w:val="14"/>
                          </w:rPr>
                          <w:t>-3</w:t>
                        </w:r>
                      </w:p>
                    </w:tc>
                    <w:tc>
                      <w:tcPr>
                        <w:tcW w:w="114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jc w:val="left"/>
                          <w:rPr>
                            <w:sz w:val="19"/>
                          </w:rPr>
                        </w:pPr>
                      </w:p>
                      <w:p>
                        <w:pPr>
                          <w:pStyle w:val="TableParagraph"/>
                          <w:ind w:left="26"/>
                          <w:rPr>
                            <w:rFonts w:ascii="Times New Roman"/>
                            <w:sz w:val="21"/>
                          </w:rPr>
                        </w:pPr>
                        <w:r>
                          <w:rPr>
                            <w:rFonts w:ascii="Times New Roman"/>
                            <w:w w:val="100"/>
                            <w:sz w:val="21"/>
                          </w:rPr>
                          <w:t>/</w:t>
                        </w:r>
                      </w:p>
                    </w:tc>
                    <w:tc>
                      <w:tcPr>
                        <w:tcW w:w="66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jc w:val="left"/>
                          <w:rPr>
                            <w:sz w:val="19"/>
                          </w:rPr>
                        </w:pPr>
                      </w:p>
                      <w:p>
                        <w:pPr>
                          <w:pStyle w:val="TableParagraph"/>
                          <w:ind w:left="30"/>
                          <w:rPr>
                            <w:rFonts w:ascii="Times New Roman"/>
                            <w:sz w:val="21"/>
                          </w:rPr>
                        </w:pPr>
                        <w:r>
                          <w:rPr>
                            <w:rFonts w:ascii="Times New Roman"/>
                            <w:w w:val="100"/>
                            <w:sz w:val="21"/>
                          </w:rPr>
                          <w:t>1</w:t>
                        </w:r>
                      </w:p>
                    </w:tc>
                    <w:tc>
                      <w:tcPr>
                        <w:tcW w:w="1649" w:type="dxa"/>
                        <w:vMerge w:val="restart"/>
                        <w:tcBorders>
                          <w:top w:val="single" w:sz="4" w:space="0" w:color="000000"/>
                          <w:left w:val="single" w:sz="4" w:space="0" w:color="000000"/>
                          <w:bottom w:val="single" w:sz="4" w:space="0" w:color="000000"/>
                          <w:right w:val="nil"/>
                        </w:tcBorders>
                      </w:tcPr>
                      <w:p>
                        <w:pPr>
                          <w:pStyle w:val="TableParagraph"/>
                          <w:spacing w:before="10"/>
                          <w:jc w:val="left"/>
                          <w:rPr>
                            <w:sz w:val="18"/>
                          </w:rPr>
                        </w:pPr>
                      </w:p>
                      <w:p>
                        <w:pPr>
                          <w:pStyle w:val="TableParagraph"/>
                          <w:ind w:left="119"/>
                          <w:jc w:val="left"/>
                          <w:rPr>
                            <w:sz w:val="21"/>
                          </w:rPr>
                        </w:pPr>
                        <w:r>
                          <w:rPr>
                            <w:sz w:val="21"/>
                          </w:rPr>
                          <w:t>（散射、漏射）</w:t>
                        </w:r>
                      </w:p>
                    </w:tc>
                  </w:tr>
                  <w:tr>
                    <w:trPr>
                      <w:trHeight w:val="369" w:hRule="atLeast"/>
                    </w:trPr>
                    <w:tc>
                      <w:tcPr>
                        <w:tcW w:w="1668" w:type="dxa"/>
                        <w:vMerge/>
                        <w:tcBorders>
                          <w:top w:val="nil"/>
                          <w:left w:val="nil"/>
                          <w:bottom w:val="single" w:sz="4" w:space="0" w:color="000000"/>
                          <w:right w:val="single" w:sz="4" w:space="0" w:color="000000"/>
                        </w:tcBorders>
                      </w:tcPr>
                      <w:p>
                        <w:pPr>
                          <w:rPr>
                            <w:sz w:val="2"/>
                            <w:szCs w:val="2"/>
                          </w:rPr>
                        </w:pP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before="51"/>
                          <w:ind w:left="372" w:right="339"/>
                          <w:rPr>
                            <w:sz w:val="21"/>
                          </w:rPr>
                        </w:pPr>
                        <w:r>
                          <w:rPr>
                            <w:sz w:val="21"/>
                          </w:rPr>
                          <w:t>铅衣外</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60"/>
                          <w:ind w:left="160" w:right="128"/>
                          <w:rPr>
                            <w:rFonts w:ascii="Times New Roman" w:hAnsi="Times New Roman"/>
                            <w:sz w:val="14"/>
                          </w:rPr>
                        </w:pPr>
                        <w:r>
                          <w:rPr>
                            <w:rFonts w:ascii="Times New Roman" w:hAnsi="Times New Roman"/>
                            <w:sz w:val="21"/>
                          </w:rPr>
                          <w:t>2.52×10</w:t>
                        </w:r>
                        <w:r>
                          <w:rPr>
                            <w:rFonts w:ascii="Times New Roman" w:hAnsi="Times New Roman"/>
                            <w:position w:val="7"/>
                            <w:sz w:val="14"/>
                          </w:rPr>
                          <w:t>-2</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60"/>
                          <w:ind w:left="227" w:right="198"/>
                          <w:rPr>
                            <w:rFonts w:ascii="Times New Roman" w:hAnsi="Times New Roman"/>
                            <w:sz w:val="14"/>
                          </w:rPr>
                        </w:pPr>
                        <w:r>
                          <w:rPr>
                            <w:rFonts w:ascii="Times New Roman" w:hAnsi="Times New Roman"/>
                            <w:sz w:val="21"/>
                          </w:rPr>
                          <w:t>2.52×10</w:t>
                        </w:r>
                        <w:r>
                          <w:rPr>
                            <w:rFonts w:ascii="Times New Roman" w:hAnsi="Times New Roman"/>
                            <w:position w:val="7"/>
                            <w:sz w:val="14"/>
                          </w:rPr>
                          <w:t>-2</w:t>
                        </w:r>
                      </w:p>
                    </w:tc>
                    <w:tc>
                      <w:tcPr>
                        <w:tcW w:w="1145" w:type="dxa"/>
                        <w:vMerge/>
                        <w:tcBorders>
                          <w:top w:val="nil"/>
                          <w:left w:val="single" w:sz="4" w:space="0" w:color="000000"/>
                          <w:bottom w:val="single" w:sz="4" w:space="0" w:color="000000"/>
                          <w:right w:val="single" w:sz="4" w:space="0" w:color="000000"/>
                        </w:tcBorders>
                      </w:tcPr>
                      <w:p>
                        <w:pPr>
                          <w:rPr>
                            <w:sz w:val="2"/>
                            <w:szCs w:val="2"/>
                          </w:rPr>
                        </w:pPr>
                      </w:p>
                    </w:tc>
                    <w:tc>
                      <w:tcPr>
                        <w:tcW w:w="665" w:type="dxa"/>
                        <w:vMerge/>
                        <w:tcBorders>
                          <w:top w:val="nil"/>
                          <w:left w:val="single" w:sz="4" w:space="0" w:color="000000"/>
                          <w:bottom w:val="single" w:sz="4" w:space="0" w:color="000000"/>
                          <w:right w:val="single" w:sz="4" w:space="0" w:color="000000"/>
                        </w:tcBorders>
                      </w:tcPr>
                      <w:p>
                        <w:pPr>
                          <w:rPr>
                            <w:sz w:val="2"/>
                            <w:szCs w:val="2"/>
                          </w:rPr>
                        </w:pPr>
                      </w:p>
                    </w:tc>
                    <w:tc>
                      <w:tcPr>
                        <w:tcW w:w="1649" w:type="dxa"/>
                        <w:vMerge/>
                        <w:tcBorders>
                          <w:top w:val="nil"/>
                          <w:left w:val="single" w:sz="4" w:space="0" w:color="000000"/>
                          <w:bottom w:val="single" w:sz="4" w:space="0" w:color="000000"/>
                          <w:right w:val="nil"/>
                        </w:tcBorders>
                      </w:tcPr>
                      <w:p>
                        <w:pPr>
                          <w:rPr>
                            <w:sz w:val="2"/>
                            <w:szCs w:val="2"/>
                          </w:rPr>
                        </w:pPr>
                      </w:p>
                    </w:tc>
                  </w:tr>
                  <w:tr>
                    <w:trPr>
                      <w:trHeight w:val="359" w:hRule="atLeast"/>
                    </w:trPr>
                    <w:tc>
                      <w:tcPr>
                        <w:tcW w:w="1668" w:type="dxa"/>
                        <w:vMerge w:val="restart"/>
                        <w:tcBorders>
                          <w:top w:val="single" w:sz="4" w:space="0" w:color="000000"/>
                          <w:left w:val="nil"/>
                          <w:right w:val="single" w:sz="4" w:space="0" w:color="000000"/>
                        </w:tcBorders>
                      </w:tcPr>
                      <w:p>
                        <w:pPr>
                          <w:pStyle w:val="TableParagraph"/>
                          <w:spacing w:before="10"/>
                          <w:jc w:val="left"/>
                          <w:rPr>
                            <w:sz w:val="18"/>
                          </w:rPr>
                        </w:pPr>
                      </w:p>
                      <w:p>
                        <w:pPr>
                          <w:pStyle w:val="TableParagraph"/>
                          <w:ind w:left="151"/>
                          <w:jc w:val="left"/>
                          <w:rPr>
                            <w:sz w:val="21"/>
                          </w:rPr>
                        </w:pPr>
                        <w:r>
                          <w:rPr>
                            <w:rFonts w:ascii="Times New Roman" w:eastAsia="Times New Roman"/>
                            <w:sz w:val="21"/>
                          </w:rPr>
                          <w:t>12#-</w:t>
                        </w:r>
                        <w:r>
                          <w:rPr>
                            <w:sz w:val="21"/>
                          </w:rPr>
                          <w:t>第二术者位</w:t>
                        </w:r>
                      </w:p>
                    </w:tc>
                    <w:tc>
                      <w:tcPr>
                        <w:tcW w:w="1392" w:type="dxa"/>
                        <w:tcBorders>
                          <w:top w:val="single" w:sz="4" w:space="0" w:color="000000"/>
                          <w:left w:val="single" w:sz="4" w:space="0" w:color="000000"/>
                          <w:bottom w:val="single" w:sz="4" w:space="0" w:color="000000"/>
                          <w:right w:val="single" w:sz="4" w:space="0" w:color="000000"/>
                        </w:tcBorders>
                      </w:tcPr>
                      <w:p>
                        <w:pPr>
                          <w:pStyle w:val="TableParagraph"/>
                          <w:spacing w:before="51"/>
                          <w:ind w:left="372" w:right="339"/>
                          <w:rPr>
                            <w:sz w:val="21"/>
                          </w:rPr>
                        </w:pPr>
                        <w:r>
                          <w:rPr>
                            <w:sz w:val="21"/>
                          </w:rPr>
                          <w:t>铅衣内</w:t>
                        </w:r>
                      </w:p>
                    </w:tc>
                    <w:tc>
                      <w:tcPr>
                        <w:tcW w:w="1152" w:type="dxa"/>
                        <w:tcBorders>
                          <w:top w:val="single" w:sz="4" w:space="0" w:color="000000"/>
                          <w:left w:val="single" w:sz="4" w:space="0" w:color="000000"/>
                          <w:bottom w:val="single" w:sz="4" w:space="0" w:color="000000"/>
                          <w:right w:val="single" w:sz="4" w:space="0" w:color="000000"/>
                        </w:tcBorders>
                      </w:tcPr>
                      <w:p>
                        <w:pPr>
                          <w:pStyle w:val="TableParagraph"/>
                          <w:spacing w:before="60"/>
                          <w:ind w:left="160" w:right="128"/>
                          <w:rPr>
                            <w:rFonts w:ascii="Times New Roman" w:hAnsi="Times New Roman"/>
                            <w:sz w:val="14"/>
                          </w:rPr>
                        </w:pPr>
                        <w:r>
                          <w:rPr>
                            <w:rFonts w:ascii="Times New Roman" w:hAnsi="Times New Roman"/>
                            <w:sz w:val="21"/>
                          </w:rPr>
                          <w:t>4.08×10</w:t>
                        </w:r>
                        <w:r>
                          <w:rPr>
                            <w:rFonts w:ascii="Times New Roman" w:hAnsi="Times New Roman"/>
                            <w:position w:val="7"/>
                            <w:sz w:val="14"/>
                          </w:rPr>
                          <w:t>-3</w:t>
                        </w:r>
                      </w:p>
                    </w:tc>
                    <w:tc>
                      <w:tcPr>
                        <w:tcW w:w="1289" w:type="dxa"/>
                        <w:tcBorders>
                          <w:top w:val="single" w:sz="4" w:space="0" w:color="000000"/>
                          <w:left w:val="single" w:sz="4" w:space="0" w:color="000000"/>
                          <w:bottom w:val="single" w:sz="4" w:space="0" w:color="000000"/>
                          <w:right w:val="single" w:sz="4" w:space="0" w:color="000000"/>
                        </w:tcBorders>
                      </w:tcPr>
                      <w:p>
                        <w:pPr>
                          <w:pStyle w:val="TableParagraph"/>
                          <w:spacing w:before="60"/>
                          <w:ind w:left="227" w:right="198"/>
                          <w:rPr>
                            <w:rFonts w:ascii="Times New Roman" w:hAnsi="Times New Roman"/>
                            <w:sz w:val="14"/>
                          </w:rPr>
                        </w:pPr>
                        <w:r>
                          <w:rPr>
                            <w:rFonts w:ascii="Times New Roman" w:hAnsi="Times New Roman"/>
                            <w:sz w:val="21"/>
                          </w:rPr>
                          <w:t>4.08×10</w:t>
                        </w:r>
                        <w:r>
                          <w:rPr>
                            <w:rFonts w:ascii="Times New Roman" w:hAnsi="Times New Roman"/>
                            <w:position w:val="7"/>
                            <w:sz w:val="14"/>
                          </w:rPr>
                          <w:t>-3</w:t>
                        </w:r>
                      </w:p>
                    </w:tc>
                    <w:tc>
                      <w:tcPr>
                        <w:tcW w:w="1145" w:type="dxa"/>
                        <w:vMerge w:val="restart"/>
                        <w:tcBorders>
                          <w:top w:val="single" w:sz="4" w:space="0" w:color="000000"/>
                          <w:left w:val="single" w:sz="4" w:space="0" w:color="000000"/>
                          <w:right w:val="single" w:sz="4" w:space="0" w:color="000000"/>
                        </w:tcBorders>
                      </w:tcPr>
                      <w:p>
                        <w:pPr>
                          <w:pStyle w:val="TableParagraph"/>
                          <w:spacing w:before="11"/>
                          <w:jc w:val="left"/>
                          <w:rPr>
                            <w:sz w:val="19"/>
                          </w:rPr>
                        </w:pPr>
                      </w:p>
                      <w:p>
                        <w:pPr>
                          <w:pStyle w:val="TableParagraph"/>
                          <w:ind w:left="26"/>
                          <w:rPr>
                            <w:rFonts w:ascii="Times New Roman"/>
                            <w:sz w:val="21"/>
                          </w:rPr>
                        </w:pPr>
                        <w:r>
                          <w:rPr>
                            <w:rFonts w:ascii="Times New Roman"/>
                            <w:w w:val="100"/>
                            <w:sz w:val="21"/>
                          </w:rPr>
                          <w:t>/</w:t>
                        </w:r>
                      </w:p>
                    </w:tc>
                    <w:tc>
                      <w:tcPr>
                        <w:tcW w:w="665" w:type="dxa"/>
                        <w:vMerge w:val="restart"/>
                        <w:tcBorders>
                          <w:top w:val="single" w:sz="4" w:space="0" w:color="000000"/>
                          <w:left w:val="single" w:sz="4" w:space="0" w:color="000000"/>
                          <w:right w:val="single" w:sz="4" w:space="0" w:color="000000"/>
                        </w:tcBorders>
                      </w:tcPr>
                      <w:p>
                        <w:pPr>
                          <w:pStyle w:val="TableParagraph"/>
                          <w:spacing w:before="11"/>
                          <w:jc w:val="left"/>
                          <w:rPr>
                            <w:sz w:val="19"/>
                          </w:rPr>
                        </w:pPr>
                      </w:p>
                      <w:p>
                        <w:pPr>
                          <w:pStyle w:val="TableParagraph"/>
                          <w:ind w:left="29"/>
                          <w:rPr>
                            <w:rFonts w:ascii="Times New Roman"/>
                            <w:sz w:val="21"/>
                          </w:rPr>
                        </w:pPr>
                        <w:r>
                          <w:rPr>
                            <w:rFonts w:ascii="Times New Roman"/>
                            <w:w w:val="100"/>
                            <w:sz w:val="21"/>
                          </w:rPr>
                          <w:t>1</w:t>
                        </w:r>
                      </w:p>
                    </w:tc>
                    <w:tc>
                      <w:tcPr>
                        <w:tcW w:w="1649" w:type="dxa"/>
                        <w:vMerge w:val="restart"/>
                        <w:tcBorders>
                          <w:top w:val="single" w:sz="4" w:space="0" w:color="000000"/>
                          <w:left w:val="single" w:sz="4" w:space="0" w:color="000000"/>
                          <w:right w:val="nil"/>
                        </w:tcBorders>
                      </w:tcPr>
                      <w:p>
                        <w:pPr>
                          <w:pStyle w:val="TableParagraph"/>
                          <w:spacing w:before="10"/>
                          <w:jc w:val="left"/>
                          <w:rPr>
                            <w:sz w:val="18"/>
                          </w:rPr>
                        </w:pPr>
                      </w:p>
                      <w:p>
                        <w:pPr>
                          <w:pStyle w:val="TableParagraph"/>
                          <w:ind w:left="119"/>
                          <w:jc w:val="left"/>
                          <w:rPr>
                            <w:sz w:val="21"/>
                          </w:rPr>
                        </w:pPr>
                        <w:r>
                          <w:rPr>
                            <w:sz w:val="21"/>
                          </w:rPr>
                          <w:t>（散射、漏射）</w:t>
                        </w:r>
                      </w:p>
                    </w:tc>
                  </w:tr>
                  <w:tr>
                    <w:trPr>
                      <w:trHeight w:val="358" w:hRule="atLeast"/>
                    </w:trPr>
                    <w:tc>
                      <w:tcPr>
                        <w:tcW w:w="1668" w:type="dxa"/>
                        <w:vMerge/>
                        <w:tcBorders>
                          <w:top w:val="nil"/>
                          <w:left w:val="nil"/>
                          <w:right w:val="single" w:sz="4" w:space="0" w:color="000000"/>
                        </w:tcBorders>
                      </w:tcPr>
                      <w:p>
                        <w:pPr>
                          <w:rPr>
                            <w:sz w:val="2"/>
                            <w:szCs w:val="2"/>
                          </w:rPr>
                        </w:pPr>
                      </w:p>
                    </w:tc>
                    <w:tc>
                      <w:tcPr>
                        <w:tcW w:w="1392" w:type="dxa"/>
                        <w:tcBorders>
                          <w:top w:val="single" w:sz="4" w:space="0" w:color="000000"/>
                          <w:left w:val="single" w:sz="4" w:space="0" w:color="000000"/>
                          <w:right w:val="single" w:sz="4" w:space="0" w:color="000000"/>
                        </w:tcBorders>
                      </w:tcPr>
                      <w:p>
                        <w:pPr>
                          <w:pStyle w:val="TableParagraph"/>
                          <w:spacing w:before="41"/>
                          <w:ind w:left="372" w:right="339"/>
                          <w:rPr>
                            <w:sz w:val="21"/>
                          </w:rPr>
                        </w:pPr>
                        <w:r>
                          <w:rPr>
                            <w:sz w:val="21"/>
                          </w:rPr>
                          <w:t>铅衣外</w:t>
                        </w:r>
                      </w:p>
                    </w:tc>
                    <w:tc>
                      <w:tcPr>
                        <w:tcW w:w="1152" w:type="dxa"/>
                        <w:tcBorders>
                          <w:top w:val="single" w:sz="4" w:space="0" w:color="000000"/>
                          <w:left w:val="single" w:sz="4" w:space="0" w:color="000000"/>
                          <w:right w:val="single" w:sz="4" w:space="0" w:color="000000"/>
                        </w:tcBorders>
                      </w:tcPr>
                      <w:p>
                        <w:pPr>
                          <w:pStyle w:val="TableParagraph"/>
                          <w:spacing w:before="50"/>
                          <w:ind w:left="160" w:right="128"/>
                          <w:rPr>
                            <w:rFonts w:ascii="Times New Roman" w:hAnsi="Times New Roman"/>
                            <w:sz w:val="14"/>
                          </w:rPr>
                        </w:pPr>
                        <w:r>
                          <w:rPr>
                            <w:rFonts w:ascii="Times New Roman" w:hAnsi="Times New Roman"/>
                            <w:sz w:val="21"/>
                          </w:rPr>
                          <w:t>2.52×10</w:t>
                        </w:r>
                        <w:r>
                          <w:rPr>
                            <w:rFonts w:ascii="Times New Roman" w:hAnsi="Times New Roman"/>
                            <w:position w:val="7"/>
                            <w:sz w:val="14"/>
                          </w:rPr>
                          <w:t>-2</w:t>
                        </w:r>
                      </w:p>
                    </w:tc>
                    <w:tc>
                      <w:tcPr>
                        <w:tcW w:w="1289" w:type="dxa"/>
                        <w:tcBorders>
                          <w:top w:val="single" w:sz="4" w:space="0" w:color="000000"/>
                          <w:left w:val="single" w:sz="4" w:space="0" w:color="000000"/>
                          <w:right w:val="single" w:sz="4" w:space="0" w:color="000000"/>
                        </w:tcBorders>
                      </w:tcPr>
                      <w:p>
                        <w:pPr>
                          <w:pStyle w:val="TableParagraph"/>
                          <w:spacing w:before="50"/>
                          <w:ind w:left="227" w:right="198"/>
                          <w:rPr>
                            <w:rFonts w:ascii="Times New Roman" w:hAnsi="Times New Roman"/>
                            <w:sz w:val="14"/>
                          </w:rPr>
                        </w:pPr>
                        <w:r>
                          <w:rPr>
                            <w:rFonts w:ascii="Times New Roman" w:hAnsi="Times New Roman"/>
                            <w:sz w:val="21"/>
                          </w:rPr>
                          <w:t>2.52×10</w:t>
                        </w:r>
                        <w:r>
                          <w:rPr>
                            <w:rFonts w:ascii="Times New Roman" w:hAnsi="Times New Roman"/>
                            <w:position w:val="7"/>
                            <w:sz w:val="14"/>
                          </w:rPr>
                          <w:t>-2</w:t>
                        </w:r>
                      </w:p>
                    </w:tc>
                    <w:tc>
                      <w:tcPr>
                        <w:tcW w:w="1145" w:type="dxa"/>
                        <w:vMerge/>
                        <w:tcBorders>
                          <w:top w:val="nil"/>
                          <w:left w:val="single" w:sz="4" w:space="0" w:color="000000"/>
                          <w:right w:val="single" w:sz="4" w:space="0" w:color="000000"/>
                        </w:tcBorders>
                      </w:tcPr>
                      <w:p>
                        <w:pPr>
                          <w:rPr>
                            <w:sz w:val="2"/>
                            <w:szCs w:val="2"/>
                          </w:rPr>
                        </w:pPr>
                      </w:p>
                    </w:tc>
                    <w:tc>
                      <w:tcPr>
                        <w:tcW w:w="665" w:type="dxa"/>
                        <w:vMerge/>
                        <w:tcBorders>
                          <w:top w:val="nil"/>
                          <w:left w:val="single" w:sz="4" w:space="0" w:color="000000"/>
                          <w:right w:val="single" w:sz="4" w:space="0" w:color="000000"/>
                        </w:tcBorders>
                      </w:tcPr>
                      <w:p>
                        <w:pPr>
                          <w:rPr>
                            <w:sz w:val="2"/>
                            <w:szCs w:val="2"/>
                          </w:rPr>
                        </w:pPr>
                      </w:p>
                    </w:tc>
                    <w:tc>
                      <w:tcPr>
                        <w:tcW w:w="1649" w:type="dxa"/>
                        <w:vMerge/>
                        <w:tcBorders>
                          <w:top w:val="nil"/>
                          <w:left w:val="single" w:sz="4" w:space="0" w:color="000000"/>
                          <w:right w:val="nil"/>
                        </w:tcBorders>
                      </w:tcPr>
                      <w:p>
                        <w:pPr>
                          <w:rPr>
                            <w:sz w:val="2"/>
                            <w:szCs w:val="2"/>
                          </w:rPr>
                        </w:pPr>
                      </w:p>
                    </w:tc>
                  </w:tr>
                </w:tbl>
                <w:p>
                  <w:pPr>
                    <w:pStyle w:val="BodyText"/>
                  </w:pPr>
                </w:p>
              </w:txbxContent>
            </v:textbox>
            <w10:wrap type="none"/>
          </v:shape>
        </w:pict>
      </w:r>
    </w:p>
    <w:p>
      <w:pPr>
        <w:spacing w:after="0"/>
        <w:rPr>
          <w:sz w:val="2"/>
          <w:szCs w:val="2"/>
        </w:rPr>
        <w:sectPr>
          <w:pgSz w:w="11910" w:h="16840"/>
          <w:pgMar w:header="0" w:footer="881" w:top="1220" w:bottom="1080" w:left="1480" w:right="1020"/>
        </w:sectPr>
      </w:pPr>
    </w:p>
    <w:tbl>
      <w:tblPr>
        <w:tblW w:w="0" w:type="auto"/>
        <w:jc w:val="left"/>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26"/>
        <w:gridCol w:w="1275"/>
        <w:gridCol w:w="764"/>
        <w:gridCol w:w="1275"/>
        <w:gridCol w:w="1160"/>
        <w:gridCol w:w="1160"/>
        <w:gridCol w:w="1122"/>
        <w:gridCol w:w="1199"/>
      </w:tblGrid>
      <w:tr>
        <w:trPr>
          <w:trHeight w:val="369" w:hRule="atLeast"/>
        </w:trPr>
        <w:tc>
          <w:tcPr>
            <w:tcW w:w="2401" w:type="dxa"/>
            <w:gridSpan w:val="2"/>
            <w:vMerge w:val="restart"/>
            <w:tcBorders>
              <w:left w:val="single" w:sz="4" w:space="0" w:color="000000"/>
              <w:bottom w:val="single" w:sz="4" w:space="0" w:color="000000"/>
              <w:right w:val="single" w:sz="4" w:space="0" w:color="000000"/>
            </w:tcBorders>
          </w:tcPr>
          <w:p>
            <w:pPr>
              <w:pStyle w:val="TableParagraph"/>
              <w:spacing w:before="84"/>
              <w:ind w:left="225"/>
              <w:jc w:val="left"/>
              <w:rPr>
                <w:rFonts w:ascii="Times New Roman" w:eastAsia="Times New Roman"/>
                <w:sz w:val="21"/>
              </w:rPr>
            </w:pPr>
            <w:r>
              <w:rPr>
                <w:rFonts w:ascii="Times New Roman" w:eastAsia="Times New Roman"/>
                <w:spacing w:val="-5"/>
                <w:sz w:val="21"/>
              </w:rPr>
              <w:t>3#-</w:t>
            </w:r>
            <w:r>
              <w:rPr>
                <w:spacing w:val="-14"/>
                <w:sz w:val="21"/>
              </w:rPr>
              <w:t>东侧屏蔽墙外 </w:t>
            </w:r>
            <w:r>
              <w:rPr>
                <w:rFonts w:ascii="Times New Roman" w:eastAsia="Times New Roman"/>
                <w:spacing w:val="-3"/>
                <w:sz w:val="21"/>
              </w:rPr>
              <w:t>30cm</w:t>
            </w:r>
          </w:p>
          <w:p>
            <w:pPr>
              <w:pStyle w:val="TableParagraph"/>
              <w:spacing w:before="43"/>
              <w:ind w:left="206"/>
              <w:jc w:val="left"/>
              <w:rPr>
                <w:sz w:val="21"/>
              </w:rPr>
            </w:pPr>
            <w:r>
              <w:rPr>
                <w:spacing w:val="-9"/>
                <w:sz w:val="21"/>
              </w:rPr>
              <w:t>处，洗瓶室</w:t>
            </w:r>
            <w:r>
              <w:rPr>
                <w:spacing w:val="-7"/>
                <w:sz w:val="21"/>
              </w:rPr>
              <w:t>（</w:t>
            </w:r>
            <w:r>
              <w:rPr>
                <w:spacing w:val="-9"/>
                <w:sz w:val="21"/>
              </w:rPr>
              <w:t>药剂楼</w:t>
            </w:r>
            <w:r>
              <w:rPr>
                <w:sz w:val="21"/>
              </w:rPr>
              <w:t>）</w:t>
            </w:r>
          </w:p>
        </w:tc>
        <w:tc>
          <w:tcPr>
            <w:tcW w:w="764" w:type="dxa"/>
            <w:tcBorders>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透视</w:t>
            </w:r>
          </w:p>
        </w:tc>
        <w:tc>
          <w:tcPr>
            <w:tcW w:w="1275" w:type="dxa"/>
            <w:vMerge w:val="restart"/>
            <w:tcBorders>
              <w:left w:val="single" w:sz="4" w:space="0" w:color="000000"/>
              <w:bottom w:val="single" w:sz="4" w:space="0" w:color="000000"/>
              <w:right w:val="single" w:sz="4" w:space="0" w:color="000000"/>
            </w:tcBorders>
          </w:tcPr>
          <w:p>
            <w:pPr>
              <w:pStyle w:val="TableParagraph"/>
              <w:spacing w:before="11"/>
              <w:jc w:val="left"/>
              <w:rPr>
                <w:sz w:val="19"/>
              </w:rPr>
            </w:pPr>
          </w:p>
          <w:p>
            <w:pPr>
              <w:pStyle w:val="TableParagraph"/>
              <w:ind w:left="12" w:right="9"/>
              <w:rPr>
                <w:rFonts w:ascii="Times New Roman"/>
                <w:sz w:val="21"/>
              </w:rPr>
            </w:pPr>
            <w:r>
              <w:rPr>
                <w:rFonts w:ascii="Times New Roman"/>
                <w:sz w:val="21"/>
              </w:rPr>
              <w:t>5.6</w:t>
            </w:r>
          </w:p>
        </w:tc>
        <w:tc>
          <w:tcPr>
            <w:tcW w:w="1160" w:type="dxa"/>
            <w:tcBorders>
              <w:left w:val="single" w:sz="4" w:space="0" w:color="000000"/>
              <w:bottom w:val="single" w:sz="4" w:space="0" w:color="000000"/>
              <w:right w:val="single" w:sz="4" w:space="0" w:color="000000"/>
            </w:tcBorders>
          </w:tcPr>
          <w:p>
            <w:pPr>
              <w:pStyle w:val="TableParagraph"/>
              <w:spacing w:before="60"/>
              <w:ind w:left="150" w:right="142"/>
              <w:rPr>
                <w:rFonts w:ascii="Times New Roman" w:hAnsi="Times New Roman"/>
                <w:sz w:val="14"/>
              </w:rPr>
            </w:pPr>
            <w:r>
              <w:rPr>
                <w:rFonts w:ascii="Times New Roman" w:hAnsi="Times New Roman"/>
                <w:sz w:val="21"/>
              </w:rPr>
              <w:t>1.55×10</w:t>
            </w:r>
            <w:r>
              <w:rPr>
                <w:rFonts w:ascii="Times New Roman" w:hAnsi="Times New Roman"/>
                <w:position w:val="7"/>
                <w:sz w:val="14"/>
              </w:rPr>
              <w:t>-5</w:t>
            </w:r>
          </w:p>
        </w:tc>
        <w:tc>
          <w:tcPr>
            <w:tcW w:w="1160" w:type="dxa"/>
            <w:tcBorders>
              <w:left w:val="single" w:sz="4" w:space="0" w:color="000000"/>
              <w:bottom w:val="single" w:sz="4" w:space="0" w:color="000000"/>
              <w:right w:val="single" w:sz="4" w:space="0" w:color="000000"/>
            </w:tcBorders>
          </w:tcPr>
          <w:p>
            <w:pPr>
              <w:pStyle w:val="TableParagraph"/>
              <w:spacing w:before="60"/>
              <w:ind w:left="148" w:right="144"/>
              <w:rPr>
                <w:rFonts w:ascii="Times New Roman" w:hAnsi="Times New Roman"/>
                <w:sz w:val="14"/>
              </w:rPr>
            </w:pPr>
            <w:r>
              <w:rPr>
                <w:rFonts w:ascii="Times New Roman" w:hAnsi="Times New Roman"/>
                <w:sz w:val="21"/>
              </w:rPr>
              <w:t>1.68×10</w:t>
            </w:r>
            <w:r>
              <w:rPr>
                <w:rFonts w:ascii="Times New Roman" w:hAnsi="Times New Roman"/>
                <w:position w:val="7"/>
                <w:sz w:val="14"/>
              </w:rPr>
              <w:t>-5</w:t>
            </w:r>
          </w:p>
        </w:tc>
        <w:tc>
          <w:tcPr>
            <w:tcW w:w="1122" w:type="dxa"/>
            <w:tcBorders>
              <w:left w:val="single" w:sz="4" w:space="0" w:color="000000"/>
              <w:bottom w:val="single" w:sz="4" w:space="0" w:color="000000"/>
              <w:right w:val="single" w:sz="4" w:space="0" w:color="000000"/>
            </w:tcBorders>
          </w:tcPr>
          <w:p>
            <w:pPr>
              <w:pStyle w:val="TableParagraph"/>
              <w:spacing w:before="65"/>
              <w:ind w:left="3"/>
              <w:rPr>
                <w:rFonts w:ascii="Times New Roman"/>
                <w:sz w:val="21"/>
              </w:rPr>
            </w:pPr>
            <w:r>
              <w:rPr>
                <w:rFonts w:ascii="Times New Roman"/>
                <w:w w:val="100"/>
                <w:sz w:val="21"/>
              </w:rPr>
              <w:t>/</w:t>
            </w:r>
          </w:p>
        </w:tc>
        <w:tc>
          <w:tcPr>
            <w:tcW w:w="1199" w:type="dxa"/>
            <w:tcBorders>
              <w:left w:val="single" w:sz="4" w:space="0" w:color="000000"/>
              <w:bottom w:val="single" w:sz="4" w:space="0" w:color="000000"/>
              <w:right w:val="single" w:sz="4" w:space="0" w:color="000000"/>
            </w:tcBorders>
          </w:tcPr>
          <w:p>
            <w:pPr>
              <w:pStyle w:val="TableParagraph"/>
              <w:spacing w:before="60"/>
              <w:ind w:left="145" w:right="191"/>
              <w:rPr>
                <w:rFonts w:ascii="Times New Roman" w:hAnsi="Times New Roman"/>
                <w:sz w:val="14"/>
              </w:rPr>
            </w:pPr>
            <w:r>
              <w:rPr>
                <w:rFonts w:ascii="Times New Roman" w:hAnsi="Times New Roman"/>
                <w:sz w:val="21"/>
              </w:rPr>
              <w:t>3.23×10</w:t>
            </w:r>
            <w:r>
              <w:rPr>
                <w:rFonts w:ascii="Times New Roman" w:hAnsi="Times New Roman"/>
                <w:position w:val="7"/>
                <w:sz w:val="14"/>
              </w:rPr>
              <w:t>-5</w:t>
            </w:r>
          </w:p>
        </w:tc>
      </w:tr>
      <w:tr>
        <w:trPr>
          <w:trHeight w:val="369" w:hRule="atLeast"/>
        </w:trPr>
        <w:tc>
          <w:tcPr>
            <w:tcW w:w="2401" w:type="dxa"/>
            <w:gridSpan w:val="2"/>
            <w:vMerge/>
            <w:tcBorders>
              <w:top w:val="nil"/>
              <w:left w:val="single" w:sz="4" w:space="0" w:color="000000"/>
              <w:bottom w:val="single" w:sz="4" w:space="0" w:color="000000"/>
              <w:right w:val="single" w:sz="4" w:space="0" w:color="000000"/>
            </w:tcBorders>
          </w:tcPr>
          <w:p>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拍片</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50" w:right="142"/>
              <w:rPr>
                <w:rFonts w:ascii="Times New Roman" w:hAnsi="Times New Roman"/>
                <w:sz w:val="14"/>
              </w:rPr>
            </w:pPr>
            <w:r>
              <w:rPr>
                <w:rFonts w:ascii="Times New Roman" w:hAnsi="Times New Roman"/>
                <w:sz w:val="21"/>
              </w:rPr>
              <w:t>1.55×10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48" w:right="144"/>
              <w:rPr>
                <w:rFonts w:ascii="Times New Roman" w:hAnsi="Times New Roman"/>
                <w:sz w:val="14"/>
              </w:rPr>
            </w:pPr>
            <w:r>
              <w:rPr>
                <w:rFonts w:ascii="Times New Roman" w:hAnsi="Times New Roman"/>
                <w:sz w:val="21"/>
              </w:rPr>
              <w:t>4.19×10</w:t>
            </w:r>
            <w:r>
              <w:rPr>
                <w:rFonts w:ascii="Times New Roman" w:hAnsi="Times New Roman"/>
                <w:position w:val="7"/>
                <w:sz w:val="14"/>
              </w:rPr>
              <w:t>-4</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5"/>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0"/>
              <w:ind w:left="145" w:right="191"/>
              <w:rPr>
                <w:rFonts w:ascii="Times New Roman" w:hAnsi="Times New Roman"/>
                <w:sz w:val="14"/>
              </w:rPr>
            </w:pPr>
            <w:r>
              <w:rPr>
                <w:rFonts w:ascii="Times New Roman" w:hAnsi="Times New Roman"/>
                <w:sz w:val="21"/>
              </w:rPr>
              <w:t>4.34×10</w:t>
            </w:r>
            <w:r>
              <w:rPr>
                <w:rFonts w:ascii="Times New Roman" w:hAnsi="Times New Roman"/>
                <w:position w:val="7"/>
                <w:sz w:val="14"/>
              </w:rPr>
              <w:t>-4</w:t>
            </w:r>
          </w:p>
        </w:tc>
      </w:tr>
      <w:tr>
        <w:trPr>
          <w:trHeight w:val="366" w:hRule="atLeast"/>
        </w:trPr>
        <w:tc>
          <w:tcPr>
            <w:tcW w:w="240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85"/>
              <w:ind w:left="225"/>
              <w:jc w:val="left"/>
              <w:rPr>
                <w:rFonts w:ascii="Times New Roman" w:eastAsia="Times New Roman"/>
                <w:sz w:val="21"/>
              </w:rPr>
            </w:pPr>
            <w:r>
              <w:rPr>
                <w:rFonts w:ascii="Times New Roman" w:eastAsia="Times New Roman"/>
                <w:sz w:val="21"/>
              </w:rPr>
              <w:t>4#-</w:t>
            </w:r>
            <w:r>
              <w:rPr>
                <w:sz w:val="21"/>
              </w:rPr>
              <w:t>南侧屏蔽墙外 </w:t>
            </w:r>
            <w:r>
              <w:rPr>
                <w:rFonts w:ascii="Times New Roman" w:eastAsia="Times New Roman"/>
                <w:sz w:val="21"/>
              </w:rPr>
              <w:t>30cm</w:t>
            </w:r>
          </w:p>
          <w:p>
            <w:pPr>
              <w:pStyle w:val="TableParagraph"/>
              <w:spacing w:before="43"/>
              <w:ind w:left="306"/>
              <w:jc w:val="left"/>
              <w:rPr>
                <w:sz w:val="21"/>
              </w:rPr>
            </w:pPr>
            <w:r>
              <w:rPr>
                <w:sz w:val="21"/>
              </w:rPr>
              <w:t>处，通道（药剂楼）</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透视</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1"/>
              <w:jc w:val="left"/>
              <w:rPr>
                <w:sz w:val="19"/>
              </w:rPr>
            </w:pPr>
          </w:p>
          <w:p>
            <w:pPr>
              <w:pStyle w:val="TableParagraph"/>
              <w:ind w:left="12" w:right="9"/>
              <w:rPr>
                <w:rFonts w:ascii="Times New Roman"/>
                <w:sz w:val="21"/>
              </w:rPr>
            </w:pPr>
            <w:r>
              <w:rPr>
                <w:rFonts w:ascii="Times New Roman"/>
                <w:sz w:val="21"/>
              </w:rPr>
              <w:t>4.4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50" w:right="144"/>
              <w:rPr>
                <w:rFonts w:ascii="Times New Roman" w:hAnsi="Times New Roman"/>
                <w:sz w:val="14"/>
              </w:rPr>
            </w:pPr>
            <w:r>
              <w:rPr>
                <w:rFonts w:ascii="Times New Roman" w:hAnsi="Times New Roman"/>
                <w:sz w:val="21"/>
              </w:rPr>
              <w:t>2.51×10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48" w:right="144"/>
              <w:rPr>
                <w:rFonts w:ascii="Times New Roman" w:hAnsi="Times New Roman"/>
                <w:sz w:val="14"/>
              </w:rPr>
            </w:pPr>
            <w:r>
              <w:rPr>
                <w:rFonts w:ascii="Times New Roman" w:hAnsi="Times New Roman"/>
                <w:sz w:val="21"/>
              </w:rPr>
              <w:t>2.71×10</w:t>
            </w:r>
            <w:r>
              <w:rPr>
                <w:rFonts w:ascii="Times New Roman" w:hAnsi="Times New Roman"/>
                <w:position w:val="7"/>
                <w:sz w:val="14"/>
              </w:rPr>
              <w:t>-5</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5"/>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0"/>
              <w:ind w:left="145" w:right="191"/>
              <w:rPr>
                <w:rFonts w:ascii="Times New Roman" w:hAnsi="Times New Roman"/>
                <w:sz w:val="14"/>
              </w:rPr>
            </w:pPr>
            <w:r>
              <w:rPr>
                <w:rFonts w:ascii="Times New Roman" w:hAnsi="Times New Roman"/>
                <w:sz w:val="21"/>
              </w:rPr>
              <w:t>5.23×10</w:t>
            </w:r>
            <w:r>
              <w:rPr>
                <w:rFonts w:ascii="Times New Roman" w:hAnsi="Times New Roman"/>
                <w:position w:val="7"/>
                <w:sz w:val="14"/>
              </w:rPr>
              <w:t>-5</w:t>
            </w:r>
          </w:p>
        </w:tc>
      </w:tr>
      <w:tr>
        <w:trPr>
          <w:trHeight w:val="369" w:hRule="atLeast"/>
        </w:trPr>
        <w:tc>
          <w:tcPr>
            <w:tcW w:w="2401" w:type="dxa"/>
            <w:gridSpan w:val="2"/>
            <w:vMerge/>
            <w:tcBorders>
              <w:top w:val="nil"/>
              <w:left w:val="single" w:sz="4" w:space="0" w:color="000000"/>
              <w:bottom w:val="single" w:sz="4" w:space="0" w:color="000000"/>
              <w:right w:val="single" w:sz="4" w:space="0" w:color="000000"/>
            </w:tcBorders>
          </w:tcPr>
          <w:p>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4"/>
              <w:ind w:left="154" w:right="140"/>
              <w:rPr>
                <w:sz w:val="21"/>
              </w:rPr>
            </w:pPr>
            <w:r>
              <w:rPr>
                <w:sz w:val="21"/>
              </w:rPr>
              <w:t>拍片</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3"/>
              <w:ind w:left="150" w:right="144"/>
              <w:rPr>
                <w:rFonts w:ascii="Times New Roman" w:hAnsi="Times New Roman"/>
                <w:sz w:val="14"/>
              </w:rPr>
            </w:pPr>
            <w:r>
              <w:rPr>
                <w:rFonts w:ascii="Times New Roman" w:hAnsi="Times New Roman"/>
                <w:sz w:val="21"/>
              </w:rPr>
              <w:t>2.51×10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3"/>
              <w:ind w:left="148" w:right="144"/>
              <w:rPr>
                <w:rFonts w:ascii="Times New Roman" w:hAnsi="Times New Roman"/>
                <w:sz w:val="14"/>
              </w:rPr>
            </w:pPr>
            <w:r>
              <w:rPr>
                <w:rFonts w:ascii="Times New Roman" w:hAnsi="Times New Roman"/>
                <w:sz w:val="21"/>
              </w:rPr>
              <w:t>6.78×10</w:t>
            </w:r>
            <w:r>
              <w:rPr>
                <w:rFonts w:ascii="Times New Roman" w:hAnsi="Times New Roman"/>
                <w:position w:val="7"/>
                <w:sz w:val="14"/>
              </w:rPr>
              <w:t>-4</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7"/>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3"/>
              <w:ind w:left="145" w:right="191"/>
              <w:rPr>
                <w:rFonts w:ascii="Times New Roman" w:hAnsi="Times New Roman"/>
                <w:sz w:val="14"/>
              </w:rPr>
            </w:pPr>
            <w:r>
              <w:rPr>
                <w:rFonts w:ascii="Times New Roman" w:hAnsi="Times New Roman"/>
                <w:sz w:val="21"/>
              </w:rPr>
              <w:t>7.04×10</w:t>
            </w:r>
            <w:r>
              <w:rPr>
                <w:rFonts w:ascii="Times New Roman" w:hAnsi="Times New Roman"/>
                <w:position w:val="7"/>
                <w:sz w:val="14"/>
              </w:rPr>
              <w:t>-4</w:t>
            </w:r>
          </w:p>
        </w:tc>
      </w:tr>
      <w:tr>
        <w:trPr>
          <w:trHeight w:val="405" w:hRule="atLeast"/>
        </w:trPr>
        <w:tc>
          <w:tcPr>
            <w:tcW w:w="240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75"/>
              <w:ind w:left="153" w:right="86"/>
              <w:rPr>
                <w:rFonts w:ascii="Times New Roman" w:eastAsia="Times New Roman"/>
                <w:sz w:val="21"/>
              </w:rPr>
            </w:pPr>
            <w:r>
              <w:rPr>
                <w:rFonts w:ascii="Times New Roman" w:eastAsia="Times New Roman"/>
                <w:sz w:val="21"/>
              </w:rPr>
              <w:t>5#-</w:t>
            </w:r>
            <w:r>
              <w:rPr>
                <w:sz w:val="21"/>
              </w:rPr>
              <w:t>西侧防护门外 </w:t>
            </w:r>
            <w:r>
              <w:rPr>
                <w:rFonts w:ascii="Times New Roman" w:eastAsia="Times New Roman"/>
                <w:sz w:val="21"/>
              </w:rPr>
              <w:t>30cm</w:t>
            </w:r>
          </w:p>
          <w:p>
            <w:pPr>
              <w:pStyle w:val="TableParagraph"/>
              <w:spacing w:before="43"/>
              <w:ind w:left="151" w:right="86"/>
              <w:rPr>
                <w:sz w:val="21"/>
              </w:rPr>
            </w:pPr>
            <w:r>
              <w:rPr>
                <w:sz w:val="21"/>
              </w:rPr>
              <w:t>处，控制室</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70"/>
              <w:ind w:left="154" w:right="140"/>
              <w:rPr>
                <w:sz w:val="21"/>
              </w:rPr>
            </w:pPr>
            <w:r>
              <w:rPr>
                <w:sz w:val="21"/>
              </w:rPr>
              <w:t>透视</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19"/>
              </w:rPr>
            </w:pPr>
          </w:p>
          <w:p>
            <w:pPr>
              <w:pStyle w:val="TableParagraph"/>
              <w:spacing w:before="1"/>
              <w:ind w:left="12" w:right="9"/>
              <w:rPr>
                <w:rFonts w:ascii="Times New Roman"/>
                <w:sz w:val="21"/>
              </w:rPr>
            </w:pPr>
            <w:r>
              <w:rPr>
                <w:rFonts w:ascii="Times New Roman"/>
                <w:sz w:val="21"/>
              </w:rPr>
              <w:t>5.6</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80"/>
              <w:ind w:left="150" w:right="142"/>
              <w:rPr>
                <w:rFonts w:ascii="Times New Roman" w:hAnsi="Times New Roman"/>
                <w:sz w:val="14"/>
              </w:rPr>
            </w:pPr>
            <w:r>
              <w:rPr>
                <w:rFonts w:ascii="Times New Roman" w:hAnsi="Times New Roman"/>
                <w:sz w:val="21"/>
              </w:rPr>
              <w:t>2.53×10</w:t>
            </w:r>
            <w:r>
              <w:rPr>
                <w:rFonts w:ascii="Times New Roman" w:hAnsi="Times New Roman"/>
                <w:position w:val="7"/>
                <w:sz w:val="14"/>
              </w:rPr>
              <w:t>-4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80"/>
              <w:ind w:left="148" w:right="144"/>
              <w:rPr>
                <w:rFonts w:ascii="Times New Roman" w:hAnsi="Times New Roman"/>
                <w:sz w:val="14"/>
              </w:rPr>
            </w:pPr>
            <w:r>
              <w:rPr>
                <w:rFonts w:ascii="Times New Roman" w:hAnsi="Times New Roman"/>
                <w:sz w:val="21"/>
              </w:rPr>
              <w:t>2.73×10</w:t>
            </w:r>
            <w:r>
              <w:rPr>
                <w:rFonts w:ascii="Times New Roman" w:hAnsi="Times New Roman"/>
                <w:position w:val="7"/>
                <w:sz w:val="14"/>
              </w:rPr>
              <w:t>-4</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84"/>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80"/>
              <w:ind w:left="145" w:right="191"/>
              <w:rPr>
                <w:rFonts w:ascii="Times New Roman" w:hAnsi="Times New Roman"/>
                <w:sz w:val="14"/>
              </w:rPr>
            </w:pPr>
            <w:r>
              <w:rPr>
                <w:rFonts w:ascii="Times New Roman" w:hAnsi="Times New Roman"/>
                <w:sz w:val="21"/>
              </w:rPr>
              <w:t>5.26×10</w:t>
            </w:r>
            <w:r>
              <w:rPr>
                <w:rFonts w:ascii="Times New Roman" w:hAnsi="Times New Roman"/>
                <w:position w:val="7"/>
                <w:sz w:val="14"/>
              </w:rPr>
              <w:t>-4</w:t>
            </w:r>
          </w:p>
        </w:tc>
      </w:tr>
      <w:tr>
        <w:trPr>
          <w:trHeight w:val="311" w:hRule="atLeast"/>
        </w:trPr>
        <w:tc>
          <w:tcPr>
            <w:tcW w:w="2401" w:type="dxa"/>
            <w:gridSpan w:val="2"/>
            <w:vMerge/>
            <w:tcBorders>
              <w:top w:val="nil"/>
              <w:left w:val="single" w:sz="4" w:space="0" w:color="000000"/>
              <w:bottom w:val="single" w:sz="4" w:space="0" w:color="000000"/>
              <w:right w:val="single" w:sz="4" w:space="0" w:color="000000"/>
            </w:tcBorders>
          </w:tcPr>
          <w:p>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40"/>
              <w:rPr>
                <w:sz w:val="21"/>
              </w:rPr>
            </w:pPr>
            <w:r>
              <w:rPr>
                <w:sz w:val="21"/>
              </w:rPr>
              <w:t>拍片</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50" w:right="142"/>
              <w:rPr>
                <w:rFonts w:ascii="Times New Roman" w:hAnsi="Times New Roman"/>
                <w:sz w:val="14"/>
              </w:rPr>
            </w:pPr>
            <w:r>
              <w:rPr>
                <w:rFonts w:ascii="Times New Roman" w:hAnsi="Times New Roman"/>
                <w:sz w:val="21"/>
              </w:rPr>
              <w:t>2.53×10</w:t>
            </w:r>
            <w:r>
              <w:rPr>
                <w:rFonts w:ascii="Times New Roman" w:hAnsi="Times New Roman"/>
                <w:position w:val="7"/>
                <w:sz w:val="14"/>
              </w:rPr>
              <w:t>-4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48" w:right="144"/>
              <w:rPr>
                <w:rFonts w:ascii="Times New Roman" w:hAnsi="Times New Roman"/>
                <w:sz w:val="14"/>
              </w:rPr>
            </w:pPr>
            <w:r>
              <w:rPr>
                <w:rFonts w:ascii="Times New Roman" w:hAnsi="Times New Roman"/>
                <w:sz w:val="21"/>
              </w:rPr>
              <w:t>6.83×10</w:t>
            </w:r>
            <w:r>
              <w:rPr>
                <w:rFonts w:ascii="Times New Roman" w:hAnsi="Times New Roman"/>
                <w:position w:val="7"/>
                <w:sz w:val="14"/>
              </w:rPr>
              <w:t>-3</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36"/>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2"/>
              <w:ind w:left="145" w:right="191"/>
              <w:rPr>
                <w:rFonts w:ascii="Times New Roman" w:hAnsi="Times New Roman"/>
                <w:sz w:val="14"/>
              </w:rPr>
            </w:pPr>
            <w:r>
              <w:rPr>
                <w:rFonts w:ascii="Times New Roman" w:hAnsi="Times New Roman"/>
                <w:sz w:val="21"/>
              </w:rPr>
              <w:t>7.08×10</w:t>
            </w:r>
            <w:r>
              <w:rPr>
                <w:rFonts w:ascii="Times New Roman" w:hAnsi="Times New Roman"/>
                <w:position w:val="7"/>
                <w:sz w:val="14"/>
              </w:rPr>
              <w:t>-3</w:t>
            </w:r>
          </w:p>
        </w:tc>
      </w:tr>
      <w:tr>
        <w:trPr>
          <w:trHeight w:val="311" w:hRule="atLeast"/>
        </w:trPr>
        <w:tc>
          <w:tcPr>
            <w:tcW w:w="240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27"/>
              <w:ind w:left="153" w:right="86"/>
              <w:rPr>
                <w:rFonts w:ascii="Times New Roman" w:eastAsia="Times New Roman"/>
                <w:sz w:val="21"/>
              </w:rPr>
            </w:pPr>
            <w:r>
              <w:rPr>
                <w:rFonts w:ascii="Times New Roman" w:eastAsia="Times New Roman"/>
                <w:sz w:val="21"/>
              </w:rPr>
              <w:t>6#-</w:t>
            </w:r>
            <w:r>
              <w:rPr>
                <w:sz w:val="21"/>
              </w:rPr>
              <w:t>西侧屏蔽墙外 </w:t>
            </w:r>
            <w:r>
              <w:rPr>
                <w:rFonts w:ascii="Times New Roman" w:eastAsia="Times New Roman"/>
                <w:sz w:val="21"/>
              </w:rPr>
              <w:t>30cm</w:t>
            </w:r>
          </w:p>
          <w:p>
            <w:pPr>
              <w:pStyle w:val="TableParagraph"/>
              <w:spacing w:before="43"/>
              <w:ind w:left="151" w:right="86"/>
              <w:rPr>
                <w:sz w:val="21"/>
              </w:rPr>
            </w:pPr>
            <w:r>
              <w:rPr>
                <w:sz w:val="21"/>
              </w:rPr>
              <w:t>处，控制室</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40"/>
              <w:rPr>
                <w:sz w:val="21"/>
              </w:rPr>
            </w:pPr>
            <w:r>
              <w:rPr>
                <w:sz w:val="21"/>
              </w:rPr>
              <w:t>透视</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97"/>
              <w:ind w:left="12" w:right="9"/>
              <w:rPr>
                <w:rFonts w:ascii="Times New Roman"/>
                <w:sz w:val="21"/>
              </w:rPr>
            </w:pPr>
            <w:r>
              <w:rPr>
                <w:rFonts w:ascii="Times New Roman"/>
                <w:sz w:val="21"/>
              </w:rPr>
              <w:t>5.6</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50" w:right="142"/>
              <w:rPr>
                <w:rFonts w:ascii="Times New Roman" w:hAnsi="Times New Roman"/>
                <w:sz w:val="14"/>
              </w:rPr>
            </w:pPr>
            <w:r>
              <w:rPr>
                <w:rFonts w:ascii="Times New Roman" w:hAnsi="Times New Roman"/>
                <w:sz w:val="21"/>
              </w:rPr>
              <w:t>1.55×10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49" w:right="144"/>
              <w:rPr>
                <w:rFonts w:ascii="Times New Roman" w:hAnsi="Times New Roman"/>
                <w:sz w:val="14"/>
              </w:rPr>
            </w:pPr>
            <w:r>
              <w:rPr>
                <w:rFonts w:ascii="Times New Roman" w:hAnsi="Times New Roman"/>
                <w:sz w:val="21"/>
              </w:rPr>
              <w:t>1.68×10</w:t>
            </w:r>
            <w:r>
              <w:rPr>
                <w:rFonts w:ascii="Times New Roman" w:hAnsi="Times New Roman"/>
                <w:position w:val="7"/>
                <w:sz w:val="14"/>
              </w:rPr>
              <w:t>-5</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36"/>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2"/>
              <w:ind w:left="145" w:right="191"/>
              <w:rPr>
                <w:rFonts w:ascii="Times New Roman" w:hAnsi="Times New Roman"/>
                <w:sz w:val="14"/>
              </w:rPr>
            </w:pPr>
            <w:r>
              <w:rPr>
                <w:rFonts w:ascii="Times New Roman" w:hAnsi="Times New Roman"/>
                <w:sz w:val="21"/>
              </w:rPr>
              <w:t>3.23×10</w:t>
            </w:r>
            <w:r>
              <w:rPr>
                <w:rFonts w:ascii="Times New Roman" w:hAnsi="Times New Roman"/>
                <w:position w:val="7"/>
                <w:sz w:val="14"/>
              </w:rPr>
              <w:t>-5</w:t>
            </w:r>
          </w:p>
        </w:tc>
      </w:tr>
      <w:tr>
        <w:trPr>
          <w:trHeight w:val="311" w:hRule="atLeast"/>
        </w:trPr>
        <w:tc>
          <w:tcPr>
            <w:tcW w:w="2401" w:type="dxa"/>
            <w:gridSpan w:val="2"/>
            <w:vMerge/>
            <w:tcBorders>
              <w:top w:val="nil"/>
              <w:left w:val="single" w:sz="4" w:space="0" w:color="000000"/>
              <w:bottom w:val="single" w:sz="4" w:space="0" w:color="000000"/>
              <w:right w:val="single" w:sz="4" w:space="0" w:color="000000"/>
            </w:tcBorders>
          </w:tcPr>
          <w:p>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40"/>
              <w:rPr>
                <w:sz w:val="21"/>
              </w:rPr>
            </w:pPr>
            <w:r>
              <w:rPr>
                <w:sz w:val="21"/>
              </w:rPr>
              <w:t>拍片</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50" w:right="142"/>
              <w:rPr>
                <w:rFonts w:ascii="Times New Roman" w:hAnsi="Times New Roman"/>
                <w:sz w:val="14"/>
              </w:rPr>
            </w:pPr>
            <w:r>
              <w:rPr>
                <w:rFonts w:ascii="Times New Roman" w:hAnsi="Times New Roman"/>
                <w:sz w:val="21"/>
              </w:rPr>
              <w:t>1.55×10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49" w:right="144"/>
              <w:rPr>
                <w:rFonts w:ascii="Times New Roman" w:hAnsi="Times New Roman"/>
                <w:sz w:val="14"/>
              </w:rPr>
            </w:pPr>
            <w:r>
              <w:rPr>
                <w:rFonts w:ascii="Times New Roman" w:hAnsi="Times New Roman"/>
                <w:sz w:val="21"/>
              </w:rPr>
              <w:t>4.19×10</w:t>
            </w:r>
            <w:r>
              <w:rPr>
                <w:rFonts w:ascii="Times New Roman" w:hAnsi="Times New Roman"/>
                <w:position w:val="7"/>
                <w:sz w:val="14"/>
              </w:rPr>
              <w:t>-4</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36"/>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2"/>
              <w:ind w:left="145" w:right="191"/>
              <w:rPr>
                <w:rFonts w:ascii="Times New Roman" w:hAnsi="Times New Roman"/>
                <w:sz w:val="14"/>
              </w:rPr>
            </w:pPr>
            <w:r>
              <w:rPr>
                <w:rFonts w:ascii="Times New Roman" w:hAnsi="Times New Roman"/>
                <w:sz w:val="21"/>
              </w:rPr>
              <w:t>4.34×10</w:t>
            </w:r>
            <w:r>
              <w:rPr>
                <w:rFonts w:ascii="Times New Roman" w:hAnsi="Times New Roman"/>
                <w:position w:val="7"/>
                <w:sz w:val="14"/>
              </w:rPr>
              <w:t>-4</w:t>
            </w:r>
          </w:p>
        </w:tc>
      </w:tr>
      <w:tr>
        <w:trPr>
          <w:trHeight w:val="369" w:hRule="atLeast"/>
        </w:trPr>
        <w:tc>
          <w:tcPr>
            <w:tcW w:w="240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25"/>
              <w:ind w:left="153" w:right="86"/>
              <w:rPr>
                <w:rFonts w:ascii="Times New Roman" w:eastAsia="Times New Roman"/>
                <w:sz w:val="21"/>
              </w:rPr>
            </w:pPr>
            <w:r>
              <w:rPr>
                <w:rFonts w:ascii="Times New Roman" w:eastAsia="Times New Roman"/>
                <w:sz w:val="21"/>
              </w:rPr>
              <w:t>7#-</w:t>
            </w:r>
            <w:r>
              <w:rPr>
                <w:sz w:val="21"/>
              </w:rPr>
              <w:t>西侧屏蔽墙外 </w:t>
            </w:r>
            <w:r>
              <w:rPr>
                <w:rFonts w:ascii="Times New Roman" w:eastAsia="Times New Roman"/>
                <w:sz w:val="21"/>
              </w:rPr>
              <w:t>30cm</w:t>
            </w:r>
          </w:p>
          <w:p>
            <w:pPr>
              <w:pStyle w:val="TableParagraph"/>
              <w:spacing w:before="43"/>
              <w:ind w:left="151" w:right="86"/>
              <w:rPr>
                <w:rFonts w:ascii="Times New Roman" w:eastAsia="Times New Roman"/>
                <w:sz w:val="21"/>
              </w:rPr>
            </w:pPr>
            <w:r>
              <w:rPr>
                <w:sz w:val="21"/>
              </w:rPr>
              <w:t>处，铅玻璃外 </w:t>
            </w:r>
            <w:r>
              <w:rPr>
                <w:rFonts w:ascii="Times New Roman" w:eastAsia="Times New Roman"/>
                <w:sz w:val="21"/>
              </w:rPr>
              <w:t>30cm</w:t>
            </w:r>
          </w:p>
          <w:p>
            <w:pPr>
              <w:pStyle w:val="TableParagraph"/>
              <w:spacing w:before="43"/>
              <w:ind w:left="151" w:right="86"/>
              <w:rPr>
                <w:sz w:val="21"/>
              </w:rPr>
            </w:pPr>
            <w:r>
              <w:rPr>
                <w:sz w:val="21"/>
              </w:rPr>
              <w:t>处，控制室</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透视</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
              <w:jc w:val="left"/>
              <w:rPr>
                <w:sz w:val="27"/>
              </w:rPr>
            </w:pPr>
          </w:p>
          <w:p>
            <w:pPr>
              <w:pStyle w:val="TableParagraph"/>
              <w:ind w:left="12" w:right="9"/>
              <w:rPr>
                <w:rFonts w:ascii="Times New Roman"/>
                <w:sz w:val="21"/>
              </w:rPr>
            </w:pPr>
            <w:r>
              <w:rPr>
                <w:rFonts w:ascii="Times New Roman"/>
                <w:sz w:val="21"/>
              </w:rPr>
              <w:t>5.6</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50" w:right="142"/>
              <w:rPr>
                <w:rFonts w:ascii="Times New Roman" w:hAnsi="Times New Roman"/>
                <w:sz w:val="14"/>
              </w:rPr>
            </w:pPr>
            <w:r>
              <w:rPr>
                <w:rFonts w:ascii="Times New Roman" w:hAnsi="Times New Roman"/>
                <w:sz w:val="21"/>
              </w:rPr>
              <w:t>2.53×10</w:t>
            </w:r>
            <w:r>
              <w:rPr>
                <w:rFonts w:ascii="Times New Roman" w:hAnsi="Times New Roman"/>
                <w:position w:val="7"/>
                <w:sz w:val="14"/>
              </w:rPr>
              <w:t>-4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49" w:right="144"/>
              <w:rPr>
                <w:rFonts w:ascii="Times New Roman" w:hAnsi="Times New Roman"/>
                <w:sz w:val="14"/>
              </w:rPr>
            </w:pPr>
            <w:r>
              <w:rPr>
                <w:rFonts w:ascii="Times New Roman" w:hAnsi="Times New Roman"/>
                <w:sz w:val="21"/>
              </w:rPr>
              <w:t>2.73×10</w:t>
            </w:r>
            <w:r>
              <w:rPr>
                <w:rFonts w:ascii="Times New Roman" w:hAnsi="Times New Roman"/>
                <w:position w:val="7"/>
                <w:sz w:val="14"/>
              </w:rPr>
              <w:t>-4</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5"/>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0"/>
              <w:ind w:left="145" w:right="191"/>
              <w:rPr>
                <w:rFonts w:ascii="Times New Roman" w:hAnsi="Times New Roman"/>
                <w:sz w:val="14"/>
              </w:rPr>
            </w:pPr>
            <w:r>
              <w:rPr>
                <w:rFonts w:ascii="Times New Roman" w:hAnsi="Times New Roman"/>
                <w:sz w:val="21"/>
              </w:rPr>
              <w:t>5.26×10</w:t>
            </w:r>
            <w:r>
              <w:rPr>
                <w:rFonts w:ascii="Times New Roman" w:hAnsi="Times New Roman"/>
                <w:position w:val="7"/>
                <w:sz w:val="14"/>
              </w:rPr>
              <w:t>-4</w:t>
            </w:r>
          </w:p>
        </w:tc>
      </w:tr>
      <w:tr>
        <w:trPr>
          <w:trHeight w:val="558" w:hRule="atLeast"/>
        </w:trPr>
        <w:tc>
          <w:tcPr>
            <w:tcW w:w="2401" w:type="dxa"/>
            <w:gridSpan w:val="2"/>
            <w:vMerge/>
            <w:tcBorders>
              <w:top w:val="nil"/>
              <w:left w:val="single" w:sz="4" w:space="0" w:color="000000"/>
              <w:bottom w:val="single" w:sz="4" w:space="0" w:color="000000"/>
              <w:right w:val="single" w:sz="4" w:space="0" w:color="000000"/>
            </w:tcBorders>
          </w:tcPr>
          <w:p>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147"/>
              <w:ind w:left="154" w:right="140"/>
              <w:rPr>
                <w:sz w:val="21"/>
              </w:rPr>
            </w:pPr>
            <w:r>
              <w:rPr>
                <w:sz w:val="21"/>
              </w:rPr>
              <w:t>拍片</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156"/>
              <w:ind w:left="150" w:right="142"/>
              <w:rPr>
                <w:rFonts w:ascii="Times New Roman" w:hAnsi="Times New Roman"/>
                <w:sz w:val="14"/>
              </w:rPr>
            </w:pPr>
            <w:r>
              <w:rPr>
                <w:rFonts w:ascii="Times New Roman" w:hAnsi="Times New Roman"/>
                <w:sz w:val="21"/>
              </w:rPr>
              <w:t>2.53×10</w:t>
            </w:r>
            <w:r>
              <w:rPr>
                <w:rFonts w:ascii="Times New Roman" w:hAnsi="Times New Roman"/>
                <w:position w:val="7"/>
                <w:sz w:val="14"/>
              </w:rPr>
              <w:t>-4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156"/>
              <w:ind w:left="149" w:right="144"/>
              <w:rPr>
                <w:rFonts w:ascii="Times New Roman" w:hAnsi="Times New Roman"/>
                <w:sz w:val="14"/>
              </w:rPr>
            </w:pPr>
            <w:r>
              <w:rPr>
                <w:rFonts w:ascii="Times New Roman" w:hAnsi="Times New Roman"/>
                <w:sz w:val="21"/>
              </w:rPr>
              <w:t>6.83×10</w:t>
            </w:r>
            <w:r>
              <w:rPr>
                <w:rFonts w:ascii="Times New Roman" w:hAnsi="Times New Roman"/>
                <w:position w:val="7"/>
                <w:sz w:val="14"/>
              </w:rPr>
              <w:t>-3</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161"/>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156"/>
              <w:ind w:left="145" w:right="191"/>
              <w:rPr>
                <w:rFonts w:ascii="Times New Roman" w:hAnsi="Times New Roman"/>
                <w:sz w:val="14"/>
              </w:rPr>
            </w:pPr>
            <w:r>
              <w:rPr>
                <w:rFonts w:ascii="Times New Roman" w:hAnsi="Times New Roman"/>
                <w:sz w:val="21"/>
              </w:rPr>
              <w:t>7.08×10</w:t>
            </w:r>
            <w:r>
              <w:rPr>
                <w:rFonts w:ascii="Times New Roman" w:hAnsi="Times New Roman"/>
                <w:position w:val="7"/>
                <w:sz w:val="14"/>
              </w:rPr>
              <w:t>-3</w:t>
            </w:r>
          </w:p>
        </w:tc>
      </w:tr>
      <w:tr>
        <w:trPr>
          <w:trHeight w:val="366" w:hRule="atLeast"/>
        </w:trPr>
        <w:tc>
          <w:tcPr>
            <w:tcW w:w="240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56"/>
              <w:ind w:left="153" w:right="86"/>
              <w:rPr>
                <w:rFonts w:ascii="Times New Roman" w:eastAsia="Times New Roman"/>
                <w:sz w:val="21"/>
              </w:rPr>
            </w:pPr>
            <w:r>
              <w:rPr>
                <w:rFonts w:ascii="Times New Roman" w:eastAsia="Times New Roman"/>
                <w:sz w:val="21"/>
              </w:rPr>
              <w:t>8#-</w:t>
            </w:r>
            <w:r>
              <w:rPr>
                <w:sz w:val="21"/>
              </w:rPr>
              <w:t>西侧屏蔽墙外 </w:t>
            </w:r>
            <w:r>
              <w:rPr>
                <w:rFonts w:ascii="Times New Roman" w:eastAsia="Times New Roman"/>
                <w:sz w:val="21"/>
              </w:rPr>
              <w:t>30cm</w:t>
            </w:r>
          </w:p>
          <w:p>
            <w:pPr>
              <w:pStyle w:val="TableParagraph"/>
              <w:spacing w:before="43"/>
              <w:ind w:left="151" w:right="86"/>
              <w:rPr>
                <w:sz w:val="21"/>
              </w:rPr>
            </w:pPr>
            <w:r>
              <w:rPr>
                <w:sz w:val="21"/>
              </w:rPr>
              <w:t>处，设备间</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透视</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8"/>
              <w:jc w:val="left"/>
              <w:rPr>
                <w:sz w:val="17"/>
              </w:rPr>
            </w:pPr>
          </w:p>
          <w:p>
            <w:pPr>
              <w:pStyle w:val="TableParagraph"/>
              <w:ind w:left="12" w:right="9"/>
              <w:rPr>
                <w:rFonts w:ascii="Times New Roman"/>
                <w:sz w:val="21"/>
              </w:rPr>
            </w:pPr>
            <w:r>
              <w:rPr>
                <w:rFonts w:ascii="Times New Roman"/>
                <w:sz w:val="21"/>
              </w:rPr>
              <w:t>5.6</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50" w:right="142"/>
              <w:rPr>
                <w:rFonts w:ascii="Times New Roman" w:hAnsi="Times New Roman"/>
                <w:sz w:val="14"/>
              </w:rPr>
            </w:pPr>
            <w:r>
              <w:rPr>
                <w:rFonts w:ascii="Times New Roman" w:hAnsi="Times New Roman"/>
                <w:sz w:val="21"/>
              </w:rPr>
              <w:t>1.55×10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48" w:right="144"/>
              <w:rPr>
                <w:rFonts w:ascii="Times New Roman" w:hAnsi="Times New Roman"/>
                <w:sz w:val="14"/>
              </w:rPr>
            </w:pPr>
            <w:r>
              <w:rPr>
                <w:rFonts w:ascii="Times New Roman" w:hAnsi="Times New Roman"/>
                <w:sz w:val="21"/>
              </w:rPr>
              <w:t>1.68×10</w:t>
            </w:r>
            <w:r>
              <w:rPr>
                <w:rFonts w:ascii="Times New Roman" w:hAnsi="Times New Roman"/>
                <w:position w:val="7"/>
                <w:sz w:val="14"/>
              </w:rPr>
              <w:t>-5</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5"/>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0"/>
              <w:ind w:left="145" w:right="191"/>
              <w:rPr>
                <w:rFonts w:ascii="Times New Roman" w:hAnsi="Times New Roman"/>
                <w:sz w:val="14"/>
              </w:rPr>
            </w:pPr>
            <w:r>
              <w:rPr>
                <w:rFonts w:ascii="Times New Roman" w:hAnsi="Times New Roman"/>
                <w:sz w:val="21"/>
              </w:rPr>
              <w:t>3.23×10</w:t>
            </w:r>
            <w:r>
              <w:rPr>
                <w:rFonts w:ascii="Times New Roman" w:hAnsi="Times New Roman"/>
                <w:position w:val="7"/>
                <w:sz w:val="14"/>
              </w:rPr>
              <w:t>-5</w:t>
            </w:r>
          </w:p>
        </w:tc>
      </w:tr>
      <w:tr>
        <w:trPr>
          <w:trHeight w:val="313" w:hRule="atLeast"/>
        </w:trPr>
        <w:tc>
          <w:tcPr>
            <w:tcW w:w="2401" w:type="dxa"/>
            <w:gridSpan w:val="2"/>
            <w:vMerge/>
            <w:tcBorders>
              <w:top w:val="nil"/>
              <w:left w:val="single" w:sz="4" w:space="0" w:color="000000"/>
              <w:bottom w:val="single" w:sz="4" w:space="0" w:color="000000"/>
              <w:right w:val="single" w:sz="4" w:space="0" w:color="000000"/>
            </w:tcBorders>
          </w:tcPr>
          <w:p>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25"/>
              <w:ind w:left="154" w:right="140"/>
              <w:rPr>
                <w:sz w:val="21"/>
              </w:rPr>
            </w:pPr>
            <w:r>
              <w:rPr>
                <w:sz w:val="21"/>
              </w:rPr>
              <w:t>拍片</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4"/>
              <w:ind w:left="150" w:right="142"/>
              <w:rPr>
                <w:rFonts w:ascii="Times New Roman" w:hAnsi="Times New Roman"/>
                <w:sz w:val="14"/>
              </w:rPr>
            </w:pPr>
            <w:r>
              <w:rPr>
                <w:rFonts w:ascii="Times New Roman" w:hAnsi="Times New Roman"/>
                <w:sz w:val="21"/>
              </w:rPr>
              <w:t>1.55×10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4"/>
              <w:ind w:left="148" w:right="144"/>
              <w:rPr>
                <w:rFonts w:ascii="Times New Roman" w:hAnsi="Times New Roman"/>
                <w:sz w:val="14"/>
              </w:rPr>
            </w:pPr>
            <w:r>
              <w:rPr>
                <w:rFonts w:ascii="Times New Roman" w:hAnsi="Times New Roman"/>
                <w:sz w:val="21"/>
              </w:rPr>
              <w:t>4.19×10</w:t>
            </w:r>
            <w:r>
              <w:rPr>
                <w:rFonts w:ascii="Times New Roman" w:hAnsi="Times New Roman"/>
                <w:position w:val="7"/>
                <w:sz w:val="14"/>
              </w:rPr>
              <w:t>-4</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39"/>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4"/>
              <w:ind w:left="145" w:right="191"/>
              <w:rPr>
                <w:rFonts w:ascii="Times New Roman" w:hAnsi="Times New Roman"/>
                <w:sz w:val="14"/>
              </w:rPr>
            </w:pPr>
            <w:r>
              <w:rPr>
                <w:rFonts w:ascii="Times New Roman" w:hAnsi="Times New Roman"/>
                <w:sz w:val="21"/>
              </w:rPr>
              <w:t>4.34×10</w:t>
            </w:r>
            <w:r>
              <w:rPr>
                <w:rFonts w:ascii="Times New Roman" w:hAnsi="Times New Roman"/>
                <w:position w:val="7"/>
                <w:sz w:val="14"/>
              </w:rPr>
              <w:t>-4</w:t>
            </w:r>
          </w:p>
        </w:tc>
      </w:tr>
      <w:tr>
        <w:trPr>
          <w:trHeight w:val="311" w:hRule="atLeast"/>
        </w:trPr>
        <w:tc>
          <w:tcPr>
            <w:tcW w:w="240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27"/>
              <w:ind w:left="153" w:right="86"/>
              <w:rPr>
                <w:rFonts w:ascii="Times New Roman" w:eastAsia="Times New Roman"/>
                <w:sz w:val="21"/>
              </w:rPr>
            </w:pPr>
            <w:r>
              <w:rPr>
                <w:rFonts w:ascii="Times New Roman" w:eastAsia="Times New Roman"/>
                <w:sz w:val="21"/>
              </w:rPr>
              <w:t>9#-</w:t>
            </w:r>
            <w:r>
              <w:rPr>
                <w:sz w:val="21"/>
              </w:rPr>
              <w:t>北侧屏蔽墙外 </w:t>
            </w:r>
            <w:r>
              <w:rPr>
                <w:rFonts w:ascii="Times New Roman" w:eastAsia="Times New Roman"/>
                <w:sz w:val="21"/>
              </w:rPr>
              <w:t>30cm</w:t>
            </w:r>
          </w:p>
          <w:p>
            <w:pPr>
              <w:pStyle w:val="TableParagraph"/>
              <w:spacing w:before="43"/>
              <w:ind w:left="153" w:right="85"/>
              <w:rPr>
                <w:sz w:val="21"/>
              </w:rPr>
            </w:pPr>
            <w:r>
              <w:rPr>
                <w:sz w:val="21"/>
              </w:rPr>
              <w:t>处，医生通道</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40"/>
              <w:rPr>
                <w:sz w:val="21"/>
              </w:rPr>
            </w:pPr>
            <w:r>
              <w:rPr>
                <w:sz w:val="21"/>
              </w:rPr>
              <w:t>透视</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97"/>
              <w:ind w:left="12" w:right="9"/>
              <w:rPr>
                <w:rFonts w:ascii="Times New Roman"/>
                <w:sz w:val="21"/>
              </w:rPr>
            </w:pPr>
            <w:r>
              <w:rPr>
                <w:rFonts w:ascii="Times New Roman"/>
                <w:sz w:val="21"/>
              </w:rPr>
              <w:t>4.4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50" w:right="144"/>
              <w:rPr>
                <w:rFonts w:ascii="Times New Roman" w:hAnsi="Times New Roman"/>
                <w:sz w:val="14"/>
              </w:rPr>
            </w:pPr>
            <w:r>
              <w:rPr>
                <w:rFonts w:ascii="Times New Roman" w:hAnsi="Times New Roman"/>
                <w:sz w:val="21"/>
              </w:rPr>
              <w:t>2.51×10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48" w:right="144"/>
              <w:rPr>
                <w:rFonts w:ascii="Times New Roman" w:hAnsi="Times New Roman"/>
                <w:sz w:val="14"/>
              </w:rPr>
            </w:pPr>
            <w:r>
              <w:rPr>
                <w:rFonts w:ascii="Times New Roman" w:hAnsi="Times New Roman"/>
                <w:sz w:val="21"/>
              </w:rPr>
              <w:t>2.71×10</w:t>
            </w:r>
            <w:r>
              <w:rPr>
                <w:rFonts w:ascii="Times New Roman" w:hAnsi="Times New Roman"/>
                <w:position w:val="7"/>
                <w:sz w:val="14"/>
              </w:rPr>
              <w:t>-5</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36"/>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2"/>
              <w:ind w:left="145" w:right="191"/>
              <w:rPr>
                <w:rFonts w:ascii="Times New Roman" w:hAnsi="Times New Roman"/>
                <w:sz w:val="14"/>
              </w:rPr>
            </w:pPr>
            <w:r>
              <w:rPr>
                <w:rFonts w:ascii="Times New Roman" w:hAnsi="Times New Roman"/>
                <w:sz w:val="21"/>
              </w:rPr>
              <w:t>5.23×10</w:t>
            </w:r>
            <w:r>
              <w:rPr>
                <w:rFonts w:ascii="Times New Roman" w:hAnsi="Times New Roman"/>
                <w:position w:val="7"/>
                <w:sz w:val="14"/>
              </w:rPr>
              <w:t>-5</w:t>
            </w:r>
          </w:p>
        </w:tc>
      </w:tr>
      <w:tr>
        <w:trPr>
          <w:trHeight w:val="311" w:hRule="atLeast"/>
        </w:trPr>
        <w:tc>
          <w:tcPr>
            <w:tcW w:w="2401" w:type="dxa"/>
            <w:gridSpan w:val="2"/>
            <w:vMerge/>
            <w:tcBorders>
              <w:top w:val="nil"/>
              <w:left w:val="single" w:sz="4" w:space="0" w:color="000000"/>
              <w:bottom w:val="single" w:sz="4" w:space="0" w:color="000000"/>
              <w:right w:val="single" w:sz="4" w:space="0" w:color="000000"/>
            </w:tcBorders>
          </w:tcPr>
          <w:p>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22"/>
              <w:ind w:left="154" w:right="140"/>
              <w:rPr>
                <w:sz w:val="21"/>
              </w:rPr>
            </w:pPr>
            <w:r>
              <w:rPr>
                <w:sz w:val="21"/>
              </w:rPr>
              <w:t>拍片</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50" w:right="144"/>
              <w:rPr>
                <w:rFonts w:ascii="Times New Roman" w:hAnsi="Times New Roman"/>
                <w:sz w:val="14"/>
              </w:rPr>
            </w:pPr>
            <w:r>
              <w:rPr>
                <w:rFonts w:ascii="Times New Roman" w:hAnsi="Times New Roman"/>
                <w:sz w:val="21"/>
              </w:rPr>
              <w:t>2.51×10</w:t>
            </w:r>
            <w:r>
              <w:rPr>
                <w:rFonts w:ascii="Times New Roman" w:hAnsi="Times New Roman"/>
                <w:position w:val="7"/>
                <w:sz w:val="14"/>
              </w:rPr>
              <w:t>-5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32"/>
              <w:ind w:left="148" w:right="144"/>
              <w:rPr>
                <w:rFonts w:ascii="Times New Roman" w:hAnsi="Times New Roman"/>
                <w:sz w:val="14"/>
              </w:rPr>
            </w:pPr>
            <w:r>
              <w:rPr>
                <w:rFonts w:ascii="Times New Roman" w:hAnsi="Times New Roman"/>
                <w:sz w:val="21"/>
              </w:rPr>
              <w:t>6.78×10</w:t>
            </w:r>
            <w:r>
              <w:rPr>
                <w:rFonts w:ascii="Times New Roman" w:hAnsi="Times New Roman"/>
                <w:position w:val="7"/>
                <w:sz w:val="14"/>
              </w:rPr>
              <w:t>-4</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36"/>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2"/>
              <w:ind w:left="145" w:right="191"/>
              <w:rPr>
                <w:rFonts w:ascii="Times New Roman" w:hAnsi="Times New Roman"/>
                <w:sz w:val="14"/>
              </w:rPr>
            </w:pPr>
            <w:r>
              <w:rPr>
                <w:rFonts w:ascii="Times New Roman" w:hAnsi="Times New Roman"/>
                <w:sz w:val="21"/>
              </w:rPr>
              <w:t>7.04×10</w:t>
            </w:r>
            <w:r>
              <w:rPr>
                <w:rFonts w:ascii="Times New Roman" w:hAnsi="Times New Roman"/>
                <w:position w:val="7"/>
                <w:sz w:val="14"/>
              </w:rPr>
              <w:t>-4</w:t>
            </w:r>
          </w:p>
        </w:tc>
      </w:tr>
      <w:tr>
        <w:trPr>
          <w:trHeight w:val="369" w:hRule="atLeast"/>
        </w:trPr>
        <w:tc>
          <w:tcPr>
            <w:tcW w:w="240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22"/>
              <w:ind w:left="206" w:hanging="32"/>
              <w:jc w:val="left"/>
              <w:rPr>
                <w:rFonts w:ascii="Times New Roman" w:eastAsia="Times New Roman"/>
                <w:sz w:val="21"/>
              </w:rPr>
            </w:pPr>
            <w:r>
              <w:rPr>
                <w:rFonts w:ascii="Times New Roman" w:eastAsia="Times New Roman"/>
                <w:sz w:val="21"/>
              </w:rPr>
              <w:t>10#-</w:t>
            </w:r>
            <w:r>
              <w:rPr>
                <w:sz w:val="21"/>
              </w:rPr>
              <w:t>北侧防护门外 </w:t>
            </w:r>
            <w:r>
              <w:rPr>
                <w:rFonts w:ascii="Times New Roman" w:eastAsia="Times New Roman"/>
                <w:sz w:val="21"/>
              </w:rPr>
              <w:t>30cm</w:t>
            </w:r>
          </w:p>
          <w:p>
            <w:pPr>
              <w:pStyle w:val="TableParagraph"/>
              <w:spacing w:line="310" w:lineRule="atLeast" w:before="2"/>
              <w:ind w:left="1022" w:right="70" w:hanging="816"/>
              <w:jc w:val="left"/>
              <w:rPr>
                <w:sz w:val="21"/>
              </w:rPr>
            </w:pPr>
            <w:r>
              <w:rPr>
                <w:sz w:val="21"/>
              </w:rPr>
              <w:t>处，病员通道及家属等候区</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透视</w:t>
            </w:r>
          </w:p>
        </w:tc>
        <w:tc>
          <w:tcPr>
            <w:tcW w:w="127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27"/>
              </w:rPr>
            </w:pPr>
          </w:p>
          <w:p>
            <w:pPr>
              <w:pStyle w:val="TableParagraph"/>
              <w:ind w:left="12" w:right="9"/>
              <w:rPr>
                <w:rFonts w:ascii="Times New Roman"/>
                <w:sz w:val="21"/>
              </w:rPr>
            </w:pPr>
            <w:r>
              <w:rPr>
                <w:rFonts w:ascii="Times New Roman"/>
                <w:sz w:val="21"/>
              </w:rPr>
              <w:t>4.4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50" w:right="144"/>
              <w:rPr>
                <w:rFonts w:ascii="Times New Roman" w:hAnsi="Times New Roman"/>
                <w:sz w:val="14"/>
              </w:rPr>
            </w:pPr>
            <w:r>
              <w:rPr>
                <w:rFonts w:ascii="Times New Roman" w:hAnsi="Times New Roman"/>
                <w:sz w:val="21"/>
              </w:rPr>
              <w:t>4.10×10</w:t>
            </w:r>
            <w:r>
              <w:rPr>
                <w:rFonts w:ascii="Times New Roman" w:hAnsi="Times New Roman"/>
                <w:position w:val="7"/>
                <w:sz w:val="14"/>
              </w:rPr>
              <w:t>-4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0"/>
              <w:ind w:left="148" w:right="144"/>
              <w:rPr>
                <w:rFonts w:ascii="Times New Roman" w:hAnsi="Times New Roman"/>
                <w:sz w:val="14"/>
              </w:rPr>
            </w:pPr>
            <w:r>
              <w:rPr>
                <w:rFonts w:ascii="Times New Roman" w:hAnsi="Times New Roman"/>
                <w:sz w:val="21"/>
              </w:rPr>
              <w:t>4.43×10</w:t>
            </w:r>
            <w:r>
              <w:rPr>
                <w:rFonts w:ascii="Times New Roman" w:hAnsi="Times New Roman"/>
                <w:position w:val="7"/>
                <w:sz w:val="14"/>
              </w:rPr>
              <w:t>-4</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5"/>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60"/>
              <w:ind w:left="145" w:right="191"/>
              <w:rPr>
                <w:rFonts w:ascii="Times New Roman" w:hAnsi="Times New Roman"/>
                <w:sz w:val="14"/>
              </w:rPr>
            </w:pPr>
            <w:r>
              <w:rPr>
                <w:rFonts w:ascii="Times New Roman" w:hAnsi="Times New Roman"/>
                <w:sz w:val="21"/>
              </w:rPr>
              <w:t>8.52×10</w:t>
            </w:r>
            <w:r>
              <w:rPr>
                <w:rFonts w:ascii="Times New Roman" w:hAnsi="Times New Roman"/>
                <w:position w:val="7"/>
                <w:sz w:val="14"/>
              </w:rPr>
              <w:t>-4</w:t>
            </w:r>
          </w:p>
        </w:tc>
      </w:tr>
      <w:tr>
        <w:trPr>
          <w:trHeight w:val="556" w:hRule="atLeast"/>
        </w:trPr>
        <w:tc>
          <w:tcPr>
            <w:tcW w:w="2401" w:type="dxa"/>
            <w:gridSpan w:val="2"/>
            <w:vMerge/>
            <w:tcBorders>
              <w:top w:val="nil"/>
              <w:left w:val="single" w:sz="4" w:space="0" w:color="000000"/>
              <w:bottom w:val="single" w:sz="4" w:space="0" w:color="000000"/>
              <w:right w:val="single" w:sz="4" w:space="0" w:color="000000"/>
            </w:tcBorders>
          </w:tcPr>
          <w:p>
            <w:pPr>
              <w:rPr>
                <w:sz w:val="2"/>
                <w:szCs w:val="2"/>
              </w:rPr>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145"/>
              <w:ind w:left="154" w:right="140"/>
              <w:rPr>
                <w:sz w:val="21"/>
              </w:rPr>
            </w:pPr>
            <w:r>
              <w:rPr>
                <w:sz w:val="21"/>
              </w:rPr>
              <w:t>拍片</w:t>
            </w:r>
          </w:p>
        </w:tc>
        <w:tc>
          <w:tcPr>
            <w:tcW w:w="1275" w:type="dxa"/>
            <w:vMerge/>
            <w:tcBorders>
              <w:top w:val="nil"/>
              <w:left w:val="single" w:sz="4" w:space="0" w:color="000000"/>
              <w:bottom w:val="single" w:sz="4" w:space="0" w:color="000000"/>
              <w:right w:val="single" w:sz="4" w:space="0" w:color="000000"/>
            </w:tcBorders>
          </w:tcPr>
          <w:p>
            <w:pPr>
              <w:rPr>
                <w:sz w:val="2"/>
                <w:szCs w:val="2"/>
              </w:rPr>
            </w:pP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154"/>
              <w:ind w:left="150" w:right="144"/>
              <w:rPr>
                <w:rFonts w:ascii="Times New Roman" w:hAnsi="Times New Roman"/>
                <w:sz w:val="14"/>
              </w:rPr>
            </w:pPr>
            <w:r>
              <w:rPr>
                <w:rFonts w:ascii="Times New Roman" w:hAnsi="Times New Roman"/>
                <w:sz w:val="21"/>
              </w:rPr>
              <w:t>4.10×10</w:t>
            </w:r>
            <w:r>
              <w:rPr>
                <w:rFonts w:ascii="Times New Roman" w:hAnsi="Times New Roman"/>
                <w:position w:val="7"/>
                <w:sz w:val="14"/>
              </w:rPr>
              <w:t>-4</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154"/>
              <w:ind w:left="150" w:right="143"/>
              <w:rPr>
                <w:rFonts w:ascii="Times New Roman" w:hAnsi="Times New Roman"/>
                <w:sz w:val="14"/>
              </w:rPr>
            </w:pPr>
            <w:r>
              <w:rPr>
                <w:rFonts w:ascii="Times New Roman" w:hAnsi="Times New Roman"/>
                <w:sz w:val="21"/>
              </w:rPr>
              <w:t>1.11×10</w:t>
            </w:r>
            <w:r>
              <w:rPr>
                <w:rFonts w:ascii="Times New Roman" w:hAnsi="Times New Roman"/>
                <w:position w:val="7"/>
                <w:sz w:val="14"/>
              </w:rPr>
              <w:t>-2</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159"/>
              <w:ind w:left="3"/>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154"/>
              <w:ind w:left="145" w:right="191"/>
              <w:rPr>
                <w:rFonts w:ascii="Times New Roman" w:hAnsi="Times New Roman"/>
                <w:sz w:val="14"/>
              </w:rPr>
            </w:pPr>
            <w:r>
              <w:rPr>
                <w:rFonts w:ascii="Times New Roman" w:hAnsi="Times New Roman"/>
                <w:sz w:val="21"/>
              </w:rPr>
              <w:t>1.15×10</w:t>
            </w:r>
            <w:r>
              <w:rPr>
                <w:rFonts w:ascii="Times New Roman" w:hAnsi="Times New Roman"/>
                <w:position w:val="7"/>
                <w:sz w:val="14"/>
              </w:rPr>
              <w:t>-2</w:t>
            </w:r>
          </w:p>
        </w:tc>
      </w:tr>
      <w:tr>
        <w:trPr>
          <w:trHeight w:val="369" w:hRule="atLeast"/>
        </w:trPr>
        <w:tc>
          <w:tcPr>
            <w:tcW w:w="1126" w:type="dxa"/>
            <w:vMerge w:val="restart"/>
            <w:tcBorders>
              <w:top w:val="single" w:sz="4" w:space="0" w:color="000000"/>
              <w:left w:val="single" w:sz="4" w:space="0" w:color="000000"/>
              <w:bottom w:val="single" w:sz="4" w:space="0" w:color="000000"/>
              <w:right w:val="single" w:sz="4" w:space="0" w:color="000000"/>
            </w:tcBorders>
          </w:tcPr>
          <w:p>
            <w:pPr>
              <w:pStyle w:val="TableParagraph"/>
              <w:spacing w:line="278" w:lineRule="auto" w:before="85"/>
              <w:ind w:left="282" w:right="79" w:hanging="84"/>
              <w:jc w:val="left"/>
              <w:rPr>
                <w:sz w:val="21"/>
              </w:rPr>
            </w:pPr>
            <w:r>
              <w:rPr>
                <w:rFonts w:ascii="Times New Roman" w:eastAsia="Times New Roman"/>
                <w:sz w:val="21"/>
              </w:rPr>
              <w:t>11#-</w:t>
            </w:r>
            <w:r>
              <w:rPr>
                <w:sz w:val="21"/>
              </w:rPr>
              <w:t>第一术者位</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51"/>
              <w:ind w:left="330"/>
              <w:jc w:val="left"/>
              <w:rPr>
                <w:sz w:val="21"/>
              </w:rPr>
            </w:pPr>
            <w:r>
              <w:rPr>
                <w:sz w:val="21"/>
              </w:rPr>
              <w:t>铅衣内</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透视</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65"/>
              <w:ind w:left="12" w:right="9"/>
              <w:rPr>
                <w:rFonts w:ascii="Times New Roman"/>
                <w:sz w:val="21"/>
              </w:rPr>
            </w:pPr>
            <w:r>
              <w:rPr>
                <w:rFonts w:ascii="Times New Roman"/>
                <w:sz w:val="21"/>
              </w:rPr>
              <w:t>0.5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5"/>
              <w:ind w:left="149" w:right="144"/>
              <w:rPr>
                <w:rFonts w:ascii="Times New Roman"/>
                <w:sz w:val="21"/>
              </w:rPr>
            </w:pPr>
            <w:r>
              <w:rPr>
                <w:rFonts w:ascii="Times New Roman"/>
                <w:sz w:val="21"/>
              </w:rPr>
              <w:t>16.30</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5"/>
              <w:ind w:left="148" w:right="144"/>
              <w:rPr>
                <w:rFonts w:ascii="Times New Roman"/>
                <w:sz w:val="21"/>
              </w:rPr>
            </w:pPr>
            <w:r>
              <w:rPr>
                <w:rFonts w:ascii="Times New Roman"/>
                <w:sz w:val="21"/>
              </w:rPr>
              <w:t>17.61</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5"/>
              <w:ind w:left="4"/>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6"/>
              <w:ind w:left="141" w:right="191"/>
              <w:rPr>
                <w:rFonts w:ascii="Times New Roman"/>
                <w:sz w:val="21"/>
              </w:rPr>
            </w:pPr>
            <w:r>
              <w:rPr>
                <w:rFonts w:ascii="Times New Roman"/>
                <w:sz w:val="21"/>
              </w:rPr>
              <w:t>33.9</w:t>
            </w:r>
          </w:p>
        </w:tc>
      </w:tr>
      <w:tr>
        <w:trPr>
          <w:trHeight w:val="369" w:hRule="atLeast"/>
        </w:trPr>
        <w:tc>
          <w:tcPr>
            <w:tcW w:w="1126" w:type="dxa"/>
            <w:vMerge/>
            <w:tcBorders>
              <w:top w:val="nil"/>
              <w:left w:val="single" w:sz="4" w:space="0" w:color="000000"/>
              <w:bottom w:val="single" w:sz="4" w:space="0" w:color="000000"/>
              <w:right w:val="single" w:sz="4" w:space="0" w:color="000000"/>
            </w:tcBorders>
          </w:tcPr>
          <w:p>
            <w:pPr>
              <w:rPr>
                <w:sz w:val="2"/>
                <w:szCs w:val="2"/>
              </w:rPr>
            </w:pP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51"/>
              <w:ind w:left="330"/>
              <w:jc w:val="left"/>
              <w:rPr>
                <w:sz w:val="21"/>
              </w:rPr>
            </w:pPr>
            <w:r>
              <w:rPr>
                <w:sz w:val="21"/>
              </w:rPr>
              <w:t>铅衣外</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透视</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65"/>
              <w:ind w:left="12" w:right="9"/>
              <w:rPr>
                <w:rFonts w:ascii="Times New Roman"/>
                <w:sz w:val="21"/>
              </w:rPr>
            </w:pPr>
            <w:r>
              <w:rPr>
                <w:rFonts w:ascii="Times New Roman"/>
                <w:sz w:val="21"/>
              </w:rPr>
              <w:t>0.5</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5"/>
              <w:ind w:left="149" w:right="144"/>
              <w:rPr>
                <w:rFonts w:ascii="Times New Roman"/>
                <w:sz w:val="21"/>
              </w:rPr>
            </w:pPr>
            <w:r>
              <w:rPr>
                <w:rFonts w:ascii="Times New Roman"/>
                <w:sz w:val="21"/>
              </w:rPr>
              <w:t>100.61</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5"/>
              <w:ind w:left="148" w:right="144"/>
              <w:rPr>
                <w:rFonts w:ascii="Times New Roman"/>
                <w:sz w:val="21"/>
              </w:rPr>
            </w:pPr>
            <w:r>
              <w:rPr>
                <w:rFonts w:ascii="Times New Roman"/>
                <w:sz w:val="21"/>
              </w:rPr>
              <w:t>108.7</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5"/>
              <w:ind w:left="4"/>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6"/>
              <w:ind w:left="141" w:right="191"/>
              <w:rPr>
                <w:rFonts w:ascii="Times New Roman"/>
                <w:sz w:val="21"/>
              </w:rPr>
            </w:pPr>
            <w:r>
              <w:rPr>
                <w:rFonts w:ascii="Times New Roman"/>
                <w:sz w:val="21"/>
              </w:rPr>
              <w:t>209</w:t>
            </w:r>
          </w:p>
        </w:tc>
      </w:tr>
      <w:tr>
        <w:trPr>
          <w:trHeight w:val="359" w:hRule="atLeast"/>
        </w:trPr>
        <w:tc>
          <w:tcPr>
            <w:tcW w:w="1126" w:type="dxa"/>
            <w:vMerge w:val="restart"/>
            <w:tcBorders>
              <w:top w:val="single" w:sz="4" w:space="0" w:color="000000"/>
              <w:left w:val="single" w:sz="4" w:space="0" w:color="000000"/>
              <w:bottom w:val="single" w:sz="12" w:space="0" w:color="000000"/>
              <w:right w:val="single" w:sz="4" w:space="0" w:color="000000"/>
            </w:tcBorders>
          </w:tcPr>
          <w:p>
            <w:pPr>
              <w:pStyle w:val="TableParagraph"/>
              <w:spacing w:line="278" w:lineRule="auto" w:before="85"/>
              <w:ind w:left="282" w:right="79" w:hanging="84"/>
              <w:jc w:val="left"/>
              <w:rPr>
                <w:sz w:val="21"/>
              </w:rPr>
            </w:pPr>
            <w:r>
              <w:rPr>
                <w:rFonts w:ascii="Times New Roman" w:eastAsia="Times New Roman"/>
                <w:sz w:val="21"/>
              </w:rPr>
              <w:t>12#-</w:t>
            </w:r>
            <w:r>
              <w:rPr>
                <w:sz w:val="21"/>
              </w:rPr>
              <w:t>第二术者位</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51"/>
              <w:ind w:left="330"/>
              <w:jc w:val="left"/>
              <w:rPr>
                <w:sz w:val="21"/>
              </w:rPr>
            </w:pPr>
            <w:r>
              <w:rPr>
                <w:sz w:val="21"/>
              </w:rPr>
              <w:t>铅衣内</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before="51"/>
              <w:ind w:left="154" w:right="140"/>
              <w:rPr>
                <w:sz w:val="21"/>
              </w:rPr>
            </w:pPr>
            <w:r>
              <w:rPr>
                <w:sz w:val="21"/>
              </w:rPr>
              <w:t>透视</w:t>
            </w:r>
          </w:p>
        </w:tc>
        <w:tc>
          <w:tcPr>
            <w:tcW w:w="1275" w:type="dxa"/>
            <w:tcBorders>
              <w:top w:val="single" w:sz="4" w:space="0" w:color="000000"/>
              <w:left w:val="single" w:sz="4" w:space="0" w:color="000000"/>
              <w:bottom w:val="single" w:sz="4" w:space="0" w:color="000000"/>
              <w:right w:val="single" w:sz="4" w:space="0" w:color="000000"/>
            </w:tcBorders>
          </w:tcPr>
          <w:p>
            <w:pPr>
              <w:pStyle w:val="TableParagraph"/>
              <w:spacing w:before="65"/>
              <w:ind w:left="12" w:right="9"/>
              <w:rPr>
                <w:rFonts w:ascii="Times New Roman"/>
                <w:sz w:val="21"/>
              </w:rPr>
            </w:pPr>
            <w:r>
              <w:rPr>
                <w:rFonts w:ascii="Times New Roman"/>
                <w:sz w:val="21"/>
              </w:rPr>
              <w:t>1.0</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5"/>
              <w:ind w:left="149" w:right="144"/>
              <w:rPr>
                <w:rFonts w:ascii="Times New Roman"/>
                <w:sz w:val="21"/>
              </w:rPr>
            </w:pPr>
            <w:r>
              <w:rPr>
                <w:rFonts w:ascii="Times New Roman"/>
                <w:sz w:val="21"/>
              </w:rPr>
              <w:t>4.08</w:t>
            </w:r>
          </w:p>
        </w:tc>
        <w:tc>
          <w:tcPr>
            <w:tcW w:w="1160" w:type="dxa"/>
            <w:tcBorders>
              <w:top w:val="single" w:sz="4" w:space="0" w:color="000000"/>
              <w:left w:val="single" w:sz="4" w:space="0" w:color="000000"/>
              <w:bottom w:val="single" w:sz="4" w:space="0" w:color="000000"/>
              <w:right w:val="single" w:sz="4" w:space="0" w:color="000000"/>
            </w:tcBorders>
          </w:tcPr>
          <w:p>
            <w:pPr>
              <w:pStyle w:val="TableParagraph"/>
              <w:spacing w:before="65"/>
              <w:ind w:left="148" w:right="144"/>
              <w:rPr>
                <w:rFonts w:ascii="Times New Roman"/>
                <w:sz w:val="21"/>
              </w:rPr>
            </w:pPr>
            <w:r>
              <w:rPr>
                <w:rFonts w:ascii="Times New Roman"/>
                <w:sz w:val="21"/>
              </w:rPr>
              <w:t>4.40</w:t>
            </w:r>
          </w:p>
        </w:tc>
        <w:tc>
          <w:tcPr>
            <w:tcW w:w="1122" w:type="dxa"/>
            <w:tcBorders>
              <w:top w:val="single" w:sz="4" w:space="0" w:color="000000"/>
              <w:left w:val="single" w:sz="4" w:space="0" w:color="000000"/>
              <w:bottom w:val="single" w:sz="4" w:space="0" w:color="000000"/>
              <w:right w:val="single" w:sz="4" w:space="0" w:color="000000"/>
            </w:tcBorders>
          </w:tcPr>
          <w:p>
            <w:pPr>
              <w:pStyle w:val="TableParagraph"/>
              <w:spacing w:before="65"/>
              <w:ind w:left="4"/>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4" w:space="0" w:color="000000"/>
              <w:right w:val="single" w:sz="4" w:space="0" w:color="000000"/>
            </w:tcBorders>
          </w:tcPr>
          <w:p>
            <w:pPr>
              <w:pStyle w:val="TableParagraph"/>
              <w:spacing w:before="36"/>
              <w:ind w:left="141" w:right="191"/>
              <w:rPr>
                <w:rFonts w:ascii="Times New Roman"/>
                <w:sz w:val="21"/>
              </w:rPr>
            </w:pPr>
            <w:r>
              <w:rPr>
                <w:rFonts w:ascii="Times New Roman"/>
                <w:sz w:val="21"/>
              </w:rPr>
              <w:t>8.48</w:t>
            </w:r>
          </w:p>
        </w:tc>
      </w:tr>
      <w:tr>
        <w:trPr>
          <w:trHeight w:val="358" w:hRule="atLeast"/>
        </w:trPr>
        <w:tc>
          <w:tcPr>
            <w:tcW w:w="1126" w:type="dxa"/>
            <w:vMerge/>
            <w:tcBorders>
              <w:top w:val="nil"/>
              <w:left w:val="single" w:sz="4" w:space="0" w:color="000000"/>
              <w:bottom w:val="single" w:sz="12" w:space="0" w:color="000000"/>
              <w:right w:val="single" w:sz="4" w:space="0" w:color="000000"/>
            </w:tcBorders>
          </w:tcPr>
          <w:p>
            <w:pPr>
              <w:rPr>
                <w:sz w:val="2"/>
                <w:szCs w:val="2"/>
              </w:rPr>
            </w:pPr>
          </w:p>
        </w:tc>
        <w:tc>
          <w:tcPr>
            <w:tcW w:w="1275" w:type="dxa"/>
            <w:tcBorders>
              <w:top w:val="single" w:sz="4" w:space="0" w:color="000000"/>
              <w:left w:val="single" w:sz="4" w:space="0" w:color="000000"/>
              <w:bottom w:val="single" w:sz="12" w:space="0" w:color="000000"/>
              <w:right w:val="single" w:sz="4" w:space="0" w:color="000000"/>
            </w:tcBorders>
          </w:tcPr>
          <w:p>
            <w:pPr>
              <w:pStyle w:val="TableParagraph"/>
              <w:spacing w:before="41"/>
              <w:ind w:left="330"/>
              <w:jc w:val="left"/>
              <w:rPr>
                <w:sz w:val="21"/>
              </w:rPr>
            </w:pPr>
            <w:r>
              <w:rPr>
                <w:sz w:val="21"/>
              </w:rPr>
              <w:t>铅衣外</w:t>
            </w:r>
          </w:p>
        </w:tc>
        <w:tc>
          <w:tcPr>
            <w:tcW w:w="764" w:type="dxa"/>
            <w:tcBorders>
              <w:top w:val="single" w:sz="4" w:space="0" w:color="000000"/>
              <w:left w:val="single" w:sz="4" w:space="0" w:color="000000"/>
              <w:bottom w:val="single" w:sz="12" w:space="0" w:color="000000"/>
              <w:right w:val="single" w:sz="4" w:space="0" w:color="000000"/>
            </w:tcBorders>
          </w:tcPr>
          <w:p>
            <w:pPr>
              <w:pStyle w:val="TableParagraph"/>
              <w:spacing w:before="41"/>
              <w:ind w:left="154" w:right="140"/>
              <w:rPr>
                <w:sz w:val="21"/>
              </w:rPr>
            </w:pPr>
            <w:r>
              <w:rPr>
                <w:sz w:val="21"/>
              </w:rPr>
              <w:t>透视</w:t>
            </w:r>
          </w:p>
        </w:tc>
        <w:tc>
          <w:tcPr>
            <w:tcW w:w="1275" w:type="dxa"/>
            <w:tcBorders>
              <w:top w:val="single" w:sz="4" w:space="0" w:color="000000"/>
              <w:left w:val="single" w:sz="4" w:space="0" w:color="000000"/>
              <w:bottom w:val="single" w:sz="12" w:space="0" w:color="000000"/>
              <w:right w:val="single" w:sz="4" w:space="0" w:color="000000"/>
            </w:tcBorders>
          </w:tcPr>
          <w:p>
            <w:pPr>
              <w:pStyle w:val="TableParagraph"/>
              <w:spacing w:before="55"/>
              <w:ind w:left="12" w:right="9"/>
              <w:rPr>
                <w:rFonts w:ascii="Times New Roman"/>
                <w:sz w:val="21"/>
              </w:rPr>
            </w:pPr>
            <w:r>
              <w:rPr>
                <w:rFonts w:ascii="Times New Roman"/>
                <w:sz w:val="21"/>
              </w:rPr>
              <w:t>1.0</w:t>
            </w:r>
          </w:p>
        </w:tc>
        <w:tc>
          <w:tcPr>
            <w:tcW w:w="1160" w:type="dxa"/>
            <w:tcBorders>
              <w:top w:val="single" w:sz="4" w:space="0" w:color="000000"/>
              <w:left w:val="single" w:sz="4" w:space="0" w:color="000000"/>
              <w:bottom w:val="single" w:sz="12" w:space="0" w:color="000000"/>
              <w:right w:val="single" w:sz="4" w:space="0" w:color="000000"/>
            </w:tcBorders>
          </w:tcPr>
          <w:p>
            <w:pPr>
              <w:pStyle w:val="TableParagraph"/>
              <w:spacing w:before="55"/>
              <w:ind w:left="149" w:right="144"/>
              <w:rPr>
                <w:rFonts w:ascii="Times New Roman"/>
                <w:sz w:val="21"/>
              </w:rPr>
            </w:pPr>
            <w:r>
              <w:rPr>
                <w:rFonts w:ascii="Times New Roman"/>
                <w:sz w:val="21"/>
              </w:rPr>
              <w:t>25.15</w:t>
            </w:r>
          </w:p>
        </w:tc>
        <w:tc>
          <w:tcPr>
            <w:tcW w:w="1160" w:type="dxa"/>
            <w:tcBorders>
              <w:top w:val="single" w:sz="4" w:space="0" w:color="000000"/>
              <w:left w:val="single" w:sz="4" w:space="0" w:color="000000"/>
              <w:bottom w:val="single" w:sz="12" w:space="0" w:color="000000"/>
              <w:right w:val="single" w:sz="4" w:space="0" w:color="000000"/>
            </w:tcBorders>
          </w:tcPr>
          <w:p>
            <w:pPr>
              <w:pStyle w:val="TableParagraph"/>
              <w:spacing w:before="55"/>
              <w:ind w:left="148" w:right="144"/>
              <w:rPr>
                <w:rFonts w:ascii="Times New Roman"/>
                <w:sz w:val="21"/>
              </w:rPr>
            </w:pPr>
            <w:r>
              <w:rPr>
                <w:rFonts w:ascii="Times New Roman"/>
                <w:sz w:val="21"/>
              </w:rPr>
              <w:t>27.17</w:t>
            </w:r>
          </w:p>
        </w:tc>
        <w:tc>
          <w:tcPr>
            <w:tcW w:w="1122" w:type="dxa"/>
            <w:tcBorders>
              <w:top w:val="single" w:sz="4" w:space="0" w:color="000000"/>
              <w:left w:val="single" w:sz="4" w:space="0" w:color="000000"/>
              <w:bottom w:val="single" w:sz="12" w:space="0" w:color="000000"/>
              <w:right w:val="single" w:sz="4" w:space="0" w:color="000000"/>
            </w:tcBorders>
          </w:tcPr>
          <w:p>
            <w:pPr>
              <w:pStyle w:val="TableParagraph"/>
              <w:spacing w:before="55"/>
              <w:ind w:left="4"/>
              <w:rPr>
                <w:rFonts w:ascii="Times New Roman"/>
                <w:sz w:val="21"/>
              </w:rPr>
            </w:pPr>
            <w:r>
              <w:rPr>
                <w:rFonts w:ascii="Times New Roman"/>
                <w:w w:val="100"/>
                <w:sz w:val="21"/>
              </w:rPr>
              <w:t>/</w:t>
            </w:r>
          </w:p>
        </w:tc>
        <w:tc>
          <w:tcPr>
            <w:tcW w:w="1199" w:type="dxa"/>
            <w:tcBorders>
              <w:top w:val="single" w:sz="4" w:space="0" w:color="000000"/>
              <w:left w:val="single" w:sz="4" w:space="0" w:color="000000"/>
              <w:bottom w:val="single" w:sz="12" w:space="0" w:color="000000"/>
              <w:right w:val="single" w:sz="4" w:space="0" w:color="000000"/>
            </w:tcBorders>
          </w:tcPr>
          <w:p>
            <w:pPr>
              <w:pStyle w:val="TableParagraph"/>
              <w:spacing w:before="26"/>
              <w:ind w:left="141" w:right="191"/>
              <w:rPr>
                <w:rFonts w:ascii="Times New Roman"/>
                <w:sz w:val="21"/>
              </w:rPr>
            </w:pPr>
            <w:r>
              <w:rPr>
                <w:rFonts w:ascii="Times New Roman"/>
                <w:sz w:val="21"/>
              </w:rPr>
              <w:t>52.3</w:t>
            </w:r>
          </w:p>
        </w:tc>
      </w:tr>
      <w:tr>
        <w:trPr>
          <w:trHeight w:val="6239" w:hRule="atLeast"/>
        </w:trPr>
        <w:tc>
          <w:tcPr>
            <w:tcW w:w="9081" w:type="dxa"/>
            <w:gridSpan w:val="8"/>
            <w:tcBorders>
              <w:top w:val="single" w:sz="12" w:space="0" w:color="000000"/>
              <w:left w:val="single" w:sz="4" w:space="0" w:color="000000"/>
              <w:bottom w:val="single" w:sz="4" w:space="0" w:color="000000"/>
              <w:right w:val="single" w:sz="4" w:space="0" w:color="000000"/>
            </w:tcBorders>
          </w:tcPr>
          <w:p>
            <w:pPr>
              <w:pStyle w:val="TableParagraph"/>
              <w:spacing w:before="22"/>
              <w:ind w:left="107"/>
              <w:jc w:val="left"/>
              <w:rPr>
                <w:sz w:val="21"/>
              </w:rPr>
            </w:pPr>
            <w:r>
              <w:rPr>
                <w:sz w:val="21"/>
              </w:rPr>
              <w:t>注：</w:t>
            </w:r>
            <w:r>
              <w:rPr>
                <w:rFonts w:ascii="Times New Roman" w:eastAsia="Times New Roman"/>
                <w:sz w:val="21"/>
              </w:rPr>
              <w:t>1. </w:t>
            </w:r>
            <w:r>
              <w:rPr>
                <w:sz w:val="21"/>
              </w:rPr>
              <w:t>介入治疗室正上方为行政楼天井，正下面为泥土层无地下室。</w:t>
            </w:r>
          </w:p>
          <w:p>
            <w:pPr>
              <w:pStyle w:val="TableParagraph"/>
              <w:spacing w:before="1"/>
              <w:jc w:val="left"/>
              <w:rPr>
                <w:sz w:val="20"/>
              </w:rPr>
            </w:pPr>
          </w:p>
          <w:p>
            <w:pPr>
              <w:pStyle w:val="TableParagraph"/>
              <w:spacing w:line="364" w:lineRule="auto"/>
              <w:ind w:left="107" w:right="97" w:firstLine="468"/>
              <w:jc w:val="left"/>
              <w:rPr>
                <w:sz w:val="24"/>
              </w:rPr>
            </w:pPr>
            <w:r>
              <w:rPr>
                <w:spacing w:val="-18"/>
                <w:sz w:val="24"/>
              </w:rPr>
              <w:t>从表 </w:t>
            </w:r>
            <w:r>
              <w:rPr>
                <w:rFonts w:ascii="Times New Roman" w:eastAsia="Times New Roman"/>
                <w:spacing w:val="-3"/>
                <w:sz w:val="24"/>
              </w:rPr>
              <w:t>11-5 </w:t>
            </w:r>
            <w:r>
              <w:rPr>
                <w:spacing w:val="-8"/>
                <w:sz w:val="24"/>
              </w:rPr>
              <w:t>中的预测结果可知，</w:t>
            </w:r>
            <w:r>
              <w:rPr>
                <w:rFonts w:ascii="Times New Roman" w:eastAsia="Times New Roman"/>
                <w:spacing w:val="-4"/>
                <w:sz w:val="24"/>
              </w:rPr>
              <w:t>DSA </w:t>
            </w:r>
            <w:r>
              <w:rPr>
                <w:spacing w:val="-8"/>
                <w:sz w:val="24"/>
              </w:rPr>
              <w:t>全年正常运行，经机房墙体、门屏蔽防护后， </w:t>
            </w:r>
            <w:r>
              <w:rPr>
                <w:spacing w:val="-2"/>
                <w:sz w:val="24"/>
              </w:rPr>
              <w:t>各辐射工作场所边界周围剂量率控制水平满足相关标准。</w:t>
            </w:r>
          </w:p>
          <w:p>
            <w:pPr>
              <w:pStyle w:val="TableParagraph"/>
              <w:spacing w:before="2"/>
              <w:ind w:left="578"/>
              <w:jc w:val="left"/>
              <w:rPr>
                <w:sz w:val="24"/>
              </w:rPr>
            </w:pPr>
            <w:r>
              <w:rPr>
                <w:sz w:val="24"/>
              </w:rPr>
              <w:t>5、辐射工作人员及公众年有效剂量分析</w:t>
            </w:r>
            <w:r>
              <w:rPr>
                <w:w w:val="50"/>
                <w:sz w:val="24"/>
              </w:rPr>
              <w:t> </w:t>
            </w:r>
          </w:p>
          <w:p>
            <w:pPr>
              <w:pStyle w:val="TableParagraph"/>
              <w:spacing w:before="160"/>
              <w:ind w:left="590"/>
              <w:jc w:val="left"/>
              <w:rPr>
                <w:sz w:val="24"/>
              </w:rPr>
            </w:pPr>
            <w:r>
              <w:rPr>
                <w:sz w:val="24"/>
              </w:rPr>
              <w:t>（1）计算模式</w:t>
            </w:r>
            <w:r>
              <w:rPr>
                <w:w w:val="50"/>
                <w:sz w:val="24"/>
              </w:rPr>
              <w:t> </w:t>
            </w:r>
          </w:p>
          <w:p>
            <w:pPr>
              <w:pStyle w:val="TableParagraph"/>
              <w:spacing w:line="364" w:lineRule="auto" w:before="161"/>
              <w:ind w:left="107" w:right="54" w:firstLine="480"/>
              <w:jc w:val="left"/>
              <w:rPr>
                <w:sz w:val="24"/>
              </w:rPr>
            </w:pPr>
            <w:r>
              <w:rPr>
                <w:sz w:val="24"/>
              </w:rPr>
              <w:t>介入治疗室周围公众、控制室辐射工作人员年有效剂量计算采用联合国原子辐射效应科学委员会（</w:t>
            </w:r>
            <w:r>
              <w:rPr>
                <w:rFonts w:ascii="Times New Roman" w:eastAsia="Times New Roman"/>
                <w:sz w:val="24"/>
              </w:rPr>
              <w:t>UNSCEAR</w:t>
            </w:r>
            <w:r>
              <w:rPr>
                <w:sz w:val="24"/>
              </w:rPr>
              <w:t>）</w:t>
            </w:r>
            <w:r>
              <w:rPr>
                <w:rFonts w:ascii="Times New Roman" w:eastAsia="Times New Roman"/>
                <w:sz w:val="24"/>
              </w:rPr>
              <w:t>2000 </w:t>
            </w:r>
            <w:r>
              <w:rPr>
                <w:sz w:val="24"/>
              </w:rPr>
              <w:t>年报告附录 </w:t>
            </w:r>
            <w:r>
              <w:rPr>
                <w:rFonts w:ascii="Times New Roman" w:eastAsia="Times New Roman"/>
                <w:sz w:val="24"/>
              </w:rPr>
              <w:t>A </w:t>
            </w:r>
            <w:r>
              <w:rPr>
                <w:sz w:val="24"/>
              </w:rPr>
              <w:t>中的计算公式进行估算：</w:t>
            </w:r>
          </w:p>
          <w:p>
            <w:pPr>
              <w:pStyle w:val="TableParagraph"/>
              <w:tabs>
                <w:tab w:pos="5793" w:val="left" w:leader="dot"/>
              </w:tabs>
              <w:spacing w:before="87"/>
              <w:ind w:left="2359"/>
              <w:jc w:val="left"/>
              <w:rPr>
                <w:rFonts w:ascii="Times New Roman" w:hAnsi="Times New Roman" w:eastAsia="Times New Roman"/>
                <w:sz w:val="24"/>
              </w:rPr>
            </w:pPr>
            <w:r>
              <w:rPr>
                <w:rFonts w:ascii="Cambria" w:hAnsi="Cambria" w:eastAsia="Cambria"/>
                <w:spacing w:val="-6"/>
                <w:w w:val="105"/>
                <w:sz w:val="24"/>
              </w:rPr>
              <w:t>𝐻</w:t>
            </w:r>
            <w:r>
              <w:rPr>
                <w:rFonts w:ascii="Cambria" w:hAnsi="Cambria" w:eastAsia="Cambria"/>
                <w:spacing w:val="-6"/>
                <w:w w:val="105"/>
                <w:sz w:val="24"/>
                <w:vertAlign w:val="subscript"/>
              </w:rPr>
              <w:t>□□ </w:t>
            </w:r>
            <w:r>
              <w:rPr>
                <w:rFonts w:ascii="Cambria" w:hAnsi="Cambria" w:eastAsia="Cambria"/>
                <w:w w:val="115"/>
                <w:sz w:val="24"/>
                <w:vertAlign w:val="subscript"/>
              </w:rPr>
              <w:t>= </w:t>
            </w:r>
            <w:r>
              <w:rPr>
                <w:rFonts w:ascii="Cambria" w:hAnsi="Cambria" w:eastAsia="Cambria"/>
                <w:spacing w:val="-8"/>
                <w:w w:val="105"/>
                <w:sz w:val="24"/>
                <w:vertAlign w:val="subscript"/>
              </w:rPr>
              <w:t>𝐷□ </w:t>
            </w:r>
            <w:r>
              <w:rPr>
                <w:rFonts w:ascii="Cambria" w:hAnsi="Cambria" w:eastAsia="Cambria"/>
                <w:w w:val="115"/>
                <w:sz w:val="24"/>
                <w:vertAlign w:val="subscript"/>
              </w:rPr>
              <w:t>× </w:t>
            </w:r>
            <w:r>
              <w:rPr>
                <w:rFonts w:ascii="Cambria" w:hAnsi="Cambria" w:eastAsia="Cambria"/>
                <w:w w:val="105"/>
                <w:sz w:val="24"/>
                <w:vertAlign w:val="subscript"/>
              </w:rPr>
              <w:t>𝑇 </w:t>
            </w:r>
            <w:r>
              <w:rPr>
                <w:rFonts w:ascii="Cambria" w:hAnsi="Cambria" w:eastAsia="Cambria"/>
                <w:w w:val="115"/>
                <w:sz w:val="24"/>
                <w:vertAlign w:val="subscript"/>
              </w:rPr>
              <w:t>× </w:t>
            </w:r>
            <w:r>
              <w:rPr>
                <w:rFonts w:ascii="Cambria" w:hAnsi="Cambria" w:eastAsia="Cambria"/>
                <w:sz w:val="24"/>
                <w:vertAlign w:val="subscript"/>
              </w:rPr>
              <w:t>𝑡</w:t>
            </w:r>
            <w:r>
              <w:rPr>
                <w:rFonts w:ascii="Cambria" w:hAnsi="Cambria" w:eastAsia="Cambria"/>
                <w:spacing w:val="-20"/>
                <w:sz w:val="24"/>
                <w:vertAlign w:val="subscript"/>
              </w:rPr>
              <w:t> </w:t>
            </w:r>
            <w:r>
              <w:rPr>
                <w:rFonts w:ascii="Cambria" w:hAnsi="Cambria" w:eastAsia="Cambria"/>
                <w:spacing w:val="-8"/>
                <w:w w:val="115"/>
                <w:sz w:val="24"/>
                <w:vertAlign w:val="subscript"/>
              </w:rPr>
              <w:t>× </w:t>
            </w:r>
            <w:r>
              <w:rPr>
                <w:rFonts w:ascii="Cambria" w:hAnsi="Cambria" w:eastAsia="Cambria"/>
                <w:w w:val="105"/>
                <w:sz w:val="24"/>
                <w:vertAlign w:val="subscript"/>
              </w:rPr>
              <w:t>𝐾</w:t>
              <w:tab/>
            </w:r>
            <w:r>
              <w:rPr>
                <w:w w:val="105"/>
                <w:sz w:val="24"/>
                <w:vertAlign w:val="subscript"/>
              </w:rPr>
              <w:t>公式</w:t>
            </w:r>
            <w:r>
              <w:rPr>
                <w:rFonts w:ascii="Times New Roman" w:hAnsi="Times New Roman" w:eastAsia="Times New Roman"/>
                <w:w w:val="105"/>
                <w:sz w:val="24"/>
                <w:vertAlign w:val="subscript"/>
              </w:rPr>
              <w:t>11-6</w:t>
            </w:r>
          </w:p>
          <w:p>
            <w:pPr>
              <w:pStyle w:val="TableParagraph"/>
              <w:spacing w:before="230"/>
              <w:ind w:left="520"/>
              <w:jc w:val="left"/>
              <w:rPr>
                <w:sz w:val="24"/>
              </w:rPr>
            </w:pPr>
            <w:r>
              <w:rPr>
                <w:sz w:val="24"/>
              </w:rPr>
              <w:t>式中：</w:t>
            </w:r>
          </w:p>
          <w:p>
            <w:pPr>
              <w:pStyle w:val="TableParagraph"/>
              <w:spacing w:before="160"/>
              <w:ind w:left="1050"/>
              <w:jc w:val="left"/>
              <w:rPr>
                <w:sz w:val="24"/>
              </w:rPr>
            </w:pPr>
            <w:r>
              <w:rPr>
                <w:rFonts w:ascii="Times New Roman" w:hAnsi="Times New Roman" w:eastAsia="Times New Roman"/>
                <w:position w:val="2"/>
                <w:sz w:val="24"/>
              </w:rPr>
              <w:t>H</w:t>
            </w:r>
            <w:r>
              <w:rPr>
                <w:rFonts w:ascii="Times New Roman" w:hAnsi="Times New Roman" w:eastAsia="Times New Roman"/>
                <w:sz w:val="16"/>
              </w:rPr>
              <w:t>Er</w:t>
            </w:r>
            <w:r>
              <w:rPr>
                <w:rFonts w:ascii="Times New Roman" w:hAnsi="Times New Roman" w:eastAsia="Times New Roman"/>
                <w:position w:val="2"/>
                <w:sz w:val="24"/>
              </w:rPr>
              <w:t>—X</w:t>
            </w:r>
            <w:r>
              <w:rPr>
                <w:position w:val="2"/>
                <w:sz w:val="24"/>
              </w:rPr>
              <w:t>射线外照射年有效剂量，</w:t>
            </w:r>
            <w:r>
              <w:rPr>
                <w:rFonts w:ascii="Times New Roman" w:hAnsi="Times New Roman" w:eastAsia="Times New Roman"/>
                <w:position w:val="2"/>
                <w:sz w:val="24"/>
              </w:rPr>
              <w:t>mSv/a</w:t>
            </w:r>
            <w:r>
              <w:rPr>
                <w:position w:val="2"/>
                <w:sz w:val="24"/>
              </w:rPr>
              <w:t>；</w:t>
            </w:r>
          </w:p>
          <w:p>
            <w:pPr>
              <w:pStyle w:val="TableParagraph"/>
              <w:spacing w:before="160"/>
              <w:ind w:left="1050"/>
              <w:jc w:val="left"/>
              <w:rPr>
                <w:sz w:val="24"/>
              </w:rPr>
            </w:pPr>
            <w:r>
              <w:rPr>
                <w:rFonts w:ascii="Times New Roman" w:hAnsi="Times New Roman" w:eastAsia="Times New Roman"/>
                <w:position w:val="2"/>
                <w:sz w:val="24"/>
              </w:rPr>
              <w:t>D</w:t>
            </w:r>
            <w:r>
              <w:rPr>
                <w:rFonts w:ascii="Times New Roman" w:hAnsi="Times New Roman" w:eastAsia="Times New Roman"/>
                <w:sz w:val="16"/>
              </w:rPr>
              <w:t>r</w:t>
            </w:r>
            <w:r>
              <w:rPr>
                <w:rFonts w:ascii="Times New Roman" w:hAnsi="Times New Roman" w:eastAsia="Times New Roman"/>
                <w:position w:val="2"/>
                <w:sz w:val="24"/>
              </w:rPr>
              <w:t>—</w:t>
            </w:r>
            <w:r>
              <w:rPr>
                <w:position w:val="2"/>
                <w:sz w:val="24"/>
              </w:rPr>
              <w:t>关注点处空气比释动能率，</w:t>
            </w:r>
            <w:r>
              <w:rPr>
                <w:rFonts w:ascii="Times New Roman" w:hAnsi="Times New Roman" w:eastAsia="Times New Roman"/>
                <w:position w:val="2"/>
                <w:sz w:val="24"/>
              </w:rPr>
              <w:t>μGy/h</w:t>
            </w:r>
            <w:r>
              <w:rPr>
                <w:position w:val="2"/>
                <w:sz w:val="24"/>
              </w:rPr>
              <w:t>；</w:t>
            </w:r>
          </w:p>
          <w:p>
            <w:pPr>
              <w:pStyle w:val="TableParagraph"/>
              <w:spacing w:before="162"/>
              <w:ind w:left="1050"/>
              <w:jc w:val="left"/>
              <w:rPr>
                <w:sz w:val="24"/>
              </w:rPr>
            </w:pPr>
            <w:r>
              <w:rPr>
                <w:rFonts w:ascii="Times New Roman" w:hAnsi="Times New Roman" w:eastAsia="Times New Roman"/>
                <w:sz w:val="24"/>
              </w:rPr>
              <w:t>T—</w:t>
            </w:r>
            <w:r>
              <w:rPr>
                <w:sz w:val="24"/>
              </w:rPr>
              <w:t>居留因子；</w:t>
            </w:r>
          </w:p>
          <w:p>
            <w:pPr>
              <w:pStyle w:val="TableParagraph"/>
              <w:spacing w:before="160"/>
              <w:ind w:left="1050"/>
              <w:jc w:val="left"/>
              <w:rPr>
                <w:sz w:val="24"/>
              </w:rPr>
            </w:pPr>
            <w:r>
              <w:rPr>
                <w:rFonts w:ascii="Times New Roman" w:hAnsi="Times New Roman" w:eastAsia="Times New Roman"/>
                <w:sz w:val="24"/>
              </w:rPr>
              <w:t>t—</w:t>
            </w:r>
            <w:r>
              <w:rPr>
                <w:sz w:val="24"/>
              </w:rPr>
              <w:t>年照射时间，</w:t>
            </w:r>
            <w:r>
              <w:rPr>
                <w:rFonts w:ascii="Times New Roman" w:hAnsi="Times New Roman" w:eastAsia="Times New Roman"/>
                <w:sz w:val="24"/>
              </w:rPr>
              <w:t>h</w:t>
            </w:r>
            <w:r>
              <w:rPr>
                <w:sz w:val="24"/>
              </w:rPr>
              <w:t>；</w:t>
            </w:r>
          </w:p>
        </w:tc>
      </w:tr>
    </w:tbl>
    <w:p>
      <w:pPr>
        <w:spacing w:after="0"/>
        <w:jc w:val="left"/>
        <w:rPr>
          <w:sz w:val="24"/>
        </w:rPr>
        <w:sectPr>
          <w:pgSz w:w="11910" w:h="16840"/>
          <w:pgMar w:header="0" w:footer="881" w:top="1220" w:bottom="108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7"/>
        <w:gridCol w:w="701"/>
        <w:gridCol w:w="1865"/>
        <w:gridCol w:w="778"/>
        <w:gridCol w:w="1059"/>
        <w:gridCol w:w="1484"/>
        <w:gridCol w:w="783"/>
      </w:tblGrid>
      <w:tr>
        <w:trPr>
          <w:trHeight w:val="7487" w:hRule="atLeast"/>
        </w:trPr>
        <w:tc>
          <w:tcPr>
            <w:tcW w:w="9077" w:type="dxa"/>
            <w:gridSpan w:val="7"/>
            <w:tcBorders>
              <w:bottom w:val="single" w:sz="12" w:space="0" w:color="000000"/>
            </w:tcBorders>
          </w:tcPr>
          <w:p>
            <w:pPr>
              <w:pStyle w:val="TableParagraph"/>
              <w:spacing w:line="364" w:lineRule="auto" w:before="81"/>
              <w:ind w:left="107" w:right="98" w:firstLine="943"/>
              <w:jc w:val="both"/>
              <w:rPr>
                <w:sz w:val="24"/>
              </w:rPr>
            </w:pPr>
            <w:r>
              <w:rPr>
                <w:rFonts w:ascii="Times New Roman" w:hAnsi="Times New Roman" w:eastAsia="Times New Roman"/>
                <w:spacing w:val="-3"/>
                <w:sz w:val="24"/>
              </w:rPr>
              <w:t>K—</w:t>
            </w:r>
            <w:r>
              <w:rPr>
                <w:spacing w:val="-5"/>
                <w:sz w:val="24"/>
              </w:rPr>
              <w:t>有效剂量与空气比释动能转换系数，</w:t>
            </w:r>
            <w:r>
              <w:rPr>
                <w:rFonts w:ascii="Times New Roman" w:hAnsi="Times New Roman" w:eastAsia="Times New Roman"/>
                <w:spacing w:val="-4"/>
                <w:sz w:val="24"/>
              </w:rPr>
              <w:t>Sv /Gy</w:t>
            </w:r>
            <w:r>
              <w:rPr>
                <w:spacing w:val="-4"/>
                <w:sz w:val="24"/>
              </w:rPr>
              <w:t>，从《用于光子外照射防护的</w:t>
            </w:r>
            <w:r>
              <w:rPr>
                <w:spacing w:val="-21"/>
                <w:sz w:val="24"/>
              </w:rPr>
              <w:t>剂量转换系数》</w:t>
            </w:r>
            <w:r>
              <w:rPr>
                <w:sz w:val="24"/>
              </w:rPr>
              <w:t>（</w:t>
            </w:r>
            <w:r>
              <w:rPr>
                <w:rFonts w:ascii="Times New Roman" w:hAnsi="Times New Roman" w:eastAsia="Times New Roman"/>
                <w:sz w:val="24"/>
              </w:rPr>
              <w:t>GBZ/T 144-2002</w:t>
            </w:r>
            <w:r>
              <w:rPr>
                <w:sz w:val="24"/>
              </w:rPr>
              <w:t>）</w:t>
            </w:r>
            <w:r>
              <w:rPr>
                <w:spacing w:val="-13"/>
                <w:sz w:val="24"/>
              </w:rPr>
              <w:t>附录表 </w:t>
            </w:r>
            <w:r>
              <w:rPr>
                <w:rFonts w:ascii="Times New Roman" w:hAnsi="Times New Roman" w:eastAsia="Times New Roman"/>
                <w:sz w:val="24"/>
              </w:rPr>
              <w:t>B2 </w:t>
            </w:r>
            <w:r>
              <w:rPr>
                <w:spacing w:val="-6"/>
                <w:sz w:val="24"/>
              </w:rPr>
              <w:t>查取；对于本项目 </w:t>
            </w:r>
            <w:r>
              <w:rPr>
                <w:rFonts w:ascii="Times New Roman" w:hAnsi="Times New Roman" w:eastAsia="Times New Roman"/>
                <w:sz w:val="24"/>
              </w:rPr>
              <w:t>DSA </w:t>
            </w:r>
            <w:r>
              <w:rPr>
                <w:spacing w:val="-2"/>
                <w:sz w:val="24"/>
              </w:rPr>
              <w:t>运行时最大常</w:t>
            </w:r>
            <w:r>
              <w:rPr>
                <w:spacing w:val="-13"/>
                <w:sz w:val="24"/>
              </w:rPr>
              <w:t>用管电压 </w:t>
            </w:r>
            <w:r>
              <w:rPr>
                <w:rFonts w:ascii="Times New Roman" w:hAnsi="Times New Roman" w:eastAsia="Times New Roman"/>
                <w:sz w:val="24"/>
              </w:rPr>
              <w:t>90kV</w:t>
            </w:r>
            <w:r>
              <w:rPr>
                <w:spacing w:val="-16"/>
                <w:sz w:val="24"/>
              </w:rPr>
              <w:t>，查取 </w:t>
            </w:r>
            <w:r>
              <w:rPr>
                <w:rFonts w:ascii="Times New Roman" w:hAnsi="Times New Roman" w:eastAsia="Times New Roman"/>
                <w:sz w:val="24"/>
              </w:rPr>
              <w:t>K </w:t>
            </w:r>
            <w:r>
              <w:rPr>
                <w:spacing w:val="-21"/>
                <w:sz w:val="24"/>
              </w:rPr>
              <w:t>值为 </w:t>
            </w:r>
            <w:r>
              <w:rPr>
                <w:rFonts w:ascii="Times New Roman" w:hAnsi="Times New Roman" w:eastAsia="Times New Roman"/>
                <w:sz w:val="24"/>
              </w:rPr>
              <w:t>1.67</w:t>
            </w:r>
            <w:r>
              <w:rPr>
                <w:sz w:val="24"/>
              </w:rPr>
              <w:t>。</w:t>
            </w:r>
          </w:p>
          <w:p>
            <w:pPr>
              <w:pStyle w:val="TableParagraph"/>
              <w:spacing w:line="364" w:lineRule="auto" w:before="2"/>
              <w:ind w:left="107" w:right="316" w:firstLine="480"/>
              <w:jc w:val="left"/>
              <w:rPr>
                <w:sz w:val="24"/>
              </w:rPr>
            </w:pPr>
            <w:r>
              <w:rPr>
                <w:sz w:val="24"/>
              </w:rPr>
              <w:t>介入治疗室内介入操作人员的外照射辐射年有效剂量计算借鉴《职业性外照射个人监测规范》（</w:t>
            </w:r>
            <w:r>
              <w:rPr>
                <w:rFonts w:ascii="Times New Roman" w:eastAsia="Times New Roman"/>
                <w:sz w:val="24"/>
              </w:rPr>
              <w:t>GBZ128-2019</w:t>
            </w:r>
            <w:r>
              <w:rPr>
                <w:sz w:val="24"/>
              </w:rPr>
              <w:t>）给出的公式进行估算：</w:t>
            </w:r>
          </w:p>
          <w:p>
            <w:pPr>
              <w:pStyle w:val="TableParagraph"/>
              <w:tabs>
                <w:tab w:pos="5718" w:val="left" w:leader="dot"/>
              </w:tabs>
              <w:spacing w:before="88"/>
              <w:ind w:left="2867"/>
              <w:jc w:val="left"/>
              <w:rPr>
                <w:rFonts w:ascii="Times New Roman" w:hAnsi="Times New Roman" w:eastAsia="Times New Roman"/>
                <w:sz w:val="24"/>
              </w:rPr>
            </w:pPr>
            <w:r>
              <w:rPr>
                <w:rFonts w:ascii="Cambria" w:hAnsi="Cambria" w:eastAsia="Cambria"/>
                <w:w w:val="105"/>
                <w:sz w:val="24"/>
              </w:rPr>
              <w:t>𝐸 = </w:t>
            </w:r>
            <w:r>
              <w:rPr>
                <w:rFonts w:ascii="Cambria" w:hAnsi="Cambria" w:eastAsia="Cambria"/>
                <w:spacing w:val="-3"/>
                <w:w w:val="105"/>
                <w:sz w:val="24"/>
              </w:rPr>
              <w:t>𝛼𝐻</w:t>
            </w:r>
            <w:r>
              <w:rPr>
                <w:rFonts w:ascii="Cambria" w:hAnsi="Cambria" w:eastAsia="Cambria"/>
                <w:spacing w:val="4"/>
                <w:w w:val="105"/>
                <w:sz w:val="24"/>
                <w:vertAlign w:val="subscript"/>
              </w:rPr>
              <w:t>□ + </w:t>
            </w:r>
            <w:r>
              <w:rPr>
                <w:rFonts w:ascii="Cambria" w:hAnsi="Cambria" w:eastAsia="Cambria"/>
                <w:w w:val="105"/>
                <w:sz w:val="24"/>
                <w:vertAlign w:val="subscript"/>
              </w:rPr>
              <w:t>𝛽𝐻□</w:t>
            </w:r>
            <w:r>
              <w:rPr>
                <w:rFonts w:ascii="Cambria" w:hAnsi="Cambria" w:eastAsia="Cambria"/>
                <w:w w:val="105"/>
                <w:position w:val="-4"/>
                <w:sz w:val="24"/>
                <w:vertAlign w:val="baseline"/>
              </w:rPr>
              <w:tab/>
            </w:r>
            <w:r>
              <w:rPr>
                <w:spacing w:val="-23"/>
                <w:w w:val="105"/>
                <w:sz w:val="24"/>
                <w:vertAlign w:val="baseline"/>
              </w:rPr>
              <w:t>公式 </w:t>
            </w:r>
            <w:r>
              <w:rPr>
                <w:rFonts w:ascii="Times New Roman" w:hAnsi="Times New Roman" w:eastAsia="Times New Roman"/>
                <w:spacing w:val="-3"/>
                <w:w w:val="105"/>
                <w:sz w:val="24"/>
                <w:vertAlign w:val="baseline"/>
              </w:rPr>
              <w:t>11-7</w:t>
            </w:r>
          </w:p>
          <w:p>
            <w:pPr>
              <w:pStyle w:val="TableParagraph"/>
              <w:spacing w:before="230"/>
              <w:ind w:left="587"/>
              <w:jc w:val="left"/>
              <w:rPr>
                <w:sz w:val="24"/>
              </w:rPr>
            </w:pPr>
            <w:r>
              <w:rPr>
                <w:sz w:val="24"/>
              </w:rPr>
              <w:t>式中：</w:t>
            </w:r>
          </w:p>
          <w:p>
            <w:pPr>
              <w:pStyle w:val="TableParagraph"/>
              <w:spacing w:before="160"/>
              <w:ind w:left="1067"/>
              <w:jc w:val="left"/>
              <w:rPr>
                <w:sz w:val="24"/>
              </w:rPr>
            </w:pPr>
            <w:r>
              <w:rPr>
                <w:rFonts w:ascii="Times New Roman" w:hAnsi="Times New Roman" w:eastAsia="Times New Roman"/>
                <w:sz w:val="24"/>
              </w:rPr>
              <w:t>α—</w:t>
            </w:r>
            <w:r>
              <w:rPr>
                <w:sz w:val="24"/>
              </w:rPr>
              <w:t>系数，有甲状腺屏蔽时，取 </w:t>
            </w:r>
            <w:r>
              <w:rPr>
                <w:rFonts w:ascii="Times New Roman" w:hAnsi="Times New Roman" w:eastAsia="Times New Roman"/>
                <w:sz w:val="24"/>
              </w:rPr>
              <w:t>0.79</w:t>
            </w:r>
            <w:r>
              <w:rPr>
                <w:sz w:val="24"/>
              </w:rPr>
              <w:t>，无屏蔽时，取 </w:t>
            </w:r>
            <w:r>
              <w:rPr>
                <w:rFonts w:ascii="Times New Roman" w:hAnsi="Times New Roman" w:eastAsia="Times New Roman"/>
                <w:sz w:val="24"/>
              </w:rPr>
              <w:t>0.84</w:t>
            </w:r>
            <w:r>
              <w:rPr>
                <w:sz w:val="24"/>
              </w:rPr>
              <w:t>；</w:t>
            </w:r>
          </w:p>
          <w:p>
            <w:pPr>
              <w:pStyle w:val="TableParagraph"/>
              <w:spacing w:before="160"/>
              <w:ind w:left="1067"/>
              <w:jc w:val="left"/>
              <w:rPr>
                <w:sz w:val="24"/>
              </w:rPr>
            </w:pPr>
            <w:r>
              <w:rPr>
                <w:rFonts w:ascii="Times New Roman" w:hAnsi="Times New Roman" w:eastAsia="Times New Roman"/>
                <w:spacing w:val="-1"/>
                <w:w w:val="99"/>
                <w:position w:val="2"/>
                <w:sz w:val="24"/>
              </w:rPr>
              <w:t>H</w:t>
            </w:r>
            <w:r>
              <w:rPr>
                <w:rFonts w:ascii="Times New Roman" w:hAnsi="Times New Roman" w:eastAsia="Times New Roman"/>
                <w:spacing w:val="1"/>
                <w:w w:val="100"/>
                <w:sz w:val="16"/>
              </w:rPr>
              <w:t>u</w:t>
            </w:r>
            <w:r>
              <w:rPr>
                <w:rFonts w:ascii="Times New Roman" w:hAnsi="Times New Roman" w:eastAsia="Times New Roman"/>
                <w:position w:val="2"/>
                <w:sz w:val="24"/>
              </w:rPr>
              <w:t>—</w:t>
            </w:r>
            <w:r>
              <w:rPr>
                <w:spacing w:val="-4"/>
                <w:position w:val="2"/>
                <w:sz w:val="24"/>
              </w:rPr>
              <w:t>铅围裙内佩戴的个人剂量计测得的 </w:t>
            </w:r>
            <w:r>
              <w:rPr>
                <w:rFonts w:ascii="Times New Roman" w:hAnsi="Times New Roman" w:eastAsia="Times New Roman"/>
                <w:spacing w:val="-1"/>
                <w:w w:val="99"/>
                <w:position w:val="2"/>
                <w:sz w:val="24"/>
              </w:rPr>
              <w:t>H</w:t>
            </w:r>
            <w:r>
              <w:rPr>
                <w:rFonts w:ascii="Times New Roman" w:hAnsi="Times New Roman" w:eastAsia="Times New Roman"/>
                <w:spacing w:val="1"/>
                <w:w w:val="100"/>
                <w:sz w:val="16"/>
              </w:rPr>
              <w:t>p</w:t>
            </w:r>
            <w:r>
              <w:rPr>
                <w:position w:val="2"/>
                <w:sz w:val="24"/>
              </w:rPr>
              <w:t>（</w:t>
            </w:r>
            <w:r>
              <w:rPr>
                <w:rFonts w:ascii="Times New Roman" w:hAnsi="Times New Roman" w:eastAsia="Times New Roman"/>
                <w:position w:val="2"/>
                <w:sz w:val="24"/>
              </w:rPr>
              <w:t>10</w:t>
            </w:r>
            <w:r>
              <w:rPr>
                <w:spacing w:val="-120"/>
                <w:position w:val="2"/>
                <w:sz w:val="24"/>
              </w:rPr>
              <w:t>）</w:t>
            </w:r>
            <w:r>
              <w:rPr>
                <w:position w:val="2"/>
                <w:sz w:val="24"/>
              </w:rPr>
              <w:t>，单位为毫希沃特</w:t>
            </w:r>
            <w:r>
              <w:rPr>
                <w:spacing w:val="-1"/>
                <w:position w:val="2"/>
                <w:sz w:val="24"/>
              </w:rPr>
              <w:t>（</w:t>
            </w:r>
            <w:r>
              <w:rPr>
                <w:rFonts w:ascii="Times New Roman" w:hAnsi="Times New Roman" w:eastAsia="Times New Roman"/>
                <w:w w:val="99"/>
                <w:position w:val="2"/>
                <w:sz w:val="24"/>
              </w:rPr>
              <w:t>m</w:t>
            </w:r>
            <w:r>
              <w:rPr>
                <w:rFonts w:ascii="Times New Roman" w:hAnsi="Times New Roman" w:eastAsia="Times New Roman"/>
                <w:w w:val="99"/>
                <w:position w:val="2"/>
                <w:sz w:val="24"/>
              </w:rPr>
              <w:t>S</w:t>
            </w:r>
            <w:r>
              <w:rPr>
                <w:rFonts w:ascii="Times New Roman" w:hAnsi="Times New Roman" w:eastAsia="Times New Roman"/>
                <w:spacing w:val="1"/>
                <w:position w:val="2"/>
                <w:sz w:val="24"/>
              </w:rPr>
              <w:t>v</w:t>
            </w:r>
            <w:r>
              <w:rPr>
                <w:spacing w:val="-120"/>
                <w:position w:val="2"/>
                <w:sz w:val="24"/>
              </w:rPr>
              <w:t>）</w:t>
            </w:r>
            <w:r>
              <w:rPr>
                <w:position w:val="2"/>
                <w:sz w:val="24"/>
              </w:rPr>
              <w:t>；</w:t>
            </w:r>
          </w:p>
          <w:p>
            <w:pPr>
              <w:pStyle w:val="TableParagraph"/>
              <w:spacing w:before="161"/>
              <w:ind w:left="1067"/>
              <w:jc w:val="left"/>
              <w:rPr>
                <w:sz w:val="24"/>
              </w:rPr>
            </w:pPr>
            <w:r>
              <w:rPr>
                <w:rFonts w:ascii="Times New Roman" w:hAnsi="Times New Roman" w:eastAsia="Times New Roman"/>
                <w:sz w:val="24"/>
              </w:rPr>
              <w:t>β—</w:t>
            </w:r>
            <w:r>
              <w:rPr>
                <w:sz w:val="24"/>
              </w:rPr>
              <w:t>系数，有甲状腺屏蔽时，取 </w:t>
            </w:r>
            <w:r>
              <w:rPr>
                <w:rFonts w:ascii="Times New Roman" w:hAnsi="Times New Roman" w:eastAsia="Times New Roman"/>
                <w:sz w:val="24"/>
              </w:rPr>
              <w:t>0.051</w:t>
            </w:r>
            <w:r>
              <w:rPr>
                <w:sz w:val="24"/>
              </w:rPr>
              <w:t>，无屏蔽时，取 </w:t>
            </w:r>
            <w:r>
              <w:rPr>
                <w:rFonts w:ascii="Times New Roman" w:hAnsi="Times New Roman" w:eastAsia="Times New Roman"/>
                <w:sz w:val="24"/>
              </w:rPr>
              <w:t>0.100</w:t>
            </w:r>
            <w:r>
              <w:rPr>
                <w:sz w:val="24"/>
              </w:rPr>
              <w:t>；</w:t>
            </w:r>
          </w:p>
          <w:p>
            <w:pPr>
              <w:pStyle w:val="TableParagraph"/>
              <w:spacing w:line="364" w:lineRule="auto" w:before="160"/>
              <w:ind w:left="107" w:right="98" w:firstLine="960"/>
              <w:jc w:val="both"/>
              <w:rPr>
                <w:sz w:val="24"/>
              </w:rPr>
            </w:pPr>
            <w:r>
              <w:rPr>
                <w:rFonts w:ascii="Times New Roman" w:hAnsi="Times New Roman" w:eastAsia="Times New Roman"/>
                <w:spacing w:val="-1"/>
                <w:w w:val="99"/>
                <w:position w:val="2"/>
                <w:sz w:val="24"/>
              </w:rPr>
              <w:t>H</w:t>
            </w:r>
            <w:r>
              <w:rPr>
                <w:rFonts w:ascii="Times New Roman" w:hAnsi="Times New Roman" w:eastAsia="Times New Roman"/>
                <w:spacing w:val="1"/>
                <w:w w:val="100"/>
                <w:sz w:val="16"/>
              </w:rPr>
              <w:t>o</w:t>
            </w:r>
            <w:r>
              <w:rPr>
                <w:rFonts w:ascii="Times New Roman" w:hAnsi="Times New Roman" w:eastAsia="Times New Roman"/>
                <w:position w:val="2"/>
                <w:sz w:val="24"/>
              </w:rPr>
              <w:t>—</w:t>
            </w:r>
            <w:r>
              <w:rPr>
                <w:spacing w:val="-3"/>
                <w:position w:val="2"/>
                <w:sz w:val="24"/>
              </w:rPr>
              <w:t>铅围裙外锁骨对应的衣领位置佩戴的个人剂量计测得的 </w:t>
            </w:r>
            <w:r>
              <w:rPr>
                <w:rFonts w:ascii="Times New Roman" w:hAnsi="Times New Roman" w:eastAsia="Times New Roman"/>
                <w:spacing w:val="-1"/>
                <w:w w:val="99"/>
                <w:position w:val="2"/>
                <w:sz w:val="24"/>
              </w:rPr>
              <w:t>H</w:t>
            </w:r>
            <w:r>
              <w:rPr>
                <w:rFonts w:ascii="Times New Roman" w:hAnsi="Times New Roman" w:eastAsia="Times New Roman"/>
                <w:spacing w:val="1"/>
                <w:w w:val="100"/>
                <w:sz w:val="16"/>
              </w:rPr>
              <w:t>p</w:t>
            </w:r>
            <w:r>
              <w:rPr>
                <w:position w:val="2"/>
                <w:sz w:val="24"/>
              </w:rPr>
              <w:t>（</w:t>
            </w:r>
            <w:r>
              <w:rPr>
                <w:rFonts w:ascii="Times New Roman" w:hAnsi="Times New Roman" w:eastAsia="Times New Roman"/>
                <w:position w:val="2"/>
                <w:sz w:val="24"/>
              </w:rPr>
              <w:t>10</w:t>
            </w:r>
            <w:r>
              <w:rPr>
                <w:spacing w:val="-120"/>
                <w:position w:val="2"/>
                <w:sz w:val="24"/>
              </w:rPr>
              <w:t>）</w:t>
            </w:r>
            <w:r>
              <w:rPr>
                <w:spacing w:val="-5"/>
                <w:position w:val="2"/>
                <w:sz w:val="24"/>
              </w:rPr>
              <w:t>，单位</w:t>
            </w:r>
            <w:r>
              <w:rPr>
                <w:sz w:val="24"/>
              </w:rPr>
              <w:t>为毫希沃特</w:t>
            </w:r>
            <w:r>
              <w:rPr>
                <w:spacing w:val="-1"/>
                <w:sz w:val="24"/>
              </w:rPr>
              <w:t>（</w:t>
            </w:r>
            <w:r>
              <w:rPr>
                <w:rFonts w:ascii="Times New Roman" w:hAnsi="Times New Roman" w:eastAsia="Times New Roman"/>
                <w:w w:val="99"/>
                <w:sz w:val="24"/>
              </w:rPr>
              <w:t>m</w:t>
            </w:r>
            <w:r>
              <w:rPr>
                <w:rFonts w:ascii="Times New Roman" w:hAnsi="Times New Roman" w:eastAsia="Times New Roman"/>
                <w:w w:val="99"/>
                <w:sz w:val="24"/>
              </w:rPr>
              <w:t>S</w:t>
            </w:r>
            <w:r>
              <w:rPr>
                <w:rFonts w:ascii="Times New Roman" w:hAnsi="Times New Roman" w:eastAsia="Times New Roman"/>
                <w:spacing w:val="1"/>
                <w:sz w:val="24"/>
              </w:rPr>
              <w:t>v</w:t>
            </w:r>
            <w:r>
              <w:rPr>
                <w:spacing w:val="-120"/>
                <w:sz w:val="24"/>
              </w:rPr>
              <w:t>）</w:t>
            </w:r>
            <w:r>
              <w:rPr>
                <w:sz w:val="24"/>
              </w:rPr>
              <w:t>。</w:t>
            </w:r>
          </w:p>
          <w:p>
            <w:pPr>
              <w:pStyle w:val="TableParagraph"/>
              <w:spacing w:before="2"/>
              <w:ind w:left="578"/>
              <w:jc w:val="left"/>
              <w:rPr>
                <w:sz w:val="24"/>
              </w:rPr>
            </w:pPr>
            <w:r>
              <w:rPr>
                <w:sz w:val="24"/>
              </w:rPr>
              <w:t>（2）预测结果</w:t>
            </w:r>
            <w:r>
              <w:rPr>
                <w:w w:val="50"/>
                <w:sz w:val="24"/>
              </w:rPr>
              <w:t> </w:t>
            </w:r>
          </w:p>
          <w:p>
            <w:pPr>
              <w:pStyle w:val="TableParagraph"/>
              <w:spacing w:line="364" w:lineRule="auto" w:before="160"/>
              <w:ind w:left="107" w:right="101" w:firstLine="480"/>
              <w:jc w:val="left"/>
              <w:rPr>
                <w:sz w:val="24"/>
              </w:rPr>
            </w:pPr>
            <w:r>
              <w:rPr>
                <w:spacing w:val="-12"/>
                <w:sz w:val="24"/>
              </w:rPr>
              <w:t>根据表 </w:t>
            </w:r>
            <w:r>
              <w:rPr>
                <w:rFonts w:ascii="Times New Roman" w:eastAsia="Times New Roman"/>
                <w:spacing w:val="-3"/>
                <w:sz w:val="24"/>
              </w:rPr>
              <w:t>11-5 </w:t>
            </w:r>
            <w:r>
              <w:rPr>
                <w:spacing w:val="-5"/>
                <w:sz w:val="24"/>
              </w:rPr>
              <w:t>计算结果，并结合公式 </w:t>
            </w:r>
            <w:r>
              <w:rPr>
                <w:rFonts w:ascii="Times New Roman" w:eastAsia="Times New Roman"/>
                <w:spacing w:val="-3"/>
                <w:sz w:val="24"/>
              </w:rPr>
              <w:t>11-6 </w:t>
            </w:r>
            <w:r>
              <w:rPr>
                <w:spacing w:val="-12"/>
                <w:sz w:val="24"/>
              </w:rPr>
              <w:t>及公式 </w:t>
            </w:r>
            <w:r>
              <w:rPr>
                <w:rFonts w:ascii="Times New Roman" w:eastAsia="Times New Roman"/>
                <w:spacing w:val="-3"/>
                <w:sz w:val="24"/>
              </w:rPr>
              <w:t>11-7</w:t>
            </w:r>
            <w:r>
              <w:rPr>
                <w:spacing w:val="-3"/>
                <w:sz w:val="24"/>
              </w:rPr>
              <w:t>，本项目辐射工作人员及公</w:t>
            </w:r>
            <w:r>
              <w:rPr>
                <w:spacing w:val="-5"/>
                <w:sz w:val="24"/>
              </w:rPr>
              <w:t>众年有效剂量计算结果见表 </w:t>
            </w:r>
            <w:r>
              <w:rPr>
                <w:rFonts w:ascii="Times New Roman" w:eastAsia="Times New Roman"/>
                <w:spacing w:val="-3"/>
                <w:sz w:val="24"/>
              </w:rPr>
              <w:t>11-6</w:t>
            </w:r>
            <w:r>
              <w:rPr>
                <w:sz w:val="24"/>
              </w:rPr>
              <w:t>。</w:t>
            </w:r>
          </w:p>
          <w:p>
            <w:pPr>
              <w:pStyle w:val="TableParagraph"/>
              <w:spacing w:line="211" w:lineRule="exact"/>
              <w:ind w:left="1571"/>
              <w:jc w:val="left"/>
              <w:rPr>
                <w:sz w:val="21"/>
              </w:rPr>
            </w:pPr>
            <w:r>
              <w:rPr>
                <w:sz w:val="21"/>
              </w:rPr>
              <w:t>表 </w:t>
            </w:r>
            <w:r>
              <w:rPr>
                <w:rFonts w:ascii="Times New Roman" w:eastAsia="Times New Roman"/>
                <w:sz w:val="21"/>
              </w:rPr>
              <w:t>11-6 </w:t>
            </w:r>
            <w:r>
              <w:rPr>
                <w:sz w:val="21"/>
              </w:rPr>
              <w:t>介入治疗室辐射工作人员及周围公众年有效剂量估算结果</w:t>
            </w:r>
          </w:p>
        </w:tc>
      </w:tr>
      <w:tr>
        <w:trPr>
          <w:trHeight w:val="802" w:hRule="atLeast"/>
        </w:trPr>
        <w:tc>
          <w:tcPr>
            <w:tcW w:w="2407" w:type="dxa"/>
            <w:tcBorders>
              <w:top w:val="single" w:sz="12" w:space="0" w:color="000000"/>
              <w:bottom w:val="single" w:sz="12" w:space="0" w:color="000000"/>
            </w:tcBorders>
          </w:tcPr>
          <w:p>
            <w:pPr>
              <w:pStyle w:val="TableParagraph"/>
              <w:jc w:val="left"/>
              <w:rPr>
                <w:sz w:val="21"/>
              </w:rPr>
            </w:pPr>
          </w:p>
          <w:p>
            <w:pPr>
              <w:pStyle w:val="TableParagraph"/>
              <w:ind w:left="158" w:right="87"/>
              <w:rPr>
                <w:sz w:val="21"/>
              </w:rPr>
            </w:pPr>
            <w:r>
              <w:rPr>
                <w:sz w:val="21"/>
              </w:rPr>
              <w:t>保护目标预测点位</w:t>
            </w:r>
          </w:p>
        </w:tc>
        <w:tc>
          <w:tcPr>
            <w:tcW w:w="701" w:type="dxa"/>
            <w:tcBorders>
              <w:top w:val="single" w:sz="12" w:space="0" w:color="000000"/>
              <w:bottom w:val="single" w:sz="12" w:space="0" w:color="000000"/>
            </w:tcBorders>
          </w:tcPr>
          <w:p>
            <w:pPr>
              <w:pStyle w:val="TableParagraph"/>
              <w:jc w:val="left"/>
              <w:rPr>
                <w:sz w:val="21"/>
              </w:rPr>
            </w:pPr>
          </w:p>
          <w:p>
            <w:pPr>
              <w:pStyle w:val="TableParagraph"/>
              <w:ind w:left="124" w:right="107"/>
              <w:rPr>
                <w:sz w:val="21"/>
              </w:rPr>
            </w:pPr>
            <w:r>
              <w:rPr>
                <w:sz w:val="21"/>
              </w:rPr>
              <w:t>模式</w:t>
            </w:r>
          </w:p>
        </w:tc>
        <w:tc>
          <w:tcPr>
            <w:tcW w:w="1865" w:type="dxa"/>
            <w:tcBorders>
              <w:top w:val="single" w:sz="12" w:space="0" w:color="000000"/>
              <w:bottom w:val="single" w:sz="12" w:space="0" w:color="000000"/>
            </w:tcBorders>
          </w:tcPr>
          <w:p>
            <w:pPr>
              <w:pStyle w:val="TableParagraph"/>
              <w:spacing w:line="278" w:lineRule="auto" w:before="113"/>
              <w:ind w:left="261" w:right="41" w:hanging="144"/>
              <w:jc w:val="left"/>
              <w:rPr>
                <w:sz w:val="21"/>
              </w:rPr>
            </w:pPr>
            <w:r>
              <w:rPr>
                <w:rFonts w:ascii="Times New Roman" w:hAnsi="Times New Roman" w:eastAsia="Times New Roman"/>
                <w:sz w:val="21"/>
              </w:rPr>
              <w:t>X </w:t>
            </w:r>
            <w:r>
              <w:rPr>
                <w:sz w:val="21"/>
              </w:rPr>
              <w:t>射线空气吸收剂量率（</w:t>
            </w:r>
            <w:r>
              <w:rPr>
                <w:rFonts w:ascii="Times New Roman" w:hAnsi="Times New Roman" w:eastAsia="Times New Roman"/>
                <w:sz w:val="21"/>
              </w:rPr>
              <w:t>µGy/h</w:t>
            </w:r>
            <w:r>
              <w:rPr>
                <w:sz w:val="21"/>
              </w:rPr>
              <w:t>）</w:t>
            </w:r>
          </w:p>
        </w:tc>
        <w:tc>
          <w:tcPr>
            <w:tcW w:w="778" w:type="dxa"/>
            <w:tcBorders>
              <w:top w:val="single" w:sz="12" w:space="0" w:color="000000"/>
              <w:bottom w:val="single" w:sz="12" w:space="0" w:color="000000"/>
            </w:tcBorders>
          </w:tcPr>
          <w:p>
            <w:pPr>
              <w:pStyle w:val="TableParagraph"/>
              <w:spacing w:line="278" w:lineRule="auto" w:before="113"/>
              <w:ind w:left="186" w:right="122"/>
              <w:jc w:val="left"/>
              <w:rPr>
                <w:sz w:val="21"/>
              </w:rPr>
            </w:pPr>
            <w:r>
              <w:rPr>
                <w:sz w:val="21"/>
              </w:rPr>
              <w:t>居留因子</w:t>
            </w:r>
          </w:p>
        </w:tc>
        <w:tc>
          <w:tcPr>
            <w:tcW w:w="1059" w:type="dxa"/>
            <w:tcBorders>
              <w:top w:val="single" w:sz="12" w:space="0" w:color="000000"/>
              <w:bottom w:val="single" w:sz="12" w:space="0" w:color="000000"/>
            </w:tcBorders>
          </w:tcPr>
          <w:p>
            <w:pPr>
              <w:pStyle w:val="TableParagraph"/>
              <w:jc w:val="left"/>
              <w:rPr>
                <w:sz w:val="21"/>
              </w:rPr>
            </w:pPr>
          </w:p>
          <w:p>
            <w:pPr>
              <w:pStyle w:val="TableParagraph"/>
              <w:ind w:left="25" w:right="12"/>
              <w:rPr>
                <w:sz w:val="21"/>
              </w:rPr>
            </w:pPr>
            <w:r>
              <w:rPr>
                <w:sz w:val="21"/>
              </w:rPr>
              <w:t>受照时间</w:t>
            </w:r>
          </w:p>
        </w:tc>
        <w:tc>
          <w:tcPr>
            <w:tcW w:w="1484" w:type="dxa"/>
            <w:tcBorders>
              <w:top w:val="single" w:sz="12" w:space="0" w:color="000000"/>
              <w:bottom w:val="single" w:sz="12" w:space="0" w:color="000000"/>
            </w:tcBorders>
          </w:tcPr>
          <w:p>
            <w:pPr>
              <w:pStyle w:val="TableParagraph"/>
              <w:spacing w:line="278" w:lineRule="auto" w:before="113"/>
              <w:ind w:left="176" w:right="57" w:hanging="46"/>
              <w:jc w:val="left"/>
              <w:rPr>
                <w:sz w:val="21"/>
              </w:rPr>
            </w:pPr>
            <w:r>
              <w:rPr>
                <w:sz w:val="21"/>
              </w:rPr>
              <w:t>年有效剂量合计（</w:t>
            </w:r>
            <w:r>
              <w:rPr>
                <w:rFonts w:ascii="Times New Roman" w:eastAsia="Times New Roman"/>
                <w:sz w:val="21"/>
              </w:rPr>
              <w:t>mSv/a</w:t>
            </w:r>
            <w:r>
              <w:rPr>
                <w:sz w:val="21"/>
              </w:rPr>
              <w:t>）</w:t>
            </w:r>
          </w:p>
        </w:tc>
        <w:tc>
          <w:tcPr>
            <w:tcW w:w="783" w:type="dxa"/>
            <w:tcBorders>
              <w:top w:val="single" w:sz="12" w:space="0" w:color="000000"/>
              <w:bottom w:val="single" w:sz="12" w:space="0" w:color="000000"/>
            </w:tcBorders>
          </w:tcPr>
          <w:p>
            <w:pPr>
              <w:pStyle w:val="TableParagraph"/>
              <w:spacing w:line="278" w:lineRule="auto" w:before="113"/>
              <w:ind w:left="153" w:right="160"/>
              <w:jc w:val="left"/>
              <w:rPr>
                <w:sz w:val="21"/>
              </w:rPr>
            </w:pPr>
            <w:r>
              <w:rPr>
                <w:sz w:val="21"/>
              </w:rPr>
              <w:t>受照类型</w:t>
            </w:r>
          </w:p>
        </w:tc>
      </w:tr>
      <w:tr>
        <w:trPr>
          <w:trHeight w:val="313" w:hRule="atLeast"/>
        </w:trPr>
        <w:tc>
          <w:tcPr>
            <w:tcW w:w="2407" w:type="dxa"/>
            <w:vMerge w:val="restart"/>
            <w:tcBorders>
              <w:top w:val="single" w:sz="12" w:space="0" w:color="000000"/>
            </w:tcBorders>
          </w:tcPr>
          <w:p>
            <w:pPr>
              <w:pStyle w:val="TableParagraph"/>
              <w:spacing w:before="29"/>
              <w:ind w:left="177"/>
              <w:jc w:val="left"/>
              <w:rPr>
                <w:sz w:val="21"/>
              </w:rPr>
            </w:pPr>
            <w:r>
              <w:rPr>
                <w:rFonts w:ascii="Times New Roman" w:eastAsia="Times New Roman"/>
                <w:sz w:val="21"/>
              </w:rPr>
              <w:t>1#-</w:t>
            </w:r>
            <w:r>
              <w:rPr>
                <w:sz w:val="21"/>
              </w:rPr>
              <w:t>东侧污物传递窗墙外</w:t>
            </w:r>
          </w:p>
          <w:p>
            <w:pPr>
              <w:pStyle w:val="TableParagraph"/>
              <w:spacing w:before="43"/>
              <w:ind w:left="263"/>
              <w:jc w:val="left"/>
              <w:rPr>
                <w:sz w:val="21"/>
              </w:rPr>
            </w:pPr>
            <w:r>
              <w:rPr>
                <w:rFonts w:ascii="Times New Roman" w:eastAsia="Times New Roman"/>
                <w:sz w:val="21"/>
              </w:rPr>
              <w:t>30cm </w:t>
            </w:r>
            <w:r>
              <w:rPr>
                <w:sz w:val="21"/>
              </w:rPr>
              <w:t>处，污物通道间</w:t>
            </w:r>
          </w:p>
        </w:tc>
        <w:tc>
          <w:tcPr>
            <w:tcW w:w="701" w:type="dxa"/>
            <w:tcBorders>
              <w:top w:val="single" w:sz="12" w:space="0" w:color="000000"/>
            </w:tcBorders>
          </w:tcPr>
          <w:p>
            <w:pPr>
              <w:pStyle w:val="TableParagraph"/>
              <w:spacing w:before="24"/>
              <w:ind w:left="124" w:right="107"/>
              <w:rPr>
                <w:sz w:val="21"/>
              </w:rPr>
            </w:pPr>
            <w:r>
              <w:rPr>
                <w:sz w:val="21"/>
              </w:rPr>
              <w:t>透视</w:t>
            </w:r>
          </w:p>
        </w:tc>
        <w:tc>
          <w:tcPr>
            <w:tcW w:w="1865" w:type="dxa"/>
            <w:tcBorders>
              <w:top w:val="single" w:sz="12" w:space="0" w:color="000000"/>
            </w:tcBorders>
          </w:tcPr>
          <w:p>
            <w:pPr>
              <w:pStyle w:val="TableParagraph"/>
              <w:spacing w:before="34"/>
              <w:ind w:left="505" w:right="494"/>
              <w:rPr>
                <w:rFonts w:ascii="Times New Roman" w:hAnsi="Times New Roman"/>
                <w:sz w:val="14"/>
              </w:rPr>
            </w:pPr>
            <w:r>
              <w:rPr>
                <w:rFonts w:ascii="Times New Roman" w:hAnsi="Times New Roman"/>
                <w:sz w:val="21"/>
              </w:rPr>
              <w:t>5.26×10</w:t>
            </w:r>
            <w:r>
              <w:rPr>
                <w:rFonts w:ascii="Times New Roman" w:hAnsi="Times New Roman"/>
                <w:position w:val="7"/>
                <w:sz w:val="14"/>
              </w:rPr>
              <w:t>-4</w:t>
            </w:r>
          </w:p>
        </w:tc>
        <w:tc>
          <w:tcPr>
            <w:tcW w:w="778" w:type="dxa"/>
            <w:vMerge w:val="restart"/>
            <w:tcBorders>
              <w:top w:val="single" w:sz="12" w:space="0" w:color="000000"/>
            </w:tcBorders>
          </w:tcPr>
          <w:p>
            <w:pPr>
              <w:pStyle w:val="TableParagraph"/>
              <w:spacing w:before="7"/>
              <w:jc w:val="left"/>
              <w:rPr>
                <w:sz w:val="15"/>
              </w:rPr>
            </w:pPr>
          </w:p>
          <w:p>
            <w:pPr>
              <w:pStyle w:val="TableParagraph"/>
              <w:ind w:left="256"/>
              <w:jc w:val="left"/>
              <w:rPr>
                <w:rFonts w:ascii="Times New Roman"/>
                <w:sz w:val="21"/>
              </w:rPr>
            </w:pPr>
            <w:r>
              <w:rPr>
                <w:rFonts w:ascii="Times New Roman"/>
                <w:sz w:val="21"/>
              </w:rPr>
              <w:t>1/4</w:t>
            </w:r>
          </w:p>
        </w:tc>
        <w:tc>
          <w:tcPr>
            <w:tcW w:w="1059" w:type="dxa"/>
            <w:tcBorders>
              <w:top w:val="single" w:sz="12" w:space="0" w:color="000000"/>
            </w:tcBorders>
          </w:tcPr>
          <w:p>
            <w:pPr>
              <w:pStyle w:val="TableParagraph"/>
              <w:spacing w:before="38"/>
              <w:ind w:left="17" w:right="12"/>
              <w:rPr>
                <w:rFonts w:ascii="Times New Roman"/>
                <w:sz w:val="21"/>
              </w:rPr>
            </w:pPr>
            <w:r>
              <w:rPr>
                <w:rFonts w:ascii="Times New Roman"/>
                <w:sz w:val="21"/>
              </w:rPr>
              <w:t>75</w:t>
            </w:r>
          </w:p>
        </w:tc>
        <w:tc>
          <w:tcPr>
            <w:tcW w:w="1484" w:type="dxa"/>
            <w:vMerge w:val="restart"/>
            <w:tcBorders>
              <w:top w:val="single" w:sz="12" w:space="0" w:color="000000"/>
            </w:tcBorders>
          </w:tcPr>
          <w:p>
            <w:pPr>
              <w:pStyle w:val="TableParagraph"/>
              <w:spacing w:before="194"/>
              <w:ind w:left="344"/>
              <w:jc w:val="left"/>
              <w:rPr>
                <w:rFonts w:ascii="Times New Roman" w:hAnsi="Times New Roman"/>
                <w:sz w:val="14"/>
              </w:rPr>
            </w:pPr>
            <w:r>
              <w:rPr>
                <w:rFonts w:ascii="Times New Roman" w:hAnsi="Times New Roman"/>
                <w:sz w:val="21"/>
              </w:rPr>
              <w:t>9.04×10</w:t>
            </w:r>
            <w:r>
              <w:rPr>
                <w:rFonts w:ascii="Times New Roman" w:hAnsi="Times New Roman"/>
                <w:position w:val="7"/>
                <w:sz w:val="14"/>
              </w:rPr>
              <w:t>-5</w:t>
            </w:r>
          </w:p>
        </w:tc>
        <w:tc>
          <w:tcPr>
            <w:tcW w:w="783" w:type="dxa"/>
            <w:vMerge w:val="restart"/>
            <w:tcBorders>
              <w:top w:val="single" w:sz="12"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9"/>
              <w:jc w:val="left"/>
              <w:rPr>
                <w:sz w:val="17"/>
              </w:rPr>
            </w:pPr>
          </w:p>
          <w:p>
            <w:pPr>
              <w:pStyle w:val="TableParagraph"/>
              <w:spacing w:before="1"/>
              <w:ind w:left="153"/>
              <w:jc w:val="left"/>
              <w:rPr>
                <w:sz w:val="21"/>
              </w:rPr>
            </w:pPr>
            <w:r>
              <w:rPr>
                <w:sz w:val="21"/>
              </w:rPr>
              <w:t>公众</w:t>
            </w:r>
          </w:p>
        </w:tc>
      </w:tr>
      <w:tr>
        <w:trPr>
          <w:trHeight w:val="311" w:hRule="atLeast"/>
        </w:trPr>
        <w:tc>
          <w:tcPr>
            <w:tcW w:w="2407" w:type="dxa"/>
            <w:vMerge/>
            <w:tcBorders>
              <w:top w:val="nil"/>
            </w:tcBorders>
          </w:tcPr>
          <w:p>
            <w:pPr>
              <w:rPr>
                <w:sz w:val="2"/>
                <w:szCs w:val="2"/>
              </w:rPr>
            </w:pPr>
          </w:p>
        </w:tc>
        <w:tc>
          <w:tcPr>
            <w:tcW w:w="701" w:type="dxa"/>
          </w:tcPr>
          <w:p>
            <w:pPr>
              <w:pStyle w:val="TableParagraph"/>
              <w:spacing w:before="22"/>
              <w:ind w:left="124" w:right="107"/>
              <w:rPr>
                <w:sz w:val="21"/>
              </w:rPr>
            </w:pPr>
            <w:r>
              <w:rPr>
                <w:sz w:val="21"/>
              </w:rPr>
              <w:t>拍片</w:t>
            </w:r>
          </w:p>
        </w:tc>
        <w:tc>
          <w:tcPr>
            <w:tcW w:w="1865" w:type="dxa"/>
          </w:tcPr>
          <w:p>
            <w:pPr>
              <w:pStyle w:val="TableParagraph"/>
              <w:spacing w:before="32"/>
              <w:ind w:left="505" w:right="494"/>
              <w:rPr>
                <w:rFonts w:ascii="Times New Roman" w:hAnsi="Times New Roman"/>
                <w:sz w:val="14"/>
              </w:rPr>
            </w:pPr>
            <w:r>
              <w:rPr>
                <w:rFonts w:ascii="Times New Roman" w:hAnsi="Times New Roman"/>
                <w:sz w:val="21"/>
              </w:rPr>
              <w:t>7.08×10</w:t>
            </w:r>
            <w:r>
              <w:rPr>
                <w:rFonts w:ascii="Times New Roman" w:hAnsi="Times New Roman"/>
                <w:position w:val="7"/>
                <w:sz w:val="14"/>
              </w:rPr>
              <w:t>-3</w:t>
            </w:r>
          </w:p>
        </w:tc>
        <w:tc>
          <w:tcPr>
            <w:tcW w:w="778" w:type="dxa"/>
            <w:vMerge/>
            <w:tcBorders>
              <w:top w:val="nil"/>
            </w:tcBorders>
          </w:tcPr>
          <w:p>
            <w:pPr>
              <w:rPr>
                <w:sz w:val="2"/>
                <w:szCs w:val="2"/>
              </w:rPr>
            </w:pPr>
          </w:p>
        </w:tc>
        <w:tc>
          <w:tcPr>
            <w:tcW w:w="1059" w:type="dxa"/>
          </w:tcPr>
          <w:p>
            <w:pPr>
              <w:pStyle w:val="TableParagraph"/>
              <w:spacing w:before="36"/>
              <w:ind w:left="17" w:right="12"/>
              <w:rPr>
                <w:rFonts w:ascii="Times New Roman"/>
                <w:sz w:val="21"/>
              </w:rPr>
            </w:pPr>
            <w:r>
              <w:rPr>
                <w:rFonts w:ascii="Times New Roman"/>
                <w:sz w:val="21"/>
              </w:rPr>
              <w:t>25</w:t>
            </w:r>
          </w:p>
        </w:tc>
        <w:tc>
          <w:tcPr>
            <w:tcW w:w="1484" w:type="dxa"/>
            <w:vMerge/>
            <w:tcBorders>
              <w:top w:val="nil"/>
            </w:tcBorders>
          </w:tcPr>
          <w:p>
            <w:pPr>
              <w:rPr>
                <w:sz w:val="2"/>
                <w:szCs w:val="2"/>
              </w:rPr>
            </w:pPr>
          </w:p>
        </w:tc>
        <w:tc>
          <w:tcPr>
            <w:tcW w:w="783" w:type="dxa"/>
            <w:vMerge/>
            <w:tcBorders>
              <w:top w:val="nil"/>
            </w:tcBorders>
          </w:tcPr>
          <w:p>
            <w:pPr>
              <w:rPr>
                <w:sz w:val="2"/>
                <w:szCs w:val="2"/>
              </w:rPr>
            </w:pPr>
          </w:p>
        </w:tc>
      </w:tr>
      <w:tr>
        <w:trPr>
          <w:trHeight w:val="311" w:hRule="atLeast"/>
        </w:trPr>
        <w:tc>
          <w:tcPr>
            <w:tcW w:w="2407" w:type="dxa"/>
            <w:vMerge w:val="restart"/>
          </w:tcPr>
          <w:p>
            <w:pPr>
              <w:pStyle w:val="TableParagraph"/>
              <w:spacing w:before="27"/>
              <w:ind w:left="158" w:right="87"/>
              <w:rPr>
                <w:rFonts w:ascii="Times New Roman" w:eastAsia="Times New Roman"/>
                <w:sz w:val="21"/>
              </w:rPr>
            </w:pPr>
            <w:r>
              <w:rPr>
                <w:rFonts w:ascii="Times New Roman" w:eastAsia="Times New Roman"/>
                <w:sz w:val="21"/>
              </w:rPr>
              <w:t>2#-</w:t>
            </w:r>
            <w:r>
              <w:rPr>
                <w:sz w:val="21"/>
              </w:rPr>
              <w:t>东侧屏蔽墙外 </w:t>
            </w:r>
            <w:r>
              <w:rPr>
                <w:rFonts w:ascii="Times New Roman" w:eastAsia="Times New Roman"/>
                <w:sz w:val="21"/>
              </w:rPr>
              <w:t>30cm</w:t>
            </w:r>
          </w:p>
          <w:p>
            <w:pPr>
              <w:pStyle w:val="TableParagraph"/>
              <w:spacing w:before="43"/>
              <w:ind w:left="158" w:right="83"/>
              <w:rPr>
                <w:sz w:val="21"/>
              </w:rPr>
            </w:pPr>
            <w:r>
              <w:rPr>
                <w:sz w:val="21"/>
              </w:rPr>
              <w:t>处，污物通道间</w:t>
            </w:r>
          </w:p>
        </w:tc>
        <w:tc>
          <w:tcPr>
            <w:tcW w:w="701" w:type="dxa"/>
          </w:tcPr>
          <w:p>
            <w:pPr>
              <w:pStyle w:val="TableParagraph"/>
              <w:spacing w:before="22"/>
              <w:ind w:left="124" w:right="107"/>
              <w:rPr>
                <w:sz w:val="21"/>
              </w:rPr>
            </w:pPr>
            <w:r>
              <w:rPr>
                <w:sz w:val="21"/>
              </w:rPr>
              <w:t>透视</w:t>
            </w:r>
          </w:p>
        </w:tc>
        <w:tc>
          <w:tcPr>
            <w:tcW w:w="1865" w:type="dxa"/>
          </w:tcPr>
          <w:p>
            <w:pPr>
              <w:pStyle w:val="TableParagraph"/>
              <w:spacing w:before="32"/>
              <w:ind w:left="505" w:right="494"/>
              <w:rPr>
                <w:rFonts w:ascii="Times New Roman" w:hAnsi="Times New Roman"/>
                <w:sz w:val="14"/>
              </w:rPr>
            </w:pPr>
            <w:r>
              <w:rPr>
                <w:rFonts w:ascii="Times New Roman" w:hAnsi="Times New Roman"/>
                <w:sz w:val="21"/>
              </w:rPr>
              <w:t>3.23×10</w:t>
            </w:r>
            <w:r>
              <w:rPr>
                <w:rFonts w:ascii="Times New Roman" w:hAnsi="Times New Roman"/>
                <w:position w:val="7"/>
                <w:sz w:val="14"/>
              </w:rPr>
              <w:t>-5</w:t>
            </w:r>
          </w:p>
        </w:tc>
        <w:tc>
          <w:tcPr>
            <w:tcW w:w="778" w:type="dxa"/>
            <w:vMerge w:val="restart"/>
          </w:tcPr>
          <w:p>
            <w:pPr>
              <w:pStyle w:val="TableParagraph"/>
              <w:spacing w:before="197"/>
              <w:ind w:left="256"/>
              <w:jc w:val="left"/>
              <w:rPr>
                <w:rFonts w:ascii="Times New Roman"/>
                <w:sz w:val="21"/>
              </w:rPr>
            </w:pPr>
            <w:r>
              <w:rPr>
                <w:rFonts w:ascii="Times New Roman"/>
                <w:sz w:val="21"/>
              </w:rPr>
              <w:t>1/4</w:t>
            </w:r>
          </w:p>
        </w:tc>
        <w:tc>
          <w:tcPr>
            <w:tcW w:w="1059" w:type="dxa"/>
          </w:tcPr>
          <w:p>
            <w:pPr>
              <w:pStyle w:val="TableParagraph"/>
              <w:spacing w:before="36"/>
              <w:ind w:left="17" w:right="12"/>
              <w:rPr>
                <w:rFonts w:ascii="Times New Roman"/>
                <w:sz w:val="21"/>
              </w:rPr>
            </w:pPr>
            <w:r>
              <w:rPr>
                <w:rFonts w:ascii="Times New Roman"/>
                <w:sz w:val="21"/>
              </w:rPr>
              <w:t>75</w:t>
            </w:r>
          </w:p>
        </w:tc>
        <w:tc>
          <w:tcPr>
            <w:tcW w:w="1484" w:type="dxa"/>
            <w:vMerge w:val="restart"/>
          </w:tcPr>
          <w:p>
            <w:pPr>
              <w:pStyle w:val="TableParagraph"/>
              <w:spacing w:before="192"/>
              <w:ind w:left="344"/>
              <w:jc w:val="left"/>
              <w:rPr>
                <w:rFonts w:ascii="Times New Roman" w:hAnsi="Times New Roman"/>
                <w:sz w:val="14"/>
              </w:rPr>
            </w:pPr>
            <w:r>
              <w:rPr>
                <w:rFonts w:ascii="Times New Roman" w:hAnsi="Times New Roman"/>
                <w:sz w:val="21"/>
              </w:rPr>
              <w:t>5.54×10</w:t>
            </w:r>
            <w:r>
              <w:rPr>
                <w:rFonts w:ascii="Times New Roman" w:hAnsi="Times New Roman"/>
                <w:position w:val="7"/>
                <w:sz w:val="14"/>
              </w:rPr>
              <w:t>-6</w:t>
            </w:r>
          </w:p>
        </w:tc>
        <w:tc>
          <w:tcPr>
            <w:tcW w:w="783" w:type="dxa"/>
            <w:vMerge/>
            <w:tcBorders>
              <w:top w:val="nil"/>
            </w:tcBorders>
          </w:tcPr>
          <w:p>
            <w:pPr>
              <w:rPr>
                <w:sz w:val="2"/>
                <w:szCs w:val="2"/>
              </w:rPr>
            </w:pPr>
          </w:p>
        </w:tc>
      </w:tr>
      <w:tr>
        <w:trPr>
          <w:trHeight w:val="311" w:hRule="atLeast"/>
        </w:trPr>
        <w:tc>
          <w:tcPr>
            <w:tcW w:w="2407" w:type="dxa"/>
            <w:vMerge/>
            <w:tcBorders>
              <w:top w:val="nil"/>
            </w:tcBorders>
          </w:tcPr>
          <w:p>
            <w:pPr>
              <w:rPr>
                <w:sz w:val="2"/>
                <w:szCs w:val="2"/>
              </w:rPr>
            </w:pPr>
          </w:p>
        </w:tc>
        <w:tc>
          <w:tcPr>
            <w:tcW w:w="701" w:type="dxa"/>
          </w:tcPr>
          <w:p>
            <w:pPr>
              <w:pStyle w:val="TableParagraph"/>
              <w:spacing w:before="22"/>
              <w:ind w:left="124" w:right="107"/>
              <w:rPr>
                <w:sz w:val="21"/>
              </w:rPr>
            </w:pPr>
            <w:r>
              <w:rPr>
                <w:sz w:val="21"/>
              </w:rPr>
              <w:t>拍片</w:t>
            </w:r>
          </w:p>
        </w:tc>
        <w:tc>
          <w:tcPr>
            <w:tcW w:w="1865" w:type="dxa"/>
          </w:tcPr>
          <w:p>
            <w:pPr>
              <w:pStyle w:val="TableParagraph"/>
              <w:spacing w:before="32"/>
              <w:ind w:left="505" w:right="494"/>
              <w:rPr>
                <w:rFonts w:ascii="Times New Roman" w:hAnsi="Times New Roman"/>
                <w:sz w:val="14"/>
              </w:rPr>
            </w:pPr>
            <w:r>
              <w:rPr>
                <w:rFonts w:ascii="Times New Roman" w:hAnsi="Times New Roman"/>
                <w:sz w:val="21"/>
              </w:rPr>
              <w:t>4.34×10</w:t>
            </w:r>
            <w:r>
              <w:rPr>
                <w:rFonts w:ascii="Times New Roman" w:hAnsi="Times New Roman"/>
                <w:position w:val="7"/>
                <w:sz w:val="14"/>
              </w:rPr>
              <w:t>-4</w:t>
            </w:r>
          </w:p>
        </w:tc>
        <w:tc>
          <w:tcPr>
            <w:tcW w:w="778" w:type="dxa"/>
            <w:vMerge/>
            <w:tcBorders>
              <w:top w:val="nil"/>
            </w:tcBorders>
          </w:tcPr>
          <w:p>
            <w:pPr>
              <w:rPr>
                <w:sz w:val="2"/>
                <w:szCs w:val="2"/>
              </w:rPr>
            </w:pPr>
          </w:p>
        </w:tc>
        <w:tc>
          <w:tcPr>
            <w:tcW w:w="1059" w:type="dxa"/>
          </w:tcPr>
          <w:p>
            <w:pPr>
              <w:pStyle w:val="TableParagraph"/>
              <w:spacing w:before="36"/>
              <w:ind w:left="17" w:right="12"/>
              <w:rPr>
                <w:rFonts w:ascii="Times New Roman"/>
                <w:sz w:val="21"/>
              </w:rPr>
            </w:pPr>
            <w:r>
              <w:rPr>
                <w:rFonts w:ascii="Times New Roman"/>
                <w:sz w:val="21"/>
              </w:rPr>
              <w:t>25</w:t>
            </w:r>
          </w:p>
        </w:tc>
        <w:tc>
          <w:tcPr>
            <w:tcW w:w="1484" w:type="dxa"/>
            <w:vMerge/>
            <w:tcBorders>
              <w:top w:val="nil"/>
            </w:tcBorders>
          </w:tcPr>
          <w:p>
            <w:pPr>
              <w:rPr>
                <w:sz w:val="2"/>
                <w:szCs w:val="2"/>
              </w:rPr>
            </w:pPr>
          </w:p>
        </w:tc>
        <w:tc>
          <w:tcPr>
            <w:tcW w:w="783" w:type="dxa"/>
            <w:vMerge/>
            <w:tcBorders>
              <w:top w:val="nil"/>
            </w:tcBorders>
          </w:tcPr>
          <w:p>
            <w:pPr>
              <w:rPr>
                <w:sz w:val="2"/>
                <w:szCs w:val="2"/>
              </w:rPr>
            </w:pPr>
          </w:p>
        </w:tc>
      </w:tr>
      <w:tr>
        <w:trPr>
          <w:trHeight w:val="311" w:hRule="atLeast"/>
        </w:trPr>
        <w:tc>
          <w:tcPr>
            <w:tcW w:w="2407" w:type="dxa"/>
            <w:vMerge w:val="restart"/>
          </w:tcPr>
          <w:p>
            <w:pPr>
              <w:pStyle w:val="TableParagraph"/>
              <w:spacing w:before="27"/>
              <w:ind w:left="230"/>
              <w:jc w:val="left"/>
              <w:rPr>
                <w:rFonts w:ascii="Times New Roman" w:eastAsia="Times New Roman"/>
                <w:sz w:val="21"/>
              </w:rPr>
            </w:pPr>
            <w:r>
              <w:rPr>
                <w:rFonts w:ascii="Times New Roman" w:eastAsia="Times New Roman"/>
                <w:spacing w:val="-5"/>
                <w:sz w:val="21"/>
              </w:rPr>
              <w:t>3#-</w:t>
            </w:r>
            <w:r>
              <w:rPr>
                <w:spacing w:val="-14"/>
                <w:sz w:val="21"/>
              </w:rPr>
              <w:t>东侧屏蔽墙外 </w:t>
            </w:r>
            <w:r>
              <w:rPr>
                <w:rFonts w:ascii="Times New Roman" w:eastAsia="Times New Roman"/>
                <w:spacing w:val="-3"/>
                <w:sz w:val="21"/>
              </w:rPr>
              <w:t>30cm</w:t>
            </w:r>
          </w:p>
          <w:p>
            <w:pPr>
              <w:pStyle w:val="TableParagraph"/>
              <w:spacing w:before="43"/>
              <w:ind w:left="210"/>
              <w:jc w:val="left"/>
              <w:rPr>
                <w:sz w:val="21"/>
              </w:rPr>
            </w:pPr>
            <w:r>
              <w:rPr>
                <w:spacing w:val="-9"/>
                <w:sz w:val="21"/>
              </w:rPr>
              <w:t>处，洗瓶室</w:t>
            </w:r>
            <w:r>
              <w:rPr>
                <w:spacing w:val="-7"/>
                <w:sz w:val="21"/>
              </w:rPr>
              <w:t>（</w:t>
            </w:r>
            <w:r>
              <w:rPr>
                <w:spacing w:val="-9"/>
                <w:sz w:val="21"/>
              </w:rPr>
              <w:t>药剂楼</w:t>
            </w:r>
            <w:r>
              <w:rPr>
                <w:sz w:val="21"/>
              </w:rPr>
              <w:t>）</w:t>
            </w:r>
          </w:p>
        </w:tc>
        <w:tc>
          <w:tcPr>
            <w:tcW w:w="701" w:type="dxa"/>
          </w:tcPr>
          <w:p>
            <w:pPr>
              <w:pStyle w:val="TableParagraph"/>
              <w:spacing w:before="22"/>
              <w:ind w:left="124" w:right="107"/>
              <w:rPr>
                <w:sz w:val="21"/>
              </w:rPr>
            </w:pPr>
            <w:r>
              <w:rPr>
                <w:sz w:val="21"/>
              </w:rPr>
              <w:t>透视</w:t>
            </w:r>
          </w:p>
        </w:tc>
        <w:tc>
          <w:tcPr>
            <w:tcW w:w="1865" w:type="dxa"/>
          </w:tcPr>
          <w:p>
            <w:pPr>
              <w:pStyle w:val="TableParagraph"/>
              <w:spacing w:before="32"/>
              <w:ind w:left="505" w:right="494"/>
              <w:rPr>
                <w:rFonts w:ascii="Times New Roman" w:hAnsi="Times New Roman"/>
                <w:sz w:val="14"/>
              </w:rPr>
            </w:pPr>
            <w:r>
              <w:rPr>
                <w:rFonts w:ascii="Times New Roman" w:hAnsi="Times New Roman"/>
                <w:sz w:val="21"/>
              </w:rPr>
              <w:t>3.23×10</w:t>
            </w:r>
            <w:r>
              <w:rPr>
                <w:rFonts w:ascii="Times New Roman" w:hAnsi="Times New Roman"/>
                <w:position w:val="7"/>
                <w:sz w:val="14"/>
              </w:rPr>
              <w:t>-5</w:t>
            </w:r>
          </w:p>
        </w:tc>
        <w:tc>
          <w:tcPr>
            <w:tcW w:w="778" w:type="dxa"/>
            <w:vMerge w:val="restart"/>
          </w:tcPr>
          <w:p>
            <w:pPr>
              <w:pStyle w:val="TableParagraph"/>
              <w:spacing w:before="197"/>
              <w:ind w:left="256"/>
              <w:jc w:val="left"/>
              <w:rPr>
                <w:rFonts w:ascii="Times New Roman"/>
                <w:sz w:val="21"/>
              </w:rPr>
            </w:pPr>
            <w:r>
              <w:rPr>
                <w:rFonts w:ascii="Times New Roman"/>
                <w:sz w:val="21"/>
              </w:rPr>
              <w:t>1/4</w:t>
            </w:r>
          </w:p>
        </w:tc>
        <w:tc>
          <w:tcPr>
            <w:tcW w:w="1059" w:type="dxa"/>
          </w:tcPr>
          <w:p>
            <w:pPr>
              <w:pStyle w:val="TableParagraph"/>
              <w:spacing w:before="36"/>
              <w:ind w:left="17" w:right="12"/>
              <w:rPr>
                <w:rFonts w:ascii="Times New Roman"/>
                <w:sz w:val="21"/>
              </w:rPr>
            </w:pPr>
            <w:r>
              <w:rPr>
                <w:rFonts w:ascii="Times New Roman"/>
                <w:sz w:val="21"/>
              </w:rPr>
              <w:t>75</w:t>
            </w:r>
          </w:p>
        </w:tc>
        <w:tc>
          <w:tcPr>
            <w:tcW w:w="1484" w:type="dxa"/>
            <w:vMerge w:val="restart"/>
          </w:tcPr>
          <w:p>
            <w:pPr>
              <w:pStyle w:val="TableParagraph"/>
              <w:spacing w:before="192"/>
              <w:ind w:left="344"/>
              <w:jc w:val="left"/>
              <w:rPr>
                <w:rFonts w:ascii="Times New Roman" w:hAnsi="Times New Roman"/>
                <w:sz w:val="14"/>
              </w:rPr>
            </w:pPr>
            <w:r>
              <w:rPr>
                <w:rFonts w:ascii="Times New Roman" w:hAnsi="Times New Roman"/>
                <w:sz w:val="21"/>
              </w:rPr>
              <w:t>5.54×10</w:t>
            </w:r>
            <w:r>
              <w:rPr>
                <w:rFonts w:ascii="Times New Roman" w:hAnsi="Times New Roman"/>
                <w:position w:val="7"/>
                <w:sz w:val="14"/>
              </w:rPr>
              <w:t>-6</w:t>
            </w:r>
          </w:p>
        </w:tc>
        <w:tc>
          <w:tcPr>
            <w:tcW w:w="783" w:type="dxa"/>
            <w:vMerge/>
            <w:tcBorders>
              <w:top w:val="nil"/>
            </w:tcBorders>
          </w:tcPr>
          <w:p>
            <w:pPr>
              <w:rPr>
                <w:sz w:val="2"/>
                <w:szCs w:val="2"/>
              </w:rPr>
            </w:pPr>
          </w:p>
        </w:tc>
      </w:tr>
      <w:tr>
        <w:trPr>
          <w:trHeight w:val="313" w:hRule="atLeast"/>
        </w:trPr>
        <w:tc>
          <w:tcPr>
            <w:tcW w:w="2407" w:type="dxa"/>
            <w:vMerge/>
            <w:tcBorders>
              <w:top w:val="nil"/>
            </w:tcBorders>
          </w:tcPr>
          <w:p>
            <w:pPr>
              <w:rPr>
                <w:sz w:val="2"/>
                <w:szCs w:val="2"/>
              </w:rPr>
            </w:pPr>
          </w:p>
        </w:tc>
        <w:tc>
          <w:tcPr>
            <w:tcW w:w="701" w:type="dxa"/>
          </w:tcPr>
          <w:p>
            <w:pPr>
              <w:pStyle w:val="TableParagraph"/>
              <w:spacing w:before="25"/>
              <w:ind w:left="124" w:right="107"/>
              <w:rPr>
                <w:sz w:val="21"/>
              </w:rPr>
            </w:pPr>
            <w:r>
              <w:rPr>
                <w:sz w:val="21"/>
              </w:rPr>
              <w:t>拍片</w:t>
            </w:r>
          </w:p>
        </w:tc>
        <w:tc>
          <w:tcPr>
            <w:tcW w:w="1865" w:type="dxa"/>
          </w:tcPr>
          <w:p>
            <w:pPr>
              <w:pStyle w:val="TableParagraph"/>
              <w:spacing w:before="34"/>
              <w:ind w:left="505" w:right="494"/>
              <w:rPr>
                <w:rFonts w:ascii="Times New Roman" w:hAnsi="Times New Roman"/>
                <w:sz w:val="14"/>
              </w:rPr>
            </w:pPr>
            <w:r>
              <w:rPr>
                <w:rFonts w:ascii="Times New Roman" w:hAnsi="Times New Roman"/>
                <w:sz w:val="21"/>
              </w:rPr>
              <w:t>4.34×10</w:t>
            </w:r>
            <w:r>
              <w:rPr>
                <w:rFonts w:ascii="Times New Roman" w:hAnsi="Times New Roman"/>
                <w:position w:val="7"/>
                <w:sz w:val="14"/>
              </w:rPr>
              <w:t>-4</w:t>
            </w:r>
          </w:p>
        </w:tc>
        <w:tc>
          <w:tcPr>
            <w:tcW w:w="778" w:type="dxa"/>
            <w:vMerge/>
            <w:tcBorders>
              <w:top w:val="nil"/>
            </w:tcBorders>
          </w:tcPr>
          <w:p>
            <w:pPr>
              <w:rPr>
                <w:sz w:val="2"/>
                <w:szCs w:val="2"/>
              </w:rPr>
            </w:pPr>
          </w:p>
        </w:tc>
        <w:tc>
          <w:tcPr>
            <w:tcW w:w="1059" w:type="dxa"/>
          </w:tcPr>
          <w:p>
            <w:pPr>
              <w:pStyle w:val="TableParagraph"/>
              <w:spacing w:before="39"/>
              <w:ind w:left="17" w:right="12"/>
              <w:rPr>
                <w:rFonts w:ascii="Times New Roman"/>
                <w:sz w:val="21"/>
              </w:rPr>
            </w:pPr>
            <w:r>
              <w:rPr>
                <w:rFonts w:ascii="Times New Roman"/>
                <w:sz w:val="21"/>
              </w:rPr>
              <w:t>25</w:t>
            </w:r>
          </w:p>
        </w:tc>
        <w:tc>
          <w:tcPr>
            <w:tcW w:w="1484" w:type="dxa"/>
            <w:vMerge/>
            <w:tcBorders>
              <w:top w:val="nil"/>
            </w:tcBorders>
          </w:tcPr>
          <w:p>
            <w:pPr>
              <w:rPr>
                <w:sz w:val="2"/>
                <w:szCs w:val="2"/>
              </w:rPr>
            </w:pPr>
          </w:p>
        </w:tc>
        <w:tc>
          <w:tcPr>
            <w:tcW w:w="783" w:type="dxa"/>
            <w:vMerge/>
            <w:tcBorders>
              <w:top w:val="nil"/>
            </w:tcBorders>
          </w:tcPr>
          <w:p>
            <w:pPr>
              <w:rPr>
                <w:sz w:val="2"/>
                <w:szCs w:val="2"/>
              </w:rPr>
            </w:pPr>
          </w:p>
        </w:tc>
      </w:tr>
      <w:tr>
        <w:trPr>
          <w:trHeight w:val="311" w:hRule="atLeast"/>
        </w:trPr>
        <w:tc>
          <w:tcPr>
            <w:tcW w:w="2407" w:type="dxa"/>
            <w:vMerge w:val="restart"/>
          </w:tcPr>
          <w:p>
            <w:pPr>
              <w:pStyle w:val="TableParagraph"/>
              <w:spacing w:before="27"/>
              <w:ind w:left="230"/>
              <w:jc w:val="left"/>
              <w:rPr>
                <w:rFonts w:ascii="Times New Roman" w:eastAsia="Times New Roman"/>
                <w:sz w:val="21"/>
              </w:rPr>
            </w:pPr>
            <w:r>
              <w:rPr>
                <w:rFonts w:ascii="Times New Roman" w:eastAsia="Times New Roman"/>
                <w:sz w:val="21"/>
              </w:rPr>
              <w:t>4#-</w:t>
            </w:r>
            <w:r>
              <w:rPr>
                <w:sz w:val="21"/>
              </w:rPr>
              <w:t>南侧屏蔽墙外 </w:t>
            </w:r>
            <w:r>
              <w:rPr>
                <w:rFonts w:ascii="Times New Roman" w:eastAsia="Times New Roman"/>
                <w:sz w:val="21"/>
              </w:rPr>
              <w:t>30cm</w:t>
            </w:r>
          </w:p>
          <w:p>
            <w:pPr>
              <w:pStyle w:val="TableParagraph"/>
              <w:spacing w:before="43"/>
              <w:ind w:left="314"/>
              <w:jc w:val="left"/>
              <w:rPr>
                <w:sz w:val="21"/>
              </w:rPr>
            </w:pPr>
            <w:r>
              <w:rPr>
                <w:sz w:val="21"/>
              </w:rPr>
              <w:t>处，通道（药剂楼）</w:t>
            </w:r>
          </w:p>
        </w:tc>
        <w:tc>
          <w:tcPr>
            <w:tcW w:w="701" w:type="dxa"/>
          </w:tcPr>
          <w:p>
            <w:pPr>
              <w:pStyle w:val="TableParagraph"/>
              <w:spacing w:before="22"/>
              <w:ind w:left="124" w:right="107"/>
              <w:rPr>
                <w:sz w:val="21"/>
              </w:rPr>
            </w:pPr>
            <w:r>
              <w:rPr>
                <w:sz w:val="21"/>
              </w:rPr>
              <w:t>透视</w:t>
            </w:r>
          </w:p>
        </w:tc>
        <w:tc>
          <w:tcPr>
            <w:tcW w:w="1865" w:type="dxa"/>
          </w:tcPr>
          <w:p>
            <w:pPr>
              <w:pStyle w:val="TableParagraph"/>
              <w:spacing w:before="32"/>
              <w:ind w:left="505" w:right="494"/>
              <w:rPr>
                <w:rFonts w:ascii="Times New Roman" w:hAnsi="Times New Roman"/>
                <w:sz w:val="14"/>
              </w:rPr>
            </w:pPr>
            <w:r>
              <w:rPr>
                <w:rFonts w:ascii="Times New Roman" w:hAnsi="Times New Roman"/>
                <w:sz w:val="21"/>
              </w:rPr>
              <w:t>5.23×10</w:t>
            </w:r>
            <w:r>
              <w:rPr>
                <w:rFonts w:ascii="Times New Roman" w:hAnsi="Times New Roman"/>
                <w:position w:val="7"/>
                <w:sz w:val="14"/>
              </w:rPr>
              <w:t>-5</w:t>
            </w:r>
          </w:p>
        </w:tc>
        <w:tc>
          <w:tcPr>
            <w:tcW w:w="778" w:type="dxa"/>
            <w:vMerge w:val="restart"/>
          </w:tcPr>
          <w:p>
            <w:pPr>
              <w:pStyle w:val="TableParagraph"/>
              <w:spacing w:before="197"/>
              <w:ind w:left="256"/>
              <w:jc w:val="left"/>
              <w:rPr>
                <w:rFonts w:ascii="Times New Roman"/>
                <w:sz w:val="21"/>
              </w:rPr>
            </w:pPr>
            <w:r>
              <w:rPr>
                <w:rFonts w:ascii="Times New Roman"/>
                <w:sz w:val="21"/>
              </w:rPr>
              <w:t>1/4</w:t>
            </w:r>
          </w:p>
        </w:tc>
        <w:tc>
          <w:tcPr>
            <w:tcW w:w="1059" w:type="dxa"/>
          </w:tcPr>
          <w:p>
            <w:pPr>
              <w:pStyle w:val="TableParagraph"/>
              <w:spacing w:before="36"/>
              <w:ind w:left="17" w:right="12"/>
              <w:rPr>
                <w:rFonts w:ascii="Times New Roman"/>
                <w:sz w:val="21"/>
              </w:rPr>
            </w:pPr>
            <w:r>
              <w:rPr>
                <w:rFonts w:ascii="Times New Roman"/>
                <w:sz w:val="21"/>
              </w:rPr>
              <w:t>75</w:t>
            </w:r>
          </w:p>
        </w:tc>
        <w:tc>
          <w:tcPr>
            <w:tcW w:w="1484" w:type="dxa"/>
            <w:vMerge w:val="restart"/>
          </w:tcPr>
          <w:p>
            <w:pPr>
              <w:pStyle w:val="TableParagraph"/>
              <w:spacing w:before="192"/>
              <w:ind w:left="344"/>
              <w:jc w:val="left"/>
              <w:rPr>
                <w:rFonts w:ascii="Times New Roman" w:hAnsi="Times New Roman"/>
                <w:sz w:val="14"/>
              </w:rPr>
            </w:pPr>
            <w:r>
              <w:rPr>
                <w:rFonts w:ascii="Times New Roman" w:hAnsi="Times New Roman"/>
                <w:sz w:val="21"/>
              </w:rPr>
              <w:t>8.98×10</w:t>
            </w:r>
            <w:r>
              <w:rPr>
                <w:rFonts w:ascii="Times New Roman" w:hAnsi="Times New Roman"/>
                <w:position w:val="7"/>
                <w:sz w:val="14"/>
              </w:rPr>
              <w:t>-6</w:t>
            </w:r>
          </w:p>
        </w:tc>
        <w:tc>
          <w:tcPr>
            <w:tcW w:w="783" w:type="dxa"/>
            <w:vMerge/>
            <w:tcBorders>
              <w:top w:val="nil"/>
            </w:tcBorders>
          </w:tcPr>
          <w:p>
            <w:pPr>
              <w:rPr>
                <w:sz w:val="2"/>
                <w:szCs w:val="2"/>
              </w:rPr>
            </w:pPr>
          </w:p>
        </w:tc>
      </w:tr>
      <w:tr>
        <w:trPr>
          <w:trHeight w:val="311" w:hRule="atLeast"/>
        </w:trPr>
        <w:tc>
          <w:tcPr>
            <w:tcW w:w="2407" w:type="dxa"/>
            <w:vMerge/>
            <w:tcBorders>
              <w:top w:val="nil"/>
            </w:tcBorders>
          </w:tcPr>
          <w:p>
            <w:pPr>
              <w:rPr>
                <w:sz w:val="2"/>
                <w:szCs w:val="2"/>
              </w:rPr>
            </w:pPr>
          </w:p>
        </w:tc>
        <w:tc>
          <w:tcPr>
            <w:tcW w:w="701" w:type="dxa"/>
          </w:tcPr>
          <w:p>
            <w:pPr>
              <w:pStyle w:val="TableParagraph"/>
              <w:spacing w:before="22"/>
              <w:ind w:left="124" w:right="107"/>
              <w:rPr>
                <w:sz w:val="21"/>
              </w:rPr>
            </w:pPr>
            <w:r>
              <w:rPr>
                <w:sz w:val="21"/>
              </w:rPr>
              <w:t>拍片</w:t>
            </w:r>
          </w:p>
        </w:tc>
        <w:tc>
          <w:tcPr>
            <w:tcW w:w="1865" w:type="dxa"/>
          </w:tcPr>
          <w:p>
            <w:pPr>
              <w:pStyle w:val="TableParagraph"/>
              <w:spacing w:before="32"/>
              <w:ind w:left="505" w:right="494"/>
              <w:rPr>
                <w:rFonts w:ascii="Times New Roman" w:hAnsi="Times New Roman"/>
                <w:sz w:val="14"/>
              </w:rPr>
            </w:pPr>
            <w:r>
              <w:rPr>
                <w:rFonts w:ascii="Times New Roman" w:hAnsi="Times New Roman"/>
                <w:sz w:val="21"/>
              </w:rPr>
              <w:t>7.04×10</w:t>
            </w:r>
            <w:r>
              <w:rPr>
                <w:rFonts w:ascii="Times New Roman" w:hAnsi="Times New Roman"/>
                <w:position w:val="7"/>
                <w:sz w:val="14"/>
              </w:rPr>
              <w:t>-4</w:t>
            </w:r>
          </w:p>
        </w:tc>
        <w:tc>
          <w:tcPr>
            <w:tcW w:w="778" w:type="dxa"/>
            <w:vMerge/>
            <w:tcBorders>
              <w:top w:val="nil"/>
            </w:tcBorders>
          </w:tcPr>
          <w:p>
            <w:pPr>
              <w:rPr>
                <w:sz w:val="2"/>
                <w:szCs w:val="2"/>
              </w:rPr>
            </w:pPr>
          </w:p>
        </w:tc>
        <w:tc>
          <w:tcPr>
            <w:tcW w:w="1059" w:type="dxa"/>
          </w:tcPr>
          <w:p>
            <w:pPr>
              <w:pStyle w:val="TableParagraph"/>
              <w:spacing w:before="36"/>
              <w:ind w:left="17" w:right="12"/>
              <w:rPr>
                <w:rFonts w:ascii="Times New Roman"/>
                <w:sz w:val="21"/>
              </w:rPr>
            </w:pPr>
            <w:r>
              <w:rPr>
                <w:rFonts w:ascii="Times New Roman"/>
                <w:sz w:val="21"/>
              </w:rPr>
              <w:t>25</w:t>
            </w:r>
          </w:p>
        </w:tc>
        <w:tc>
          <w:tcPr>
            <w:tcW w:w="1484" w:type="dxa"/>
            <w:vMerge/>
            <w:tcBorders>
              <w:top w:val="nil"/>
            </w:tcBorders>
          </w:tcPr>
          <w:p>
            <w:pPr>
              <w:rPr>
                <w:sz w:val="2"/>
                <w:szCs w:val="2"/>
              </w:rPr>
            </w:pPr>
          </w:p>
        </w:tc>
        <w:tc>
          <w:tcPr>
            <w:tcW w:w="783" w:type="dxa"/>
            <w:vMerge/>
            <w:tcBorders>
              <w:top w:val="nil"/>
            </w:tcBorders>
          </w:tcPr>
          <w:p>
            <w:pPr>
              <w:rPr>
                <w:sz w:val="2"/>
                <w:szCs w:val="2"/>
              </w:rPr>
            </w:pPr>
          </w:p>
        </w:tc>
      </w:tr>
      <w:tr>
        <w:trPr>
          <w:trHeight w:val="294" w:hRule="atLeast"/>
        </w:trPr>
        <w:tc>
          <w:tcPr>
            <w:tcW w:w="2407" w:type="dxa"/>
            <w:vMerge w:val="restart"/>
          </w:tcPr>
          <w:p>
            <w:pPr>
              <w:pStyle w:val="TableParagraph"/>
              <w:spacing w:before="27"/>
              <w:ind w:left="158" w:right="87"/>
              <w:rPr>
                <w:rFonts w:ascii="Times New Roman" w:eastAsia="Times New Roman"/>
                <w:sz w:val="21"/>
              </w:rPr>
            </w:pPr>
            <w:r>
              <w:rPr>
                <w:rFonts w:ascii="Times New Roman" w:eastAsia="Times New Roman"/>
                <w:sz w:val="21"/>
              </w:rPr>
              <w:t>5#-</w:t>
            </w:r>
            <w:r>
              <w:rPr>
                <w:sz w:val="21"/>
              </w:rPr>
              <w:t>西侧防护门外 </w:t>
            </w:r>
            <w:r>
              <w:rPr>
                <w:rFonts w:ascii="Times New Roman" w:eastAsia="Times New Roman"/>
                <w:sz w:val="21"/>
              </w:rPr>
              <w:t>30cm</w:t>
            </w:r>
          </w:p>
          <w:p>
            <w:pPr>
              <w:pStyle w:val="TableParagraph"/>
              <w:spacing w:line="256" w:lineRule="exact" w:before="43"/>
              <w:ind w:left="158" w:right="85"/>
              <w:rPr>
                <w:sz w:val="21"/>
              </w:rPr>
            </w:pPr>
            <w:r>
              <w:rPr>
                <w:sz w:val="21"/>
              </w:rPr>
              <w:t>处，控制室</w:t>
            </w:r>
          </w:p>
        </w:tc>
        <w:tc>
          <w:tcPr>
            <w:tcW w:w="701" w:type="dxa"/>
          </w:tcPr>
          <w:p>
            <w:pPr>
              <w:pStyle w:val="TableParagraph"/>
              <w:spacing w:line="252" w:lineRule="exact" w:before="22"/>
              <w:ind w:left="124" w:right="107"/>
              <w:rPr>
                <w:sz w:val="21"/>
              </w:rPr>
            </w:pPr>
            <w:r>
              <w:rPr>
                <w:sz w:val="21"/>
              </w:rPr>
              <w:t>透视</w:t>
            </w:r>
          </w:p>
        </w:tc>
        <w:tc>
          <w:tcPr>
            <w:tcW w:w="1865" w:type="dxa"/>
          </w:tcPr>
          <w:p>
            <w:pPr>
              <w:pStyle w:val="TableParagraph"/>
              <w:spacing w:line="242" w:lineRule="exact" w:before="32"/>
              <w:ind w:left="505" w:right="494"/>
              <w:rPr>
                <w:rFonts w:ascii="Times New Roman" w:hAnsi="Times New Roman"/>
                <w:sz w:val="14"/>
              </w:rPr>
            </w:pPr>
            <w:r>
              <w:rPr>
                <w:rFonts w:ascii="Times New Roman" w:hAnsi="Times New Roman"/>
                <w:sz w:val="21"/>
              </w:rPr>
              <w:t>5.26×10</w:t>
            </w:r>
            <w:r>
              <w:rPr>
                <w:rFonts w:ascii="Times New Roman" w:hAnsi="Times New Roman"/>
                <w:position w:val="7"/>
                <w:sz w:val="14"/>
              </w:rPr>
              <w:t>-4</w:t>
            </w:r>
          </w:p>
        </w:tc>
        <w:tc>
          <w:tcPr>
            <w:tcW w:w="778" w:type="dxa"/>
            <w:vMerge w:val="restart"/>
          </w:tcPr>
          <w:p>
            <w:pPr>
              <w:pStyle w:val="TableParagraph"/>
              <w:spacing w:before="197"/>
              <w:ind w:left="13"/>
              <w:rPr>
                <w:rFonts w:ascii="Times New Roman"/>
                <w:sz w:val="21"/>
              </w:rPr>
            </w:pPr>
            <w:r>
              <w:rPr>
                <w:rFonts w:ascii="Times New Roman"/>
                <w:w w:val="100"/>
                <w:sz w:val="21"/>
              </w:rPr>
              <w:t>1</w:t>
            </w:r>
          </w:p>
        </w:tc>
        <w:tc>
          <w:tcPr>
            <w:tcW w:w="1059" w:type="dxa"/>
          </w:tcPr>
          <w:p>
            <w:pPr>
              <w:pStyle w:val="TableParagraph"/>
              <w:spacing w:line="238" w:lineRule="exact" w:before="36"/>
              <w:ind w:left="17" w:right="12"/>
              <w:rPr>
                <w:rFonts w:ascii="Times New Roman"/>
                <w:sz w:val="21"/>
              </w:rPr>
            </w:pPr>
            <w:r>
              <w:rPr>
                <w:rFonts w:ascii="Times New Roman"/>
                <w:sz w:val="21"/>
              </w:rPr>
              <w:t>75</w:t>
            </w:r>
          </w:p>
        </w:tc>
        <w:tc>
          <w:tcPr>
            <w:tcW w:w="1484" w:type="dxa"/>
            <w:vMerge w:val="restart"/>
          </w:tcPr>
          <w:p>
            <w:pPr>
              <w:pStyle w:val="TableParagraph"/>
              <w:spacing w:before="192"/>
              <w:ind w:left="344"/>
              <w:jc w:val="left"/>
              <w:rPr>
                <w:rFonts w:ascii="Times New Roman" w:hAnsi="Times New Roman"/>
                <w:sz w:val="14"/>
              </w:rPr>
            </w:pPr>
            <w:r>
              <w:rPr>
                <w:rFonts w:ascii="Times New Roman" w:hAnsi="Times New Roman"/>
                <w:sz w:val="21"/>
              </w:rPr>
              <w:t>3.62×10</w:t>
            </w:r>
            <w:r>
              <w:rPr>
                <w:rFonts w:ascii="Times New Roman" w:hAnsi="Times New Roman"/>
                <w:position w:val="7"/>
                <w:sz w:val="14"/>
              </w:rPr>
              <w:t>-4</w:t>
            </w:r>
          </w:p>
        </w:tc>
        <w:tc>
          <w:tcPr>
            <w:tcW w:w="783" w:type="dxa"/>
            <w:vMerge w:val="restart"/>
            <w:tcBorders>
              <w:bottom w:val="single" w:sz="18"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2"/>
              <w:jc w:val="left"/>
              <w:rPr>
                <w:sz w:val="29"/>
              </w:rPr>
            </w:pPr>
          </w:p>
          <w:p>
            <w:pPr>
              <w:pStyle w:val="TableParagraph"/>
              <w:spacing w:line="278" w:lineRule="auto"/>
              <w:ind w:left="153" w:right="160"/>
              <w:jc w:val="left"/>
              <w:rPr>
                <w:sz w:val="21"/>
              </w:rPr>
            </w:pPr>
            <w:r>
              <w:rPr>
                <w:sz w:val="21"/>
              </w:rPr>
              <w:t>职业人员</w:t>
            </w:r>
          </w:p>
        </w:tc>
      </w:tr>
      <w:tr>
        <w:trPr>
          <w:trHeight w:val="276" w:hRule="atLeast"/>
        </w:trPr>
        <w:tc>
          <w:tcPr>
            <w:tcW w:w="2407" w:type="dxa"/>
            <w:vMerge/>
            <w:tcBorders>
              <w:top w:val="nil"/>
            </w:tcBorders>
          </w:tcPr>
          <w:p>
            <w:pPr>
              <w:rPr>
                <w:sz w:val="2"/>
                <w:szCs w:val="2"/>
              </w:rPr>
            </w:pPr>
          </w:p>
        </w:tc>
        <w:tc>
          <w:tcPr>
            <w:tcW w:w="701" w:type="dxa"/>
          </w:tcPr>
          <w:p>
            <w:pPr>
              <w:pStyle w:val="TableParagraph"/>
              <w:spacing w:line="252" w:lineRule="exact" w:before="5"/>
              <w:ind w:left="124" w:right="107"/>
              <w:rPr>
                <w:sz w:val="21"/>
              </w:rPr>
            </w:pPr>
            <w:r>
              <w:rPr>
                <w:sz w:val="21"/>
              </w:rPr>
              <w:t>拍片</w:t>
            </w:r>
          </w:p>
        </w:tc>
        <w:tc>
          <w:tcPr>
            <w:tcW w:w="1865" w:type="dxa"/>
          </w:tcPr>
          <w:p>
            <w:pPr>
              <w:pStyle w:val="TableParagraph"/>
              <w:spacing w:line="242" w:lineRule="exact" w:before="14"/>
              <w:ind w:left="505" w:right="494"/>
              <w:rPr>
                <w:rFonts w:ascii="Times New Roman" w:hAnsi="Times New Roman"/>
                <w:sz w:val="14"/>
              </w:rPr>
            </w:pPr>
            <w:r>
              <w:rPr>
                <w:rFonts w:ascii="Times New Roman" w:hAnsi="Times New Roman"/>
                <w:sz w:val="21"/>
              </w:rPr>
              <w:t>7.08×10</w:t>
            </w:r>
            <w:r>
              <w:rPr>
                <w:rFonts w:ascii="Times New Roman" w:hAnsi="Times New Roman"/>
                <w:position w:val="7"/>
                <w:sz w:val="14"/>
              </w:rPr>
              <w:t>-3</w:t>
            </w:r>
          </w:p>
        </w:tc>
        <w:tc>
          <w:tcPr>
            <w:tcW w:w="778" w:type="dxa"/>
            <w:vMerge/>
            <w:tcBorders>
              <w:top w:val="nil"/>
            </w:tcBorders>
          </w:tcPr>
          <w:p>
            <w:pPr>
              <w:rPr>
                <w:sz w:val="2"/>
                <w:szCs w:val="2"/>
              </w:rPr>
            </w:pPr>
          </w:p>
        </w:tc>
        <w:tc>
          <w:tcPr>
            <w:tcW w:w="1059" w:type="dxa"/>
          </w:tcPr>
          <w:p>
            <w:pPr>
              <w:pStyle w:val="TableParagraph"/>
              <w:spacing w:line="238" w:lineRule="exact" w:before="19"/>
              <w:ind w:left="17" w:right="12"/>
              <w:rPr>
                <w:rFonts w:ascii="Times New Roman"/>
                <w:sz w:val="21"/>
              </w:rPr>
            </w:pPr>
            <w:r>
              <w:rPr>
                <w:rFonts w:ascii="Times New Roman"/>
                <w:sz w:val="21"/>
              </w:rPr>
              <w:t>25</w:t>
            </w:r>
          </w:p>
        </w:tc>
        <w:tc>
          <w:tcPr>
            <w:tcW w:w="1484" w:type="dxa"/>
            <w:vMerge/>
            <w:tcBorders>
              <w:top w:val="nil"/>
            </w:tcBorders>
          </w:tcPr>
          <w:p>
            <w:pPr>
              <w:rPr>
                <w:sz w:val="2"/>
                <w:szCs w:val="2"/>
              </w:rPr>
            </w:pPr>
          </w:p>
        </w:tc>
        <w:tc>
          <w:tcPr>
            <w:tcW w:w="783" w:type="dxa"/>
            <w:vMerge/>
            <w:tcBorders>
              <w:top w:val="nil"/>
              <w:bottom w:val="single" w:sz="18" w:space="0" w:color="000000"/>
            </w:tcBorders>
          </w:tcPr>
          <w:p>
            <w:pPr>
              <w:rPr>
                <w:sz w:val="2"/>
                <w:szCs w:val="2"/>
              </w:rPr>
            </w:pPr>
          </w:p>
        </w:tc>
      </w:tr>
      <w:tr>
        <w:trPr>
          <w:trHeight w:val="276" w:hRule="atLeast"/>
        </w:trPr>
        <w:tc>
          <w:tcPr>
            <w:tcW w:w="2407" w:type="dxa"/>
            <w:vMerge w:val="restart"/>
          </w:tcPr>
          <w:p>
            <w:pPr>
              <w:pStyle w:val="TableParagraph"/>
              <w:spacing w:before="10"/>
              <w:ind w:left="158" w:right="87"/>
              <w:rPr>
                <w:rFonts w:ascii="Times New Roman" w:eastAsia="Times New Roman"/>
                <w:sz w:val="21"/>
              </w:rPr>
            </w:pPr>
            <w:r>
              <w:rPr>
                <w:rFonts w:ascii="Times New Roman" w:eastAsia="Times New Roman"/>
                <w:sz w:val="21"/>
              </w:rPr>
              <w:t>5#-</w:t>
            </w:r>
            <w:r>
              <w:rPr>
                <w:sz w:val="21"/>
              </w:rPr>
              <w:t>西侧屏蔽墙外 </w:t>
            </w:r>
            <w:r>
              <w:rPr>
                <w:rFonts w:ascii="Times New Roman" w:eastAsia="Times New Roman"/>
                <w:sz w:val="21"/>
              </w:rPr>
              <w:t>30cm</w:t>
            </w:r>
          </w:p>
          <w:p>
            <w:pPr>
              <w:pStyle w:val="TableParagraph"/>
              <w:spacing w:line="259" w:lineRule="exact" w:before="43"/>
              <w:ind w:left="158" w:right="85"/>
              <w:rPr>
                <w:sz w:val="21"/>
              </w:rPr>
            </w:pPr>
            <w:r>
              <w:rPr>
                <w:sz w:val="21"/>
              </w:rPr>
              <w:t>处，控制室</w:t>
            </w:r>
          </w:p>
        </w:tc>
        <w:tc>
          <w:tcPr>
            <w:tcW w:w="701" w:type="dxa"/>
          </w:tcPr>
          <w:p>
            <w:pPr>
              <w:pStyle w:val="TableParagraph"/>
              <w:spacing w:line="252" w:lineRule="exact" w:before="5"/>
              <w:ind w:left="124" w:right="107"/>
              <w:rPr>
                <w:sz w:val="21"/>
              </w:rPr>
            </w:pPr>
            <w:r>
              <w:rPr>
                <w:sz w:val="21"/>
              </w:rPr>
              <w:t>透视</w:t>
            </w:r>
          </w:p>
        </w:tc>
        <w:tc>
          <w:tcPr>
            <w:tcW w:w="1865" w:type="dxa"/>
          </w:tcPr>
          <w:p>
            <w:pPr>
              <w:pStyle w:val="TableParagraph"/>
              <w:spacing w:line="242" w:lineRule="exact" w:before="14"/>
              <w:ind w:left="505" w:right="494"/>
              <w:rPr>
                <w:rFonts w:ascii="Times New Roman" w:hAnsi="Times New Roman"/>
                <w:sz w:val="14"/>
              </w:rPr>
            </w:pPr>
            <w:r>
              <w:rPr>
                <w:rFonts w:ascii="Times New Roman" w:hAnsi="Times New Roman"/>
                <w:sz w:val="21"/>
              </w:rPr>
              <w:t>3.23×10</w:t>
            </w:r>
            <w:r>
              <w:rPr>
                <w:rFonts w:ascii="Times New Roman" w:hAnsi="Times New Roman"/>
                <w:position w:val="7"/>
                <w:sz w:val="14"/>
              </w:rPr>
              <w:t>-5</w:t>
            </w:r>
          </w:p>
        </w:tc>
        <w:tc>
          <w:tcPr>
            <w:tcW w:w="778" w:type="dxa"/>
            <w:vMerge w:val="restart"/>
          </w:tcPr>
          <w:p>
            <w:pPr>
              <w:pStyle w:val="TableParagraph"/>
              <w:spacing w:before="180"/>
              <w:ind w:left="13"/>
              <w:rPr>
                <w:rFonts w:ascii="Times New Roman"/>
                <w:sz w:val="21"/>
              </w:rPr>
            </w:pPr>
            <w:r>
              <w:rPr>
                <w:rFonts w:ascii="Times New Roman"/>
                <w:w w:val="100"/>
                <w:sz w:val="21"/>
              </w:rPr>
              <w:t>1</w:t>
            </w:r>
          </w:p>
        </w:tc>
        <w:tc>
          <w:tcPr>
            <w:tcW w:w="1059" w:type="dxa"/>
          </w:tcPr>
          <w:p>
            <w:pPr>
              <w:pStyle w:val="TableParagraph"/>
              <w:spacing w:line="238" w:lineRule="exact" w:before="19"/>
              <w:ind w:left="17" w:right="12"/>
              <w:rPr>
                <w:rFonts w:ascii="Times New Roman"/>
                <w:sz w:val="21"/>
              </w:rPr>
            </w:pPr>
            <w:r>
              <w:rPr>
                <w:rFonts w:ascii="Times New Roman"/>
                <w:sz w:val="21"/>
              </w:rPr>
              <w:t>75</w:t>
            </w:r>
          </w:p>
        </w:tc>
        <w:tc>
          <w:tcPr>
            <w:tcW w:w="1484" w:type="dxa"/>
            <w:vMerge w:val="restart"/>
          </w:tcPr>
          <w:p>
            <w:pPr>
              <w:pStyle w:val="TableParagraph"/>
              <w:spacing w:before="175"/>
              <w:ind w:left="344"/>
              <w:jc w:val="left"/>
              <w:rPr>
                <w:rFonts w:ascii="Times New Roman" w:hAnsi="Times New Roman"/>
                <w:sz w:val="14"/>
              </w:rPr>
            </w:pPr>
            <w:r>
              <w:rPr>
                <w:rFonts w:ascii="Times New Roman" w:hAnsi="Times New Roman"/>
                <w:sz w:val="21"/>
              </w:rPr>
              <w:t>2.22×10</w:t>
            </w:r>
            <w:r>
              <w:rPr>
                <w:rFonts w:ascii="Times New Roman" w:hAnsi="Times New Roman"/>
                <w:position w:val="7"/>
                <w:sz w:val="14"/>
              </w:rPr>
              <w:t>-5</w:t>
            </w:r>
          </w:p>
        </w:tc>
        <w:tc>
          <w:tcPr>
            <w:tcW w:w="783" w:type="dxa"/>
            <w:vMerge/>
            <w:tcBorders>
              <w:top w:val="nil"/>
              <w:bottom w:val="single" w:sz="18" w:space="0" w:color="000000"/>
            </w:tcBorders>
          </w:tcPr>
          <w:p>
            <w:pPr>
              <w:rPr>
                <w:sz w:val="2"/>
                <w:szCs w:val="2"/>
              </w:rPr>
            </w:pPr>
          </w:p>
        </w:tc>
      </w:tr>
      <w:tr>
        <w:trPr>
          <w:trHeight w:val="278" w:hRule="atLeast"/>
        </w:trPr>
        <w:tc>
          <w:tcPr>
            <w:tcW w:w="2407" w:type="dxa"/>
            <w:vMerge/>
            <w:tcBorders>
              <w:top w:val="nil"/>
            </w:tcBorders>
          </w:tcPr>
          <w:p>
            <w:pPr>
              <w:rPr>
                <w:sz w:val="2"/>
                <w:szCs w:val="2"/>
              </w:rPr>
            </w:pPr>
          </w:p>
        </w:tc>
        <w:tc>
          <w:tcPr>
            <w:tcW w:w="701" w:type="dxa"/>
          </w:tcPr>
          <w:p>
            <w:pPr>
              <w:pStyle w:val="TableParagraph"/>
              <w:spacing w:line="252" w:lineRule="exact" w:before="7"/>
              <w:ind w:left="124" w:right="107"/>
              <w:rPr>
                <w:sz w:val="21"/>
              </w:rPr>
            </w:pPr>
            <w:r>
              <w:rPr>
                <w:sz w:val="21"/>
              </w:rPr>
              <w:t>拍片</w:t>
            </w:r>
          </w:p>
        </w:tc>
        <w:tc>
          <w:tcPr>
            <w:tcW w:w="1865" w:type="dxa"/>
          </w:tcPr>
          <w:p>
            <w:pPr>
              <w:pStyle w:val="TableParagraph"/>
              <w:spacing w:line="242" w:lineRule="exact" w:before="16"/>
              <w:ind w:left="505" w:right="494"/>
              <w:rPr>
                <w:rFonts w:ascii="Times New Roman" w:hAnsi="Times New Roman"/>
                <w:sz w:val="14"/>
              </w:rPr>
            </w:pPr>
            <w:r>
              <w:rPr>
                <w:rFonts w:ascii="Times New Roman" w:hAnsi="Times New Roman"/>
                <w:sz w:val="21"/>
              </w:rPr>
              <w:t>4.34×10</w:t>
            </w:r>
            <w:r>
              <w:rPr>
                <w:rFonts w:ascii="Times New Roman" w:hAnsi="Times New Roman"/>
                <w:position w:val="7"/>
                <w:sz w:val="14"/>
              </w:rPr>
              <w:t>-4</w:t>
            </w:r>
          </w:p>
        </w:tc>
        <w:tc>
          <w:tcPr>
            <w:tcW w:w="778" w:type="dxa"/>
            <w:vMerge/>
            <w:tcBorders>
              <w:top w:val="nil"/>
            </w:tcBorders>
          </w:tcPr>
          <w:p>
            <w:pPr>
              <w:rPr>
                <w:sz w:val="2"/>
                <w:szCs w:val="2"/>
              </w:rPr>
            </w:pPr>
          </w:p>
        </w:tc>
        <w:tc>
          <w:tcPr>
            <w:tcW w:w="1059" w:type="dxa"/>
          </w:tcPr>
          <w:p>
            <w:pPr>
              <w:pStyle w:val="TableParagraph"/>
              <w:spacing w:line="238" w:lineRule="exact" w:before="21"/>
              <w:ind w:left="19" w:right="12"/>
              <w:rPr>
                <w:rFonts w:ascii="Times New Roman"/>
                <w:sz w:val="21"/>
              </w:rPr>
            </w:pPr>
            <w:r>
              <w:rPr>
                <w:rFonts w:ascii="Times New Roman"/>
                <w:sz w:val="21"/>
              </w:rPr>
              <w:t>25</w:t>
            </w:r>
          </w:p>
        </w:tc>
        <w:tc>
          <w:tcPr>
            <w:tcW w:w="1484" w:type="dxa"/>
            <w:vMerge/>
            <w:tcBorders>
              <w:top w:val="nil"/>
            </w:tcBorders>
          </w:tcPr>
          <w:p>
            <w:pPr>
              <w:rPr>
                <w:sz w:val="2"/>
                <w:szCs w:val="2"/>
              </w:rPr>
            </w:pPr>
          </w:p>
        </w:tc>
        <w:tc>
          <w:tcPr>
            <w:tcW w:w="783" w:type="dxa"/>
            <w:vMerge/>
            <w:tcBorders>
              <w:top w:val="nil"/>
              <w:bottom w:val="single" w:sz="18" w:space="0" w:color="000000"/>
            </w:tcBorders>
          </w:tcPr>
          <w:p>
            <w:pPr>
              <w:rPr>
                <w:sz w:val="2"/>
                <w:szCs w:val="2"/>
              </w:rPr>
            </w:pPr>
          </w:p>
        </w:tc>
      </w:tr>
      <w:tr>
        <w:trPr>
          <w:trHeight w:val="276" w:hRule="atLeast"/>
        </w:trPr>
        <w:tc>
          <w:tcPr>
            <w:tcW w:w="2407" w:type="dxa"/>
            <w:vMerge w:val="restart"/>
          </w:tcPr>
          <w:p>
            <w:pPr>
              <w:pStyle w:val="TableParagraph"/>
              <w:spacing w:before="5"/>
              <w:ind w:left="158" w:right="87"/>
              <w:rPr>
                <w:rFonts w:ascii="Times New Roman" w:eastAsia="Times New Roman"/>
                <w:sz w:val="21"/>
              </w:rPr>
            </w:pPr>
            <w:r>
              <w:rPr>
                <w:rFonts w:ascii="Times New Roman" w:eastAsia="Times New Roman"/>
                <w:sz w:val="21"/>
              </w:rPr>
              <w:t>6#-</w:t>
            </w:r>
            <w:r>
              <w:rPr>
                <w:sz w:val="21"/>
              </w:rPr>
              <w:t>西侧屏蔽墙外 </w:t>
            </w:r>
            <w:r>
              <w:rPr>
                <w:rFonts w:ascii="Times New Roman" w:eastAsia="Times New Roman"/>
                <w:sz w:val="21"/>
              </w:rPr>
              <w:t>30cm</w:t>
            </w:r>
          </w:p>
          <w:p>
            <w:pPr>
              <w:pStyle w:val="TableParagraph"/>
              <w:spacing w:before="43"/>
              <w:ind w:left="158" w:right="85"/>
              <w:rPr>
                <w:rFonts w:ascii="Times New Roman" w:eastAsia="Times New Roman"/>
                <w:sz w:val="21"/>
              </w:rPr>
            </w:pPr>
            <w:r>
              <w:rPr>
                <w:sz w:val="21"/>
              </w:rPr>
              <w:t>处，铅玻璃外 </w:t>
            </w:r>
            <w:r>
              <w:rPr>
                <w:rFonts w:ascii="Times New Roman" w:eastAsia="Times New Roman"/>
                <w:sz w:val="21"/>
              </w:rPr>
              <w:t>30cm</w:t>
            </w:r>
          </w:p>
          <w:p>
            <w:pPr>
              <w:pStyle w:val="TableParagraph"/>
              <w:spacing w:line="252" w:lineRule="exact" w:before="43"/>
              <w:ind w:left="158" w:right="85"/>
              <w:rPr>
                <w:sz w:val="21"/>
              </w:rPr>
            </w:pPr>
            <w:r>
              <w:rPr>
                <w:sz w:val="21"/>
              </w:rPr>
              <w:t>处，控制室</w:t>
            </w:r>
          </w:p>
        </w:tc>
        <w:tc>
          <w:tcPr>
            <w:tcW w:w="701" w:type="dxa"/>
          </w:tcPr>
          <w:p>
            <w:pPr>
              <w:pStyle w:val="TableParagraph"/>
              <w:spacing w:line="252" w:lineRule="exact" w:before="5"/>
              <w:ind w:left="124" w:right="107"/>
              <w:rPr>
                <w:sz w:val="21"/>
              </w:rPr>
            </w:pPr>
            <w:r>
              <w:rPr>
                <w:sz w:val="21"/>
              </w:rPr>
              <w:t>透视</w:t>
            </w:r>
          </w:p>
        </w:tc>
        <w:tc>
          <w:tcPr>
            <w:tcW w:w="1865" w:type="dxa"/>
          </w:tcPr>
          <w:p>
            <w:pPr>
              <w:pStyle w:val="TableParagraph"/>
              <w:spacing w:line="242" w:lineRule="exact" w:before="14"/>
              <w:ind w:left="505" w:right="494"/>
              <w:rPr>
                <w:rFonts w:ascii="Times New Roman" w:hAnsi="Times New Roman"/>
                <w:sz w:val="14"/>
              </w:rPr>
            </w:pPr>
            <w:r>
              <w:rPr>
                <w:rFonts w:ascii="Times New Roman" w:hAnsi="Times New Roman"/>
                <w:sz w:val="21"/>
              </w:rPr>
              <w:t>5.26×10</w:t>
            </w:r>
            <w:r>
              <w:rPr>
                <w:rFonts w:ascii="Times New Roman" w:hAnsi="Times New Roman"/>
                <w:position w:val="7"/>
                <w:sz w:val="14"/>
              </w:rPr>
              <w:t>-4</w:t>
            </w:r>
          </w:p>
        </w:tc>
        <w:tc>
          <w:tcPr>
            <w:tcW w:w="778" w:type="dxa"/>
            <w:vMerge w:val="restart"/>
          </w:tcPr>
          <w:p>
            <w:pPr>
              <w:pStyle w:val="TableParagraph"/>
              <w:spacing w:before="10"/>
              <w:jc w:val="left"/>
              <w:rPr>
                <w:sz w:val="25"/>
              </w:rPr>
            </w:pPr>
          </w:p>
          <w:p>
            <w:pPr>
              <w:pStyle w:val="TableParagraph"/>
              <w:ind w:left="13"/>
              <w:rPr>
                <w:rFonts w:ascii="Times New Roman"/>
                <w:sz w:val="21"/>
              </w:rPr>
            </w:pPr>
            <w:r>
              <w:rPr>
                <w:rFonts w:ascii="Times New Roman"/>
                <w:w w:val="100"/>
                <w:sz w:val="21"/>
              </w:rPr>
              <w:t>1</w:t>
            </w:r>
          </w:p>
        </w:tc>
        <w:tc>
          <w:tcPr>
            <w:tcW w:w="1059" w:type="dxa"/>
          </w:tcPr>
          <w:p>
            <w:pPr>
              <w:pStyle w:val="TableParagraph"/>
              <w:spacing w:line="238" w:lineRule="exact" w:before="19"/>
              <w:ind w:left="17" w:right="12"/>
              <w:rPr>
                <w:rFonts w:ascii="Times New Roman"/>
                <w:sz w:val="21"/>
              </w:rPr>
            </w:pPr>
            <w:r>
              <w:rPr>
                <w:rFonts w:ascii="Times New Roman"/>
                <w:sz w:val="21"/>
              </w:rPr>
              <w:t>75</w:t>
            </w:r>
          </w:p>
        </w:tc>
        <w:tc>
          <w:tcPr>
            <w:tcW w:w="1484" w:type="dxa"/>
            <w:vMerge w:val="restart"/>
          </w:tcPr>
          <w:p>
            <w:pPr>
              <w:pStyle w:val="TableParagraph"/>
              <w:spacing w:before="6"/>
              <w:jc w:val="left"/>
              <w:rPr>
                <w:sz w:val="25"/>
              </w:rPr>
            </w:pPr>
          </w:p>
          <w:p>
            <w:pPr>
              <w:pStyle w:val="TableParagraph"/>
              <w:ind w:left="344"/>
              <w:jc w:val="left"/>
              <w:rPr>
                <w:rFonts w:ascii="Times New Roman" w:hAnsi="Times New Roman"/>
                <w:sz w:val="14"/>
              </w:rPr>
            </w:pPr>
            <w:r>
              <w:rPr>
                <w:rFonts w:ascii="Times New Roman" w:hAnsi="Times New Roman"/>
                <w:sz w:val="21"/>
              </w:rPr>
              <w:t>3.62×10</w:t>
            </w:r>
            <w:r>
              <w:rPr>
                <w:rFonts w:ascii="Times New Roman" w:hAnsi="Times New Roman"/>
                <w:position w:val="7"/>
                <w:sz w:val="14"/>
              </w:rPr>
              <w:t>-4</w:t>
            </w:r>
          </w:p>
        </w:tc>
        <w:tc>
          <w:tcPr>
            <w:tcW w:w="783" w:type="dxa"/>
            <w:vMerge/>
            <w:tcBorders>
              <w:top w:val="nil"/>
              <w:bottom w:val="single" w:sz="18" w:space="0" w:color="000000"/>
            </w:tcBorders>
          </w:tcPr>
          <w:p>
            <w:pPr>
              <w:rPr>
                <w:sz w:val="2"/>
                <w:szCs w:val="2"/>
              </w:rPr>
            </w:pPr>
          </w:p>
        </w:tc>
      </w:tr>
      <w:tr>
        <w:trPr>
          <w:trHeight w:val="579" w:hRule="atLeast"/>
        </w:trPr>
        <w:tc>
          <w:tcPr>
            <w:tcW w:w="2407" w:type="dxa"/>
            <w:vMerge/>
            <w:tcBorders>
              <w:top w:val="nil"/>
            </w:tcBorders>
          </w:tcPr>
          <w:p>
            <w:pPr>
              <w:rPr>
                <w:sz w:val="2"/>
                <w:szCs w:val="2"/>
              </w:rPr>
            </w:pPr>
          </w:p>
        </w:tc>
        <w:tc>
          <w:tcPr>
            <w:tcW w:w="701" w:type="dxa"/>
          </w:tcPr>
          <w:p>
            <w:pPr>
              <w:pStyle w:val="TableParagraph"/>
              <w:spacing w:before="156"/>
              <w:ind w:left="124" w:right="107"/>
              <w:rPr>
                <w:sz w:val="21"/>
              </w:rPr>
            </w:pPr>
            <w:r>
              <w:rPr>
                <w:sz w:val="21"/>
              </w:rPr>
              <w:t>拍片</w:t>
            </w:r>
          </w:p>
        </w:tc>
        <w:tc>
          <w:tcPr>
            <w:tcW w:w="1865" w:type="dxa"/>
          </w:tcPr>
          <w:p>
            <w:pPr>
              <w:pStyle w:val="TableParagraph"/>
              <w:spacing w:before="165"/>
              <w:ind w:left="505" w:right="494"/>
              <w:rPr>
                <w:rFonts w:ascii="Times New Roman" w:hAnsi="Times New Roman"/>
                <w:sz w:val="14"/>
              </w:rPr>
            </w:pPr>
            <w:r>
              <w:rPr>
                <w:rFonts w:ascii="Times New Roman" w:hAnsi="Times New Roman"/>
                <w:sz w:val="21"/>
              </w:rPr>
              <w:t>7.08×10</w:t>
            </w:r>
            <w:r>
              <w:rPr>
                <w:rFonts w:ascii="Times New Roman" w:hAnsi="Times New Roman"/>
                <w:position w:val="7"/>
                <w:sz w:val="14"/>
              </w:rPr>
              <w:t>-3</w:t>
            </w:r>
          </w:p>
        </w:tc>
        <w:tc>
          <w:tcPr>
            <w:tcW w:w="778" w:type="dxa"/>
            <w:vMerge/>
            <w:tcBorders>
              <w:top w:val="nil"/>
            </w:tcBorders>
          </w:tcPr>
          <w:p>
            <w:pPr>
              <w:rPr>
                <w:sz w:val="2"/>
                <w:szCs w:val="2"/>
              </w:rPr>
            </w:pPr>
          </w:p>
        </w:tc>
        <w:tc>
          <w:tcPr>
            <w:tcW w:w="1059" w:type="dxa"/>
          </w:tcPr>
          <w:p>
            <w:pPr>
              <w:pStyle w:val="TableParagraph"/>
              <w:spacing w:before="170"/>
              <w:ind w:left="17" w:right="12"/>
              <w:rPr>
                <w:rFonts w:ascii="Times New Roman"/>
                <w:sz w:val="21"/>
              </w:rPr>
            </w:pPr>
            <w:r>
              <w:rPr>
                <w:rFonts w:ascii="Times New Roman"/>
                <w:sz w:val="21"/>
              </w:rPr>
              <w:t>25</w:t>
            </w:r>
          </w:p>
        </w:tc>
        <w:tc>
          <w:tcPr>
            <w:tcW w:w="1484" w:type="dxa"/>
            <w:vMerge/>
            <w:tcBorders>
              <w:top w:val="nil"/>
            </w:tcBorders>
          </w:tcPr>
          <w:p>
            <w:pPr>
              <w:rPr>
                <w:sz w:val="2"/>
                <w:szCs w:val="2"/>
              </w:rPr>
            </w:pPr>
          </w:p>
        </w:tc>
        <w:tc>
          <w:tcPr>
            <w:tcW w:w="783" w:type="dxa"/>
            <w:vMerge/>
            <w:tcBorders>
              <w:top w:val="nil"/>
              <w:bottom w:val="single" w:sz="18" w:space="0" w:color="000000"/>
            </w:tcBorders>
          </w:tcPr>
          <w:p>
            <w:pPr>
              <w:rPr>
                <w:sz w:val="2"/>
                <w:szCs w:val="2"/>
              </w:rPr>
            </w:pPr>
          </w:p>
        </w:tc>
      </w:tr>
      <w:tr>
        <w:trPr>
          <w:trHeight w:val="276" w:hRule="atLeast"/>
        </w:trPr>
        <w:tc>
          <w:tcPr>
            <w:tcW w:w="2407" w:type="dxa"/>
            <w:vMerge w:val="restart"/>
          </w:tcPr>
          <w:p>
            <w:pPr>
              <w:pStyle w:val="TableParagraph"/>
              <w:spacing w:before="10"/>
              <w:ind w:left="158" w:right="87"/>
              <w:rPr>
                <w:rFonts w:ascii="Times New Roman" w:eastAsia="Times New Roman"/>
                <w:sz w:val="21"/>
              </w:rPr>
            </w:pPr>
            <w:r>
              <w:rPr>
                <w:rFonts w:ascii="Times New Roman" w:eastAsia="Times New Roman"/>
                <w:sz w:val="21"/>
              </w:rPr>
              <w:t>7#-</w:t>
            </w:r>
            <w:r>
              <w:rPr>
                <w:sz w:val="21"/>
              </w:rPr>
              <w:t>西侧屏蔽墙外 </w:t>
            </w:r>
            <w:r>
              <w:rPr>
                <w:rFonts w:ascii="Times New Roman" w:eastAsia="Times New Roman"/>
                <w:sz w:val="21"/>
              </w:rPr>
              <w:t>30cm</w:t>
            </w:r>
          </w:p>
          <w:p>
            <w:pPr>
              <w:pStyle w:val="TableParagraph"/>
              <w:spacing w:line="256" w:lineRule="exact" w:before="43"/>
              <w:ind w:left="158" w:right="85"/>
              <w:rPr>
                <w:sz w:val="21"/>
              </w:rPr>
            </w:pPr>
            <w:r>
              <w:rPr>
                <w:sz w:val="21"/>
              </w:rPr>
              <w:t>处，设备间</w:t>
            </w:r>
          </w:p>
        </w:tc>
        <w:tc>
          <w:tcPr>
            <w:tcW w:w="701" w:type="dxa"/>
          </w:tcPr>
          <w:p>
            <w:pPr>
              <w:pStyle w:val="TableParagraph"/>
              <w:spacing w:line="252" w:lineRule="exact" w:before="5"/>
              <w:ind w:left="124" w:right="107"/>
              <w:rPr>
                <w:sz w:val="21"/>
              </w:rPr>
            </w:pPr>
            <w:r>
              <w:rPr>
                <w:sz w:val="21"/>
              </w:rPr>
              <w:t>透视</w:t>
            </w:r>
          </w:p>
        </w:tc>
        <w:tc>
          <w:tcPr>
            <w:tcW w:w="1865" w:type="dxa"/>
          </w:tcPr>
          <w:p>
            <w:pPr>
              <w:pStyle w:val="TableParagraph"/>
              <w:spacing w:line="242" w:lineRule="exact" w:before="14"/>
              <w:ind w:left="505" w:right="494"/>
              <w:rPr>
                <w:rFonts w:ascii="Times New Roman" w:hAnsi="Times New Roman"/>
                <w:sz w:val="14"/>
              </w:rPr>
            </w:pPr>
            <w:r>
              <w:rPr>
                <w:rFonts w:ascii="Times New Roman" w:hAnsi="Times New Roman"/>
                <w:sz w:val="21"/>
              </w:rPr>
              <w:t>3.23×10</w:t>
            </w:r>
            <w:r>
              <w:rPr>
                <w:rFonts w:ascii="Times New Roman" w:hAnsi="Times New Roman"/>
                <w:position w:val="7"/>
                <w:sz w:val="14"/>
              </w:rPr>
              <w:t>-5</w:t>
            </w:r>
          </w:p>
        </w:tc>
        <w:tc>
          <w:tcPr>
            <w:tcW w:w="778" w:type="dxa"/>
            <w:vMerge w:val="restart"/>
          </w:tcPr>
          <w:p>
            <w:pPr>
              <w:pStyle w:val="TableParagraph"/>
              <w:spacing w:before="180"/>
              <w:ind w:left="13"/>
              <w:rPr>
                <w:rFonts w:ascii="Times New Roman"/>
                <w:sz w:val="21"/>
              </w:rPr>
            </w:pPr>
            <w:r>
              <w:rPr>
                <w:rFonts w:ascii="Times New Roman"/>
                <w:w w:val="100"/>
                <w:sz w:val="21"/>
              </w:rPr>
              <w:t>1</w:t>
            </w:r>
          </w:p>
        </w:tc>
        <w:tc>
          <w:tcPr>
            <w:tcW w:w="1059" w:type="dxa"/>
          </w:tcPr>
          <w:p>
            <w:pPr>
              <w:pStyle w:val="TableParagraph"/>
              <w:spacing w:line="238" w:lineRule="exact" w:before="19"/>
              <w:ind w:left="17" w:right="12"/>
              <w:rPr>
                <w:rFonts w:ascii="Times New Roman"/>
                <w:sz w:val="21"/>
              </w:rPr>
            </w:pPr>
            <w:r>
              <w:rPr>
                <w:rFonts w:ascii="Times New Roman"/>
                <w:sz w:val="21"/>
              </w:rPr>
              <w:t>75</w:t>
            </w:r>
          </w:p>
        </w:tc>
        <w:tc>
          <w:tcPr>
            <w:tcW w:w="1484" w:type="dxa"/>
            <w:vMerge w:val="restart"/>
          </w:tcPr>
          <w:p>
            <w:pPr>
              <w:pStyle w:val="TableParagraph"/>
              <w:spacing w:before="175"/>
              <w:ind w:left="344"/>
              <w:jc w:val="left"/>
              <w:rPr>
                <w:rFonts w:ascii="Times New Roman" w:hAnsi="Times New Roman"/>
                <w:sz w:val="14"/>
              </w:rPr>
            </w:pPr>
            <w:r>
              <w:rPr>
                <w:rFonts w:ascii="Times New Roman" w:hAnsi="Times New Roman"/>
                <w:sz w:val="21"/>
              </w:rPr>
              <w:t>2.22×10</w:t>
            </w:r>
            <w:r>
              <w:rPr>
                <w:rFonts w:ascii="Times New Roman" w:hAnsi="Times New Roman"/>
                <w:position w:val="7"/>
                <w:sz w:val="14"/>
              </w:rPr>
              <w:t>-5</w:t>
            </w:r>
          </w:p>
        </w:tc>
        <w:tc>
          <w:tcPr>
            <w:tcW w:w="783" w:type="dxa"/>
            <w:vMerge/>
            <w:tcBorders>
              <w:top w:val="nil"/>
              <w:bottom w:val="single" w:sz="18" w:space="0" w:color="000000"/>
            </w:tcBorders>
          </w:tcPr>
          <w:p>
            <w:pPr>
              <w:rPr>
                <w:sz w:val="2"/>
                <w:szCs w:val="2"/>
              </w:rPr>
            </w:pPr>
          </w:p>
        </w:tc>
      </w:tr>
      <w:tr>
        <w:trPr>
          <w:trHeight w:val="276" w:hRule="atLeast"/>
        </w:trPr>
        <w:tc>
          <w:tcPr>
            <w:tcW w:w="2407" w:type="dxa"/>
            <w:vMerge/>
            <w:tcBorders>
              <w:top w:val="nil"/>
            </w:tcBorders>
          </w:tcPr>
          <w:p>
            <w:pPr>
              <w:rPr>
                <w:sz w:val="2"/>
                <w:szCs w:val="2"/>
              </w:rPr>
            </w:pPr>
          </w:p>
        </w:tc>
        <w:tc>
          <w:tcPr>
            <w:tcW w:w="701" w:type="dxa"/>
          </w:tcPr>
          <w:p>
            <w:pPr>
              <w:pStyle w:val="TableParagraph"/>
              <w:spacing w:line="252" w:lineRule="exact" w:before="5"/>
              <w:ind w:left="124" w:right="107"/>
              <w:rPr>
                <w:sz w:val="21"/>
              </w:rPr>
            </w:pPr>
            <w:r>
              <w:rPr>
                <w:sz w:val="21"/>
              </w:rPr>
              <w:t>拍片</w:t>
            </w:r>
          </w:p>
        </w:tc>
        <w:tc>
          <w:tcPr>
            <w:tcW w:w="1865" w:type="dxa"/>
          </w:tcPr>
          <w:p>
            <w:pPr>
              <w:pStyle w:val="TableParagraph"/>
              <w:spacing w:line="242" w:lineRule="exact" w:before="14"/>
              <w:ind w:left="505" w:right="494"/>
              <w:rPr>
                <w:rFonts w:ascii="Times New Roman" w:hAnsi="Times New Roman"/>
                <w:sz w:val="14"/>
              </w:rPr>
            </w:pPr>
            <w:r>
              <w:rPr>
                <w:rFonts w:ascii="Times New Roman" w:hAnsi="Times New Roman"/>
                <w:sz w:val="21"/>
              </w:rPr>
              <w:t>4.34×10</w:t>
            </w:r>
            <w:r>
              <w:rPr>
                <w:rFonts w:ascii="Times New Roman" w:hAnsi="Times New Roman"/>
                <w:position w:val="7"/>
                <w:sz w:val="14"/>
              </w:rPr>
              <w:t>-4</w:t>
            </w:r>
          </w:p>
        </w:tc>
        <w:tc>
          <w:tcPr>
            <w:tcW w:w="778" w:type="dxa"/>
            <w:vMerge/>
            <w:tcBorders>
              <w:top w:val="nil"/>
            </w:tcBorders>
          </w:tcPr>
          <w:p>
            <w:pPr>
              <w:rPr>
                <w:sz w:val="2"/>
                <w:szCs w:val="2"/>
              </w:rPr>
            </w:pPr>
          </w:p>
        </w:tc>
        <w:tc>
          <w:tcPr>
            <w:tcW w:w="1059" w:type="dxa"/>
          </w:tcPr>
          <w:p>
            <w:pPr>
              <w:pStyle w:val="TableParagraph"/>
              <w:spacing w:line="238" w:lineRule="exact" w:before="19"/>
              <w:ind w:left="17" w:right="12"/>
              <w:rPr>
                <w:rFonts w:ascii="Times New Roman"/>
                <w:sz w:val="21"/>
              </w:rPr>
            </w:pPr>
            <w:r>
              <w:rPr>
                <w:rFonts w:ascii="Times New Roman"/>
                <w:sz w:val="21"/>
              </w:rPr>
              <w:t>25</w:t>
            </w:r>
          </w:p>
        </w:tc>
        <w:tc>
          <w:tcPr>
            <w:tcW w:w="1484" w:type="dxa"/>
            <w:vMerge/>
            <w:tcBorders>
              <w:top w:val="nil"/>
            </w:tcBorders>
          </w:tcPr>
          <w:p>
            <w:pPr>
              <w:rPr>
                <w:sz w:val="2"/>
                <w:szCs w:val="2"/>
              </w:rPr>
            </w:pPr>
          </w:p>
        </w:tc>
        <w:tc>
          <w:tcPr>
            <w:tcW w:w="783" w:type="dxa"/>
            <w:vMerge/>
            <w:tcBorders>
              <w:top w:val="nil"/>
              <w:bottom w:val="single" w:sz="18" w:space="0" w:color="000000"/>
            </w:tcBorders>
          </w:tcPr>
          <w:p>
            <w:pPr>
              <w:rPr>
                <w:sz w:val="2"/>
                <w:szCs w:val="2"/>
              </w:rPr>
            </w:pPr>
          </w:p>
        </w:tc>
      </w:tr>
      <w:tr>
        <w:trPr>
          <w:trHeight w:val="293" w:hRule="atLeast"/>
        </w:trPr>
        <w:tc>
          <w:tcPr>
            <w:tcW w:w="2407" w:type="dxa"/>
            <w:tcBorders>
              <w:bottom w:val="single" w:sz="18" w:space="0" w:color="000000"/>
            </w:tcBorders>
          </w:tcPr>
          <w:p>
            <w:pPr>
              <w:pStyle w:val="TableParagraph"/>
              <w:spacing w:line="268" w:lineRule="exact" w:before="5"/>
              <w:ind w:left="158" w:right="87"/>
              <w:rPr>
                <w:rFonts w:ascii="Times New Roman" w:eastAsia="Times New Roman"/>
                <w:sz w:val="21"/>
              </w:rPr>
            </w:pPr>
            <w:r>
              <w:rPr>
                <w:rFonts w:ascii="Times New Roman" w:eastAsia="Times New Roman"/>
                <w:sz w:val="21"/>
              </w:rPr>
              <w:t>8#-</w:t>
            </w:r>
            <w:r>
              <w:rPr>
                <w:sz w:val="21"/>
              </w:rPr>
              <w:t>北侧屏蔽墙外 </w:t>
            </w:r>
            <w:r>
              <w:rPr>
                <w:rFonts w:ascii="Times New Roman" w:eastAsia="Times New Roman"/>
                <w:sz w:val="21"/>
              </w:rPr>
              <w:t>30cm</w:t>
            </w:r>
          </w:p>
        </w:tc>
        <w:tc>
          <w:tcPr>
            <w:tcW w:w="701" w:type="dxa"/>
            <w:tcBorders>
              <w:bottom w:val="double" w:sz="1" w:space="0" w:color="000000"/>
            </w:tcBorders>
          </w:tcPr>
          <w:p>
            <w:pPr>
              <w:pStyle w:val="TableParagraph"/>
              <w:spacing w:line="268" w:lineRule="exact" w:before="5"/>
              <w:ind w:left="124" w:right="107"/>
              <w:rPr>
                <w:sz w:val="21"/>
              </w:rPr>
            </w:pPr>
            <w:r>
              <w:rPr>
                <w:sz w:val="21"/>
              </w:rPr>
              <w:t>透视</w:t>
            </w:r>
          </w:p>
        </w:tc>
        <w:tc>
          <w:tcPr>
            <w:tcW w:w="1865" w:type="dxa"/>
            <w:tcBorders>
              <w:bottom w:val="double" w:sz="1" w:space="0" w:color="000000"/>
            </w:tcBorders>
          </w:tcPr>
          <w:p>
            <w:pPr>
              <w:pStyle w:val="TableParagraph"/>
              <w:spacing w:before="14"/>
              <w:ind w:left="505" w:right="494"/>
              <w:rPr>
                <w:rFonts w:ascii="Times New Roman" w:hAnsi="Times New Roman"/>
                <w:sz w:val="14"/>
              </w:rPr>
            </w:pPr>
            <w:r>
              <w:rPr>
                <w:rFonts w:ascii="Times New Roman" w:hAnsi="Times New Roman"/>
                <w:sz w:val="21"/>
              </w:rPr>
              <w:t>5.23×10</w:t>
            </w:r>
            <w:r>
              <w:rPr>
                <w:rFonts w:ascii="Times New Roman" w:hAnsi="Times New Roman"/>
                <w:position w:val="7"/>
                <w:sz w:val="14"/>
              </w:rPr>
              <w:t>-5</w:t>
            </w:r>
          </w:p>
        </w:tc>
        <w:tc>
          <w:tcPr>
            <w:tcW w:w="778" w:type="dxa"/>
            <w:tcBorders>
              <w:bottom w:val="single" w:sz="18" w:space="0" w:color="000000"/>
            </w:tcBorders>
          </w:tcPr>
          <w:p>
            <w:pPr>
              <w:pStyle w:val="TableParagraph"/>
              <w:spacing w:before="19"/>
              <w:ind w:left="15"/>
              <w:rPr>
                <w:rFonts w:ascii="Times New Roman"/>
                <w:sz w:val="21"/>
              </w:rPr>
            </w:pPr>
            <w:r>
              <w:rPr>
                <w:rFonts w:ascii="Times New Roman"/>
                <w:w w:val="100"/>
                <w:sz w:val="21"/>
              </w:rPr>
              <w:t>1</w:t>
            </w:r>
          </w:p>
        </w:tc>
        <w:tc>
          <w:tcPr>
            <w:tcW w:w="1059" w:type="dxa"/>
            <w:tcBorders>
              <w:bottom w:val="double" w:sz="1" w:space="0" w:color="000000"/>
            </w:tcBorders>
          </w:tcPr>
          <w:p>
            <w:pPr>
              <w:pStyle w:val="TableParagraph"/>
              <w:spacing w:before="19"/>
              <w:ind w:left="19" w:right="12"/>
              <w:rPr>
                <w:rFonts w:ascii="Times New Roman"/>
                <w:sz w:val="21"/>
              </w:rPr>
            </w:pPr>
            <w:r>
              <w:rPr>
                <w:rFonts w:ascii="Times New Roman"/>
                <w:sz w:val="21"/>
              </w:rPr>
              <w:t>75</w:t>
            </w:r>
          </w:p>
        </w:tc>
        <w:tc>
          <w:tcPr>
            <w:tcW w:w="1484" w:type="dxa"/>
            <w:tcBorders>
              <w:bottom w:val="single" w:sz="18" w:space="0" w:color="000000"/>
            </w:tcBorders>
          </w:tcPr>
          <w:p>
            <w:pPr>
              <w:pStyle w:val="TableParagraph"/>
              <w:spacing w:before="14"/>
              <w:ind w:left="343"/>
              <w:jc w:val="left"/>
              <w:rPr>
                <w:rFonts w:ascii="Times New Roman" w:hAnsi="Times New Roman"/>
                <w:sz w:val="14"/>
              </w:rPr>
            </w:pPr>
            <w:r>
              <w:rPr>
                <w:rFonts w:ascii="Times New Roman" w:hAnsi="Times New Roman"/>
                <w:sz w:val="21"/>
              </w:rPr>
              <w:t>3.59×10</w:t>
            </w:r>
            <w:r>
              <w:rPr>
                <w:rFonts w:ascii="Times New Roman" w:hAnsi="Times New Roman"/>
                <w:position w:val="7"/>
                <w:sz w:val="14"/>
              </w:rPr>
              <w:t>-5</w:t>
            </w:r>
          </w:p>
        </w:tc>
        <w:tc>
          <w:tcPr>
            <w:tcW w:w="783" w:type="dxa"/>
            <w:vMerge/>
            <w:tcBorders>
              <w:top w:val="nil"/>
              <w:bottom w:val="single" w:sz="18" w:space="0" w:color="000000"/>
            </w:tcBorders>
          </w:tcPr>
          <w:p>
            <w:pPr>
              <w:rPr>
                <w:sz w:val="2"/>
                <w:szCs w:val="2"/>
              </w:rPr>
            </w:pPr>
          </w:p>
        </w:tc>
      </w:tr>
    </w:tbl>
    <w:p>
      <w:pPr>
        <w:spacing w:after="0"/>
        <w:rPr>
          <w:sz w:val="2"/>
          <w:szCs w:val="2"/>
        </w:rPr>
        <w:sectPr>
          <w:pgSz w:w="11910" w:h="16840"/>
          <w:pgMar w:header="0" w:footer="881" w:top="1220" w:bottom="1080" w:left="1480" w:right="1020"/>
        </w:sectPr>
      </w:pPr>
    </w:p>
    <w:tbl>
      <w:tblPr>
        <w:tblW w:w="0" w:type="auto"/>
        <w:jc w:val="left"/>
        <w:tblInd w:w="1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22"/>
        <w:gridCol w:w="1186"/>
        <w:gridCol w:w="701"/>
        <w:gridCol w:w="1865"/>
        <w:gridCol w:w="778"/>
        <w:gridCol w:w="1059"/>
        <w:gridCol w:w="1484"/>
        <w:gridCol w:w="783"/>
      </w:tblGrid>
      <w:tr>
        <w:trPr>
          <w:trHeight w:val="308" w:hRule="atLeast"/>
        </w:trPr>
        <w:tc>
          <w:tcPr>
            <w:tcW w:w="2408" w:type="dxa"/>
            <w:gridSpan w:val="2"/>
            <w:tcBorders>
              <w:left w:val="single" w:sz="4" w:space="0" w:color="000000"/>
              <w:bottom w:val="single" w:sz="4" w:space="0" w:color="000000"/>
              <w:right w:val="single" w:sz="4" w:space="0" w:color="000000"/>
            </w:tcBorders>
          </w:tcPr>
          <w:p>
            <w:pPr>
              <w:pStyle w:val="TableParagraph"/>
              <w:spacing w:before="19"/>
              <w:ind w:left="619"/>
              <w:jc w:val="left"/>
              <w:rPr>
                <w:sz w:val="21"/>
              </w:rPr>
            </w:pPr>
            <w:r>
              <w:rPr>
                <w:sz w:val="21"/>
              </w:rPr>
              <w:t>处，医生通道</w:t>
            </w:r>
          </w:p>
        </w:tc>
        <w:tc>
          <w:tcPr>
            <w:tcW w:w="701" w:type="dxa"/>
            <w:tcBorders>
              <w:top w:val="single" w:sz="8" w:space="0" w:color="000000"/>
              <w:left w:val="single" w:sz="4" w:space="0" w:color="000000"/>
              <w:bottom w:val="single" w:sz="4" w:space="0" w:color="000000"/>
              <w:right w:val="single" w:sz="4" w:space="0" w:color="000000"/>
            </w:tcBorders>
          </w:tcPr>
          <w:p>
            <w:pPr>
              <w:pStyle w:val="TableParagraph"/>
              <w:spacing w:before="19"/>
              <w:ind w:right="127"/>
              <w:jc w:val="right"/>
              <w:rPr>
                <w:sz w:val="21"/>
              </w:rPr>
            </w:pPr>
            <w:r>
              <w:rPr>
                <w:sz w:val="21"/>
              </w:rPr>
              <w:t>拍片</w:t>
            </w:r>
          </w:p>
        </w:tc>
        <w:tc>
          <w:tcPr>
            <w:tcW w:w="1865" w:type="dxa"/>
            <w:tcBorders>
              <w:top w:val="single" w:sz="8" w:space="0" w:color="000000"/>
              <w:left w:val="single" w:sz="4" w:space="0" w:color="000000"/>
              <w:bottom w:val="single" w:sz="4" w:space="0" w:color="000000"/>
              <w:right w:val="single" w:sz="4" w:space="0" w:color="000000"/>
            </w:tcBorders>
          </w:tcPr>
          <w:p>
            <w:pPr>
              <w:pStyle w:val="TableParagraph"/>
              <w:spacing w:before="28"/>
              <w:ind w:left="504" w:right="495"/>
              <w:rPr>
                <w:rFonts w:ascii="Times New Roman" w:hAnsi="Times New Roman"/>
                <w:sz w:val="14"/>
              </w:rPr>
            </w:pPr>
            <w:r>
              <w:rPr>
                <w:rFonts w:ascii="Times New Roman" w:hAnsi="Times New Roman"/>
                <w:sz w:val="21"/>
              </w:rPr>
              <w:t>7.04×10</w:t>
            </w:r>
            <w:r>
              <w:rPr>
                <w:rFonts w:ascii="Times New Roman" w:hAnsi="Times New Roman"/>
                <w:position w:val="7"/>
                <w:sz w:val="14"/>
              </w:rPr>
              <w:t>-4</w:t>
            </w:r>
          </w:p>
        </w:tc>
        <w:tc>
          <w:tcPr>
            <w:tcW w:w="778"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1059" w:type="dxa"/>
            <w:tcBorders>
              <w:top w:val="single" w:sz="8" w:space="0" w:color="000000"/>
              <w:left w:val="single" w:sz="4" w:space="0" w:color="000000"/>
              <w:bottom w:val="single" w:sz="4" w:space="0" w:color="000000"/>
              <w:right w:val="single" w:sz="4" w:space="0" w:color="000000"/>
            </w:tcBorders>
          </w:tcPr>
          <w:p>
            <w:pPr>
              <w:pStyle w:val="TableParagraph"/>
              <w:spacing w:before="33"/>
              <w:ind w:left="17" w:right="12"/>
              <w:rPr>
                <w:rFonts w:ascii="Times New Roman"/>
                <w:sz w:val="21"/>
              </w:rPr>
            </w:pPr>
            <w:r>
              <w:rPr>
                <w:rFonts w:ascii="Times New Roman"/>
                <w:sz w:val="21"/>
              </w:rPr>
              <w:t>25</w:t>
            </w:r>
          </w:p>
        </w:tc>
        <w:tc>
          <w:tcPr>
            <w:tcW w:w="1484"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c>
          <w:tcPr>
            <w:tcW w:w="783" w:type="dxa"/>
            <w:tcBorders>
              <w:left w:val="single" w:sz="4" w:space="0" w:color="000000"/>
              <w:bottom w:val="single" w:sz="4" w:space="0" w:color="000000"/>
              <w:right w:val="single" w:sz="4" w:space="0" w:color="000000"/>
            </w:tcBorders>
          </w:tcPr>
          <w:p>
            <w:pPr>
              <w:pStyle w:val="TableParagraph"/>
              <w:jc w:val="left"/>
              <w:rPr>
                <w:rFonts w:ascii="Times New Roman"/>
                <w:sz w:val="22"/>
              </w:rPr>
            </w:pPr>
          </w:p>
        </w:tc>
      </w:tr>
      <w:tr>
        <w:trPr>
          <w:trHeight w:val="311" w:hRule="atLeast"/>
        </w:trPr>
        <w:tc>
          <w:tcPr>
            <w:tcW w:w="2408"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22"/>
              <w:ind w:left="210" w:firstLine="19"/>
              <w:jc w:val="left"/>
              <w:rPr>
                <w:rFonts w:ascii="Times New Roman" w:eastAsia="Times New Roman"/>
                <w:sz w:val="21"/>
              </w:rPr>
            </w:pPr>
            <w:r>
              <w:rPr>
                <w:rFonts w:ascii="Times New Roman" w:eastAsia="Times New Roman"/>
                <w:sz w:val="21"/>
              </w:rPr>
              <w:t>9#-</w:t>
            </w:r>
            <w:r>
              <w:rPr>
                <w:sz w:val="21"/>
              </w:rPr>
              <w:t>北侧屏蔽墙外 </w:t>
            </w:r>
            <w:r>
              <w:rPr>
                <w:rFonts w:ascii="Times New Roman" w:eastAsia="Times New Roman"/>
                <w:sz w:val="21"/>
              </w:rPr>
              <w:t>30cm</w:t>
            </w:r>
          </w:p>
          <w:p>
            <w:pPr>
              <w:pStyle w:val="TableParagraph"/>
              <w:spacing w:line="310" w:lineRule="atLeast" w:before="2"/>
              <w:ind w:left="1026" w:right="73" w:hanging="816"/>
              <w:jc w:val="left"/>
              <w:rPr>
                <w:sz w:val="21"/>
              </w:rPr>
            </w:pPr>
            <w:r>
              <w:rPr>
                <w:sz w:val="21"/>
              </w:rPr>
              <w:t>处，病员通道及家属等候区</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22"/>
              <w:ind w:right="127"/>
              <w:jc w:val="right"/>
              <w:rPr>
                <w:sz w:val="21"/>
              </w:rPr>
            </w:pPr>
            <w:r>
              <w:rPr>
                <w:sz w:val="21"/>
              </w:rPr>
              <w:t>透视</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before="32"/>
              <w:ind w:left="504" w:right="495"/>
              <w:rPr>
                <w:rFonts w:ascii="Times New Roman" w:hAnsi="Times New Roman"/>
                <w:sz w:val="14"/>
              </w:rPr>
            </w:pPr>
            <w:r>
              <w:rPr>
                <w:rFonts w:ascii="Times New Roman" w:hAnsi="Times New Roman"/>
                <w:sz w:val="21"/>
              </w:rPr>
              <w:t>8.52×10</w:t>
            </w:r>
            <w:r>
              <w:rPr>
                <w:rFonts w:ascii="Times New Roman" w:hAnsi="Times New Roman"/>
                <w:position w:val="7"/>
                <w:sz w:val="14"/>
              </w:rPr>
              <w:t>-4</w:t>
            </w:r>
          </w:p>
        </w:tc>
        <w:tc>
          <w:tcPr>
            <w:tcW w:w="77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
              <w:jc w:val="left"/>
              <w:rPr>
                <w:sz w:val="27"/>
              </w:rPr>
            </w:pPr>
          </w:p>
          <w:p>
            <w:pPr>
              <w:pStyle w:val="TableParagraph"/>
              <w:ind w:left="255"/>
              <w:jc w:val="left"/>
              <w:rPr>
                <w:rFonts w:ascii="Times New Roman"/>
                <w:sz w:val="21"/>
              </w:rPr>
            </w:pPr>
            <w:r>
              <w:rPr>
                <w:rFonts w:ascii="Times New Roman"/>
                <w:sz w:val="21"/>
              </w:rPr>
              <w:t>1/4</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36"/>
              <w:ind w:left="15" w:right="12"/>
              <w:rPr>
                <w:rFonts w:ascii="Times New Roman"/>
                <w:sz w:val="21"/>
              </w:rPr>
            </w:pPr>
            <w:r>
              <w:rPr>
                <w:rFonts w:ascii="Times New Roman"/>
                <w:sz w:val="21"/>
              </w:rPr>
              <w:t>75</w:t>
            </w:r>
          </w:p>
        </w:tc>
        <w:tc>
          <w:tcPr>
            <w:tcW w:w="148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0"/>
              <w:jc w:val="left"/>
              <w:rPr>
                <w:sz w:val="26"/>
              </w:rPr>
            </w:pPr>
          </w:p>
          <w:p>
            <w:pPr>
              <w:pStyle w:val="TableParagraph"/>
              <w:ind w:left="343"/>
              <w:jc w:val="left"/>
              <w:rPr>
                <w:rFonts w:ascii="Times New Roman" w:hAnsi="Times New Roman"/>
                <w:sz w:val="14"/>
              </w:rPr>
            </w:pPr>
            <w:r>
              <w:rPr>
                <w:rFonts w:ascii="Times New Roman" w:hAnsi="Times New Roman"/>
                <w:sz w:val="21"/>
              </w:rPr>
              <w:t>1.46×10</w:t>
            </w:r>
            <w:r>
              <w:rPr>
                <w:rFonts w:ascii="Times New Roman" w:hAnsi="Times New Roman"/>
                <w:position w:val="7"/>
                <w:sz w:val="14"/>
              </w:rPr>
              <w:t>-4</w:t>
            </w:r>
          </w:p>
        </w:tc>
        <w:tc>
          <w:tcPr>
            <w:tcW w:w="783"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26"/>
              </w:rPr>
            </w:pPr>
          </w:p>
          <w:p>
            <w:pPr>
              <w:pStyle w:val="TableParagraph"/>
              <w:ind w:left="152"/>
              <w:jc w:val="left"/>
              <w:rPr>
                <w:sz w:val="21"/>
              </w:rPr>
            </w:pPr>
            <w:r>
              <w:rPr>
                <w:sz w:val="21"/>
              </w:rPr>
              <w:t>公众</w:t>
            </w:r>
          </w:p>
        </w:tc>
      </w:tr>
      <w:tr>
        <w:trPr>
          <w:trHeight w:val="614" w:hRule="atLeast"/>
        </w:trPr>
        <w:tc>
          <w:tcPr>
            <w:tcW w:w="2408" w:type="dxa"/>
            <w:gridSpan w:val="2"/>
            <w:vMerge/>
            <w:tcBorders>
              <w:top w:val="nil"/>
              <w:left w:val="single" w:sz="4" w:space="0" w:color="000000"/>
              <w:bottom w:val="single" w:sz="4" w:space="0" w:color="000000"/>
              <w:right w:val="single" w:sz="4" w:space="0" w:color="000000"/>
            </w:tcBorders>
          </w:tcPr>
          <w:p>
            <w:pPr>
              <w:rPr>
                <w:sz w:val="2"/>
                <w:szCs w:val="2"/>
              </w:rPr>
            </w:pP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173"/>
              <w:ind w:right="127"/>
              <w:jc w:val="right"/>
              <w:rPr>
                <w:sz w:val="21"/>
              </w:rPr>
            </w:pPr>
            <w:r>
              <w:rPr>
                <w:sz w:val="21"/>
              </w:rPr>
              <w:t>拍片</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before="183"/>
              <w:ind w:left="504" w:right="495"/>
              <w:rPr>
                <w:rFonts w:ascii="Times New Roman" w:hAnsi="Times New Roman"/>
                <w:sz w:val="14"/>
              </w:rPr>
            </w:pPr>
            <w:r>
              <w:rPr>
                <w:rFonts w:ascii="Times New Roman" w:hAnsi="Times New Roman"/>
                <w:sz w:val="21"/>
              </w:rPr>
              <w:t>1.15×10</w:t>
            </w:r>
            <w:r>
              <w:rPr>
                <w:rFonts w:ascii="Times New Roman" w:hAnsi="Times New Roman"/>
                <w:position w:val="7"/>
                <w:sz w:val="14"/>
              </w:rPr>
              <w:t>-2</w:t>
            </w:r>
          </w:p>
        </w:tc>
        <w:tc>
          <w:tcPr>
            <w:tcW w:w="778" w:type="dxa"/>
            <w:vMerge/>
            <w:tcBorders>
              <w:top w:val="nil"/>
              <w:left w:val="single" w:sz="4" w:space="0" w:color="000000"/>
              <w:bottom w:val="single" w:sz="4" w:space="0" w:color="000000"/>
              <w:right w:val="single" w:sz="4" w:space="0" w:color="000000"/>
            </w:tcBorders>
          </w:tcPr>
          <w:p>
            <w:pPr>
              <w:rPr>
                <w:sz w:val="2"/>
                <w:szCs w:val="2"/>
              </w:rPr>
            </w:pP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187"/>
              <w:ind w:left="15" w:right="12"/>
              <w:rPr>
                <w:rFonts w:ascii="Times New Roman"/>
                <w:sz w:val="21"/>
              </w:rPr>
            </w:pPr>
            <w:r>
              <w:rPr>
                <w:rFonts w:ascii="Times New Roman"/>
                <w:sz w:val="21"/>
              </w:rPr>
              <w:t>25</w:t>
            </w:r>
          </w:p>
        </w:tc>
        <w:tc>
          <w:tcPr>
            <w:tcW w:w="1484" w:type="dxa"/>
            <w:vMerge/>
            <w:tcBorders>
              <w:top w:val="nil"/>
              <w:left w:val="single" w:sz="4" w:space="0" w:color="000000"/>
              <w:bottom w:val="single" w:sz="4" w:space="0" w:color="000000"/>
              <w:right w:val="single" w:sz="4" w:space="0" w:color="000000"/>
            </w:tcBorders>
          </w:tcPr>
          <w:p>
            <w:pPr>
              <w:rPr>
                <w:sz w:val="2"/>
                <w:szCs w:val="2"/>
              </w:rPr>
            </w:pPr>
          </w:p>
        </w:tc>
        <w:tc>
          <w:tcPr>
            <w:tcW w:w="783" w:type="dxa"/>
            <w:vMerge/>
            <w:tcBorders>
              <w:top w:val="nil"/>
              <w:left w:val="single" w:sz="4" w:space="0" w:color="000000"/>
              <w:bottom w:val="single" w:sz="4" w:space="0" w:color="000000"/>
              <w:right w:val="single" w:sz="4" w:space="0" w:color="000000"/>
            </w:tcBorders>
          </w:tcPr>
          <w:p>
            <w:pPr>
              <w:rPr>
                <w:sz w:val="2"/>
                <w:szCs w:val="2"/>
              </w:rPr>
            </w:pPr>
          </w:p>
        </w:tc>
      </w:tr>
      <w:tr>
        <w:trPr>
          <w:trHeight w:val="303" w:hRule="atLeast"/>
        </w:trPr>
        <w:tc>
          <w:tcPr>
            <w:tcW w:w="122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29"/>
              <w:ind w:left="249"/>
              <w:jc w:val="left"/>
              <w:rPr>
                <w:sz w:val="21"/>
              </w:rPr>
            </w:pPr>
            <w:r>
              <w:rPr>
                <w:rFonts w:ascii="Times New Roman" w:eastAsia="Times New Roman"/>
                <w:sz w:val="21"/>
              </w:rPr>
              <w:t>10#-</w:t>
            </w:r>
            <w:r>
              <w:rPr>
                <w:sz w:val="21"/>
              </w:rPr>
              <w:t>第一</w:t>
            </w:r>
          </w:p>
          <w:p>
            <w:pPr>
              <w:pStyle w:val="TableParagraph"/>
              <w:spacing w:line="264" w:lineRule="exact" w:before="43"/>
              <w:ind w:left="333"/>
              <w:jc w:val="left"/>
              <w:rPr>
                <w:sz w:val="21"/>
              </w:rPr>
            </w:pPr>
            <w:r>
              <w:rPr>
                <w:sz w:val="21"/>
              </w:rPr>
              <w:t>术者位</w:t>
            </w:r>
          </w:p>
        </w:tc>
        <w:tc>
          <w:tcPr>
            <w:tcW w:w="118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25"/>
              <w:ind w:left="287"/>
              <w:jc w:val="left"/>
              <w:rPr>
                <w:sz w:val="21"/>
              </w:rPr>
            </w:pPr>
            <w:r>
              <w:rPr>
                <w:sz w:val="21"/>
              </w:rPr>
              <w:t>铅衣内</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39"/>
              <w:ind w:right="154"/>
              <w:jc w:val="right"/>
              <w:rPr>
                <w:rFonts w:ascii="Times New Roman"/>
                <w:sz w:val="21"/>
              </w:rPr>
            </w:pPr>
            <w:r>
              <w:rPr>
                <w:rFonts w:ascii="Times New Roman"/>
                <w:sz w:val="21"/>
              </w:rPr>
              <w:t>33.9</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before="39"/>
              <w:ind w:left="500" w:right="495"/>
              <w:rPr>
                <w:rFonts w:ascii="Times New Roman"/>
                <w:sz w:val="21"/>
              </w:rPr>
            </w:pPr>
            <w:r>
              <w:rPr>
                <w:rFonts w:ascii="Times New Roman"/>
                <w:sz w:val="21"/>
              </w:rPr>
              <w:t>33.9</w:t>
            </w:r>
          </w:p>
        </w:tc>
        <w:tc>
          <w:tcPr>
            <w:tcW w:w="778" w:type="dxa"/>
            <w:tcBorders>
              <w:top w:val="single" w:sz="4" w:space="0" w:color="000000"/>
              <w:left w:val="single" w:sz="4" w:space="0" w:color="000000"/>
              <w:bottom w:val="single" w:sz="4" w:space="0" w:color="000000"/>
              <w:right w:val="single" w:sz="4" w:space="0" w:color="000000"/>
            </w:tcBorders>
          </w:tcPr>
          <w:p>
            <w:pPr>
              <w:pStyle w:val="TableParagraph"/>
              <w:spacing w:before="39"/>
              <w:ind w:left="11"/>
              <w:rPr>
                <w:rFonts w:ascii="Times New Roman"/>
                <w:sz w:val="21"/>
              </w:rPr>
            </w:pPr>
            <w:r>
              <w:rPr>
                <w:rFonts w:ascii="Times New Roman"/>
                <w:w w:val="100"/>
                <w:sz w:val="21"/>
              </w:rPr>
              <w:t>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39"/>
              <w:ind w:left="15" w:right="12"/>
              <w:rPr>
                <w:rFonts w:ascii="Times New Roman"/>
                <w:sz w:val="21"/>
              </w:rPr>
            </w:pPr>
            <w:r>
              <w:rPr>
                <w:rFonts w:ascii="Times New Roman"/>
                <w:sz w:val="21"/>
              </w:rPr>
              <w:t>75</w:t>
            </w:r>
          </w:p>
        </w:tc>
        <w:tc>
          <w:tcPr>
            <w:tcW w:w="148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7"/>
              <w:jc w:val="left"/>
              <w:rPr>
                <w:sz w:val="15"/>
              </w:rPr>
            </w:pPr>
          </w:p>
          <w:p>
            <w:pPr>
              <w:pStyle w:val="TableParagraph"/>
              <w:ind w:left="539" w:right="526"/>
              <w:rPr>
                <w:rFonts w:ascii="Times New Roman"/>
                <w:sz w:val="21"/>
              </w:rPr>
            </w:pPr>
            <w:r>
              <w:rPr>
                <w:rFonts w:ascii="Times New Roman"/>
                <w:sz w:val="21"/>
              </w:rPr>
              <w:t>4.69</w:t>
            </w:r>
          </w:p>
        </w:tc>
        <w:tc>
          <w:tcPr>
            <w:tcW w:w="783" w:type="dxa"/>
            <w:vMerge w:val="restart"/>
            <w:tcBorders>
              <w:top w:val="single" w:sz="4" w:space="0" w:color="000000"/>
              <w:left w:val="single" w:sz="4" w:space="0" w:color="000000"/>
              <w:bottom w:val="single" w:sz="12" w:space="0" w:color="000000"/>
              <w:right w:val="single" w:sz="4" w:space="0" w:color="000000"/>
            </w:tcBorders>
          </w:tcPr>
          <w:p>
            <w:pPr>
              <w:pStyle w:val="TableParagraph"/>
              <w:spacing w:before="5"/>
              <w:jc w:val="left"/>
              <w:rPr>
                <w:sz w:val="27"/>
              </w:rPr>
            </w:pPr>
          </w:p>
          <w:p>
            <w:pPr>
              <w:pStyle w:val="TableParagraph"/>
              <w:spacing w:line="278" w:lineRule="auto"/>
              <w:ind w:left="152" w:right="161"/>
              <w:jc w:val="left"/>
              <w:rPr>
                <w:sz w:val="21"/>
              </w:rPr>
            </w:pPr>
            <w:r>
              <w:rPr>
                <w:sz w:val="21"/>
              </w:rPr>
              <w:t>职业人员</w:t>
            </w:r>
          </w:p>
        </w:tc>
      </w:tr>
      <w:tr>
        <w:trPr>
          <w:trHeight w:val="291" w:hRule="atLeast"/>
        </w:trPr>
        <w:tc>
          <w:tcPr>
            <w:tcW w:w="1222" w:type="dxa"/>
            <w:vMerge/>
            <w:tcBorders>
              <w:top w:val="nil"/>
              <w:left w:val="single" w:sz="4" w:space="0" w:color="000000"/>
              <w:bottom w:val="single" w:sz="4" w:space="0" w:color="000000"/>
              <w:right w:val="single" w:sz="4" w:space="0" w:color="000000"/>
            </w:tcBorders>
          </w:tcPr>
          <w:p>
            <w:pPr>
              <w:rPr>
                <w:sz w:val="2"/>
                <w:szCs w:val="2"/>
              </w:rPr>
            </w:pPr>
          </w:p>
        </w:tc>
        <w:tc>
          <w:tcPr>
            <w:tcW w:w="118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7"/>
              <w:jc w:val="left"/>
              <w:rPr>
                <w:sz w:val="21"/>
              </w:rPr>
            </w:pPr>
            <w:r>
              <w:rPr>
                <w:sz w:val="21"/>
              </w:rPr>
              <w:t>铅衣外</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26"/>
              <w:ind w:right="181"/>
              <w:jc w:val="right"/>
              <w:rPr>
                <w:rFonts w:ascii="Times New Roman"/>
                <w:sz w:val="21"/>
              </w:rPr>
            </w:pPr>
            <w:r>
              <w:rPr>
                <w:rFonts w:ascii="Times New Roman"/>
                <w:sz w:val="21"/>
              </w:rPr>
              <w:t>209</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before="26"/>
              <w:ind w:left="500" w:right="495"/>
              <w:rPr>
                <w:rFonts w:ascii="Times New Roman"/>
                <w:sz w:val="21"/>
              </w:rPr>
            </w:pPr>
            <w:r>
              <w:rPr>
                <w:rFonts w:ascii="Times New Roman"/>
                <w:sz w:val="21"/>
              </w:rPr>
              <w:t>209</w:t>
            </w:r>
          </w:p>
        </w:tc>
        <w:tc>
          <w:tcPr>
            <w:tcW w:w="778" w:type="dxa"/>
            <w:tcBorders>
              <w:top w:val="single" w:sz="4" w:space="0" w:color="000000"/>
              <w:left w:val="single" w:sz="4" w:space="0" w:color="000000"/>
              <w:bottom w:val="single" w:sz="4" w:space="0" w:color="000000"/>
              <w:right w:val="single" w:sz="4" w:space="0" w:color="000000"/>
            </w:tcBorders>
          </w:tcPr>
          <w:p>
            <w:pPr>
              <w:pStyle w:val="TableParagraph"/>
              <w:spacing w:before="26"/>
              <w:ind w:left="11"/>
              <w:rPr>
                <w:rFonts w:ascii="Times New Roman"/>
                <w:sz w:val="21"/>
              </w:rPr>
            </w:pPr>
            <w:r>
              <w:rPr>
                <w:rFonts w:ascii="Times New Roman"/>
                <w:w w:val="100"/>
                <w:sz w:val="21"/>
              </w:rPr>
              <w:t>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26"/>
              <w:ind w:left="15" w:right="12"/>
              <w:rPr>
                <w:rFonts w:ascii="Times New Roman"/>
                <w:sz w:val="21"/>
              </w:rPr>
            </w:pPr>
            <w:r>
              <w:rPr>
                <w:rFonts w:ascii="Times New Roman"/>
                <w:sz w:val="21"/>
              </w:rPr>
              <w:t>75</w:t>
            </w:r>
          </w:p>
        </w:tc>
        <w:tc>
          <w:tcPr>
            <w:tcW w:w="1484" w:type="dxa"/>
            <w:vMerge/>
            <w:tcBorders>
              <w:top w:val="nil"/>
              <w:left w:val="single" w:sz="4" w:space="0" w:color="000000"/>
              <w:bottom w:val="single" w:sz="4" w:space="0" w:color="000000"/>
              <w:right w:val="single" w:sz="4" w:space="0" w:color="000000"/>
            </w:tcBorders>
          </w:tcPr>
          <w:p>
            <w:pPr>
              <w:rPr>
                <w:sz w:val="2"/>
                <w:szCs w:val="2"/>
              </w:rPr>
            </w:pPr>
          </w:p>
        </w:tc>
        <w:tc>
          <w:tcPr>
            <w:tcW w:w="783" w:type="dxa"/>
            <w:vMerge/>
            <w:tcBorders>
              <w:top w:val="nil"/>
              <w:left w:val="single" w:sz="4" w:space="0" w:color="000000"/>
              <w:bottom w:val="single" w:sz="12" w:space="0" w:color="000000"/>
              <w:right w:val="single" w:sz="4" w:space="0" w:color="000000"/>
            </w:tcBorders>
          </w:tcPr>
          <w:p>
            <w:pPr>
              <w:rPr>
                <w:sz w:val="2"/>
                <w:szCs w:val="2"/>
              </w:rPr>
            </w:pPr>
          </w:p>
        </w:tc>
      </w:tr>
      <w:tr>
        <w:trPr>
          <w:trHeight w:val="291" w:hRule="atLeast"/>
        </w:trPr>
        <w:tc>
          <w:tcPr>
            <w:tcW w:w="1222" w:type="dxa"/>
            <w:vMerge w:val="restart"/>
            <w:tcBorders>
              <w:top w:val="single" w:sz="4" w:space="0" w:color="000000"/>
              <w:left w:val="single" w:sz="4" w:space="0" w:color="000000"/>
              <w:bottom w:val="single" w:sz="12" w:space="0" w:color="000000"/>
              <w:right w:val="single" w:sz="4" w:space="0" w:color="000000"/>
            </w:tcBorders>
          </w:tcPr>
          <w:p>
            <w:pPr>
              <w:pStyle w:val="TableParagraph"/>
              <w:spacing w:before="17"/>
              <w:ind w:left="249"/>
              <w:jc w:val="left"/>
              <w:rPr>
                <w:sz w:val="21"/>
              </w:rPr>
            </w:pPr>
            <w:r>
              <w:rPr>
                <w:rFonts w:ascii="Times New Roman" w:eastAsia="Times New Roman"/>
                <w:sz w:val="21"/>
              </w:rPr>
              <w:t>11#-</w:t>
            </w:r>
            <w:r>
              <w:rPr>
                <w:sz w:val="21"/>
              </w:rPr>
              <w:t>第二</w:t>
            </w:r>
          </w:p>
          <w:p>
            <w:pPr>
              <w:pStyle w:val="TableParagraph"/>
              <w:spacing w:before="43"/>
              <w:ind w:left="333"/>
              <w:jc w:val="left"/>
              <w:rPr>
                <w:sz w:val="21"/>
              </w:rPr>
            </w:pPr>
            <w:r>
              <w:rPr>
                <w:sz w:val="21"/>
              </w:rPr>
              <w:t>术者位</w:t>
            </w:r>
          </w:p>
        </w:tc>
        <w:tc>
          <w:tcPr>
            <w:tcW w:w="1186"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287"/>
              <w:jc w:val="left"/>
              <w:rPr>
                <w:sz w:val="21"/>
              </w:rPr>
            </w:pPr>
            <w:r>
              <w:rPr>
                <w:sz w:val="21"/>
              </w:rPr>
              <w:t>铅衣内</w:t>
            </w:r>
          </w:p>
        </w:tc>
        <w:tc>
          <w:tcPr>
            <w:tcW w:w="701" w:type="dxa"/>
            <w:tcBorders>
              <w:top w:val="single" w:sz="4" w:space="0" w:color="000000"/>
              <w:left w:val="single" w:sz="4" w:space="0" w:color="000000"/>
              <w:bottom w:val="single" w:sz="4" w:space="0" w:color="000000"/>
              <w:right w:val="single" w:sz="4" w:space="0" w:color="000000"/>
            </w:tcBorders>
          </w:tcPr>
          <w:p>
            <w:pPr>
              <w:pStyle w:val="TableParagraph"/>
              <w:spacing w:before="26"/>
              <w:ind w:right="154"/>
              <w:jc w:val="right"/>
              <w:rPr>
                <w:rFonts w:ascii="Times New Roman"/>
                <w:sz w:val="21"/>
              </w:rPr>
            </w:pPr>
            <w:r>
              <w:rPr>
                <w:rFonts w:ascii="Times New Roman"/>
                <w:sz w:val="21"/>
              </w:rPr>
              <w:t>8.48</w:t>
            </w:r>
          </w:p>
        </w:tc>
        <w:tc>
          <w:tcPr>
            <w:tcW w:w="1865" w:type="dxa"/>
            <w:tcBorders>
              <w:top w:val="single" w:sz="4" w:space="0" w:color="000000"/>
              <w:left w:val="single" w:sz="4" w:space="0" w:color="000000"/>
              <w:bottom w:val="single" w:sz="4" w:space="0" w:color="000000"/>
              <w:right w:val="single" w:sz="4" w:space="0" w:color="000000"/>
            </w:tcBorders>
          </w:tcPr>
          <w:p>
            <w:pPr>
              <w:pStyle w:val="TableParagraph"/>
              <w:spacing w:before="26"/>
              <w:ind w:left="500" w:right="495"/>
              <w:rPr>
                <w:rFonts w:ascii="Times New Roman"/>
                <w:sz w:val="21"/>
              </w:rPr>
            </w:pPr>
            <w:r>
              <w:rPr>
                <w:rFonts w:ascii="Times New Roman"/>
                <w:sz w:val="21"/>
              </w:rPr>
              <w:t>8.48</w:t>
            </w:r>
          </w:p>
        </w:tc>
        <w:tc>
          <w:tcPr>
            <w:tcW w:w="778" w:type="dxa"/>
            <w:tcBorders>
              <w:top w:val="single" w:sz="4" w:space="0" w:color="000000"/>
              <w:left w:val="single" w:sz="4" w:space="0" w:color="000000"/>
              <w:bottom w:val="single" w:sz="4" w:space="0" w:color="000000"/>
              <w:right w:val="single" w:sz="4" w:space="0" w:color="000000"/>
            </w:tcBorders>
          </w:tcPr>
          <w:p>
            <w:pPr>
              <w:pStyle w:val="TableParagraph"/>
              <w:spacing w:before="26"/>
              <w:ind w:left="11"/>
              <w:rPr>
                <w:rFonts w:ascii="Times New Roman"/>
                <w:sz w:val="21"/>
              </w:rPr>
            </w:pPr>
            <w:r>
              <w:rPr>
                <w:rFonts w:ascii="Times New Roman"/>
                <w:w w:val="100"/>
                <w:sz w:val="21"/>
              </w:rPr>
              <w:t>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26"/>
              <w:ind w:left="15" w:right="12"/>
              <w:rPr>
                <w:rFonts w:ascii="Times New Roman"/>
                <w:sz w:val="21"/>
              </w:rPr>
            </w:pPr>
            <w:r>
              <w:rPr>
                <w:rFonts w:ascii="Times New Roman"/>
                <w:sz w:val="21"/>
              </w:rPr>
              <w:t>75</w:t>
            </w:r>
          </w:p>
        </w:tc>
        <w:tc>
          <w:tcPr>
            <w:tcW w:w="1484" w:type="dxa"/>
            <w:vMerge w:val="restart"/>
            <w:tcBorders>
              <w:top w:val="single" w:sz="4" w:space="0" w:color="000000"/>
              <w:left w:val="single" w:sz="4" w:space="0" w:color="000000"/>
              <w:bottom w:val="single" w:sz="12" w:space="0" w:color="000000"/>
              <w:right w:val="single" w:sz="4" w:space="0" w:color="000000"/>
            </w:tcBorders>
          </w:tcPr>
          <w:p>
            <w:pPr>
              <w:pStyle w:val="TableParagraph"/>
              <w:spacing w:before="187"/>
              <w:ind w:left="539" w:right="526"/>
              <w:rPr>
                <w:rFonts w:ascii="Times New Roman"/>
                <w:sz w:val="21"/>
              </w:rPr>
            </w:pPr>
            <w:r>
              <w:rPr>
                <w:rFonts w:ascii="Times New Roman"/>
                <w:sz w:val="21"/>
              </w:rPr>
              <w:t>1.17</w:t>
            </w:r>
          </w:p>
        </w:tc>
        <w:tc>
          <w:tcPr>
            <w:tcW w:w="783" w:type="dxa"/>
            <w:vMerge/>
            <w:tcBorders>
              <w:top w:val="nil"/>
              <w:left w:val="single" w:sz="4" w:space="0" w:color="000000"/>
              <w:bottom w:val="single" w:sz="12" w:space="0" w:color="000000"/>
              <w:right w:val="single" w:sz="4" w:space="0" w:color="000000"/>
            </w:tcBorders>
          </w:tcPr>
          <w:p>
            <w:pPr>
              <w:rPr>
                <w:sz w:val="2"/>
                <w:szCs w:val="2"/>
              </w:rPr>
            </w:pPr>
          </w:p>
        </w:tc>
      </w:tr>
      <w:tr>
        <w:trPr>
          <w:trHeight w:val="303" w:hRule="atLeast"/>
        </w:trPr>
        <w:tc>
          <w:tcPr>
            <w:tcW w:w="1222" w:type="dxa"/>
            <w:vMerge/>
            <w:tcBorders>
              <w:top w:val="nil"/>
              <w:left w:val="single" w:sz="4" w:space="0" w:color="000000"/>
              <w:bottom w:val="single" w:sz="12" w:space="0" w:color="000000"/>
              <w:right w:val="single" w:sz="4" w:space="0" w:color="000000"/>
            </w:tcBorders>
          </w:tcPr>
          <w:p>
            <w:pPr>
              <w:rPr>
                <w:sz w:val="2"/>
                <w:szCs w:val="2"/>
              </w:rPr>
            </w:pPr>
          </w:p>
        </w:tc>
        <w:tc>
          <w:tcPr>
            <w:tcW w:w="1186" w:type="dxa"/>
            <w:tcBorders>
              <w:top w:val="single" w:sz="4" w:space="0" w:color="000000"/>
              <w:left w:val="single" w:sz="4" w:space="0" w:color="000000"/>
              <w:bottom w:val="single" w:sz="12" w:space="0" w:color="000000"/>
              <w:right w:val="single" w:sz="4" w:space="0" w:color="000000"/>
            </w:tcBorders>
          </w:tcPr>
          <w:p>
            <w:pPr>
              <w:pStyle w:val="TableParagraph"/>
              <w:spacing w:before="12"/>
              <w:ind w:left="287"/>
              <w:jc w:val="left"/>
              <w:rPr>
                <w:sz w:val="21"/>
              </w:rPr>
            </w:pPr>
            <w:r>
              <w:rPr>
                <w:sz w:val="21"/>
              </w:rPr>
              <w:t>铅衣外</w:t>
            </w:r>
          </w:p>
        </w:tc>
        <w:tc>
          <w:tcPr>
            <w:tcW w:w="701" w:type="dxa"/>
            <w:tcBorders>
              <w:top w:val="single" w:sz="4" w:space="0" w:color="000000"/>
              <w:left w:val="single" w:sz="4" w:space="0" w:color="000000"/>
              <w:bottom w:val="single" w:sz="12" w:space="0" w:color="000000"/>
              <w:right w:val="single" w:sz="4" w:space="0" w:color="000000"/>
            </w:tcBorders>
          </w:tcPr>
          <w:p>
            <w:pPr>
              <w:pStyle w:val="TableParagraph"/>
              <w:spacing w:before="26"/>
              <w:ind w:right="154"/>
              <w:jc w:val="right"/>
              <w:rPr>
                <w:rFonts w:ascii="Times New Roman"/>
                <w:sz w:val="21"/>
              </w:rPr>
            </w:pPr>
            <w:r>
              <w:rPr>
                <w:rFonts w:ascii="Times New Roman"/>
                <w:sz w:val="21"/>
              </w:rPr>
              <w:t>52.3</w:t>
            </w:r>
          </w:p>
        </w:tc>
        <w:tc>
          <w:tcPr>
            <w:tcW w:w="1865" w:type="dxa"/>
            <w:tcBorders>
              <w:top w:val="single" w:sz="4" w:space="0" w:color="000000"/>
              <w:left w:val="single" w:sz="4" w:space="0" w:color="000000"/>
              <w:bottom w:val="single" w:sz="12" w:space="0" w:color="000000"/>
              <w:right w:val="single" w:sz="4" w:space="0" w:color="000000"/>
            </w:tcBorders>
          </w:tcPr>
          <w:p>
            <w:pPr>
              <w:pStyle w:val="TableParagraph"/>
              <w:spacing w:before="26"/>
              <w:ind w:left="500" w:right="495"/>
              <w:rPr>
                <w:rFonts w:ascii="Times New Roman"/>
                <w:sz w:val="21"/>
              </w:rPr>
            </w:pPr>
            <w:r>
              <w:rPr>
                <w:rFonts w:ascii="Times New Roman"/>
                <w:sz w:val="21"/>
              </w:rPr>
              <w:t>52.3</w:t>
            </w:r>
          </w:p>
        </w:tc>
        <w:tc>
          <w:tcPr>
            <w:tcW w:w="778" w:type="dxa"/>
            <w:tcBorders>
              <w:top w:val="single" w:sz="4" w:space="0" w:color="000000"/>
              <w:left w:val="single" w:sz="4" w:space="0" w:color="000000"/>
              <w:bottom w:val="single" w:sz="12" w:space="0" w:color="000000"/>
              <w:right w:val="single" w:sz="4" w:space="0" w:color="000000"/>
            </w:tcBorders>
          </w:tcPr>
          <w:p>
            <w:pPr>
              <w:pStyle w:val="TableParagraph"/>
              <w:spacing w:before="26"/>
              <w:ind w:left="11"/>
              <w:rPr>
                <w:rFonts w:ascii="Times New Roman"/>
                <w:sz w:val="21"/>
              </w:rPr>
            </w:pPr>
            <w:r>
              <w:rPr>
                <w:rFonts w:ascii="Times New Roman"/>
                <w:w w:val="100"/>
                <w:sz w:val="21"/>
              </w:rPr>
              <w:t>1</w:t>
            </w:r>
          </w:p>
        </w:tc>
        <w:tc>
          <w:tcPr>
            <w:tcW w:w="1059" w:type="dxa"/>
            <w:tcBorders>
              <w:top w:val="single" w:sz="4" w:space="0" w:color="000000"/>
              <w:left w:val="single" w:sz="4" w:space="0" w:color="000000"/>
              <w:bottom w:val="single" w:sz="12" w:space="0" w:color="000000"/>
              <w:right w:val="single" w:sz="4" w:space="0" w:color="000000"/>
            </w:tcBorders>
          </w:tcPr>
          <w:p>
            <w:pPr>
              <w:pStyle w:val="TableParagraph"/>
              <w:spacing w:before="26"/>
              <w:ind w:left="15" w:right="12"/>
              <w:rPr>
                <w:rFonts w:ascii="Times New Roman"/>
                <w:sz w:val="21"/>
              </w:rPr>
            </w:pPr>
            <w:r>
              <w:rPr>
                <w:rFonts w:ascii="Times New Roman"/>
                <w:sz w:val="21"/>
              </w:rPr>
              <w:t>75</w:t>
            </w:r>
          </w:p>
        </w:tc>
        <w:tc>
          <w:tcPr>
            <w:tcW w:w="1484" w:type="dxa"/>
            <w:vMerge/>
            <w:tcBorders>
              <w:top w:val="nil"/>
              <w:left w:val="single" w:sz="4" w:space="0" w:color="000000"/>
              <w:bottom w:val="single" w:sz="12" w:space="0" w:color="000000"/>
              <w:right w:val="single" w:sz="4" w:space="0" w:color="000000"/>
            </w:tcBorders>
          </w:tcPr>
          <w:p>
            <w:pPr>
              <w:rPr>
                <w:sz w:val="2"/>
                <w:szCs w:val="2"/>
              </w:rPr>
            </w:pPr>
          </w:p>
        </w:tc>
        <w:tc>
          <w:tcPr>
            <w:tcW w:w="783" w:type="dxa"/>
            <w:vMerge/>
            <w:tcBorders>
              <w:top w:val="nil"/>
              <w:left w:val="single" w:sz="4" w:space="0" w:color="000000"/>
              <w:bottom w:val="single" w:sz="12" w:space="0" w:color="000000"/>
              <w:right w:val="single" w:sz="4" w:space="0" w:color="000000"/>
            </w:tcBorders>
          </w:tcPr>
          <w:p>
            <w:pPr>
              <w:rPr>
                <w:sz w:val="2"/>
                <w:szCs w:val="2"/>
              </w:rPr>
            </w:pPr>
          </w:p>
        </w:tc>
      </w:tr>
      <w:tr>
        <w:trPr>
          <w:trHeight w:val="11569" w:hRule="atLeast"/>
        </w:trPr>
        <w:tc>
          <w:tcPr>
            <w:tcW w:w="9078" w:type="dxa"/>
            <w:gridSpan w:val="8"/>
            <w:tcBorders>
              <w:top w:val="single" w:sz="12" w:space="0" w:color="000000"/>
              <w:left w:val="single" w:sz="4" w:space="0" w:color="000000"/>
              <w:bottom w:val="single" w:sz="4" w:space="0" w:color="000000"/>
              <w:right w:val="single" w:sz="4" w:space="0" w:color="000000"/>
            </w:tcBorders>
          </w:tcPr>
          <w:p>
            <w:pPr>
              <w:pStyle w:val="TableParagraph"/>
              <w:spacing w:line="364" w:lineRule="auto" w:before="237"/>
              <w:ind w:left="107" w:right="92" w:firstLine="480"/>
              <w:jc w:val="both"/>
              <w:rPr>
                <w:sz w:val="24"/>
              </w:rPr>
            </w:pPr>
            <w:r>
              <w:rPr>
                <w:spacing w:val="-21"/>
                <w:sz w:val="24"/>
              </w:rPr>
              <w:t>由表 </w:t>
            </w:r>
            <w:r>
              <w:rPr>
                <w:rFonts w:ascii="Times New Roman" w:hAnsi="Times New Roman" w:eastAsia="Times New Roman"/>
                <w:spacing w:val="-3"/>
                <w:sz w:val="24"/>
              </w:rPr>
              <w:t>11-6 </w:t>
            </w:r>
            <w:r>
              <w:rPr>
                <w:spacing w:val="-9"/>
                <w:sz w:val="24"/>
              </w:rPr>
              <w:t>结果可知，本项目介入治疗室隔室操作辐射工作人员所受到的最大年有</w:t>
            </w:r>
            <w:r>
              <w:rPr>
                <w:spacing w:val="-11"/>
                <w:sz w:val="24"/>
              </w:rPr>
              <w:t>效剂量为 </w:t>
            </w:r>
            <w:r>
              <w:rPr>
                <w:rFonts w:ascii="Times New Roman" w:hAnsi="Times New Roman" w:eastAsia="Times New Roman"/>
                <w:spacing w:val="-3"/>
                <w:sz w:val="24"/>
              </w:rPr>
              <w:t>3.62×10</w:t>
            </w:r>
            <w:r>
              <w:rPr>
                <w:rFonts w:ascii="Times New Roman" w:hAnsi="Times New Roman" w:eastAsia="Times New Roman"/>
                <w:spacing w:val="-3"/>
                <w:position w:val="9"/>
                <w:sz w:val="16"/>
              </w:rPr>
              <w:t>-4</w:t>
            </w:r>
            <w:r>
              <w:rPr>
                <w:rFonts w:ascii="Times New Roman" w:hAnsi="Times New Roman" w:eastAsia="Times New Roman"/>
                <w:spacing w:val="-3"/>
                <w:sz w:val="24"/>
              </w:rPr>
              <w:t>mSv/a</w:t>
            </w:r>
            <w:r>
              <w:rPr>
                <w:spacing w:val="-3"/>
                <w:sz w:val="24"/>
              </w:rPr>
              <w:t>；医院根据工作需要对于本项目手术室内床旁操作的 </w:t>
            </w:r>
            <w:r>
              <w:rPr>
                <w:rFonts w:ascii="Times New Roman" w:hAnsi="Times New Roman" w:eastAsia="Times New Roman"/>
                <w:sz w:val="24"/>
              </w:rPr>
              <w:t>3 </w:t>
            </w:r>
            <w:r>
              <w:rPr>
                <w:sz w:val="24"/>
              </w:rPr>
              <w:t>名辐</w:t>
            </w:r>
            <w:r>
              <w:rPr>
                <w:spacing w:val="-5"/>
                <w:sz w:val="24"/>
              </w:rPr>
              <w:t>射工作人员进行轮岗制，则手术室内床旁操作的辐射工作人员所受到的最大年有效剂</w:t>
            </w:r>
            <w:r>
              <w:rPr>
                <w:spacing w:val="-23"/>
                <w:sz w:val="24"/>
              </w:rPr>
              <w:t>量为 </w:t>
            </w:r>
            <w:r>
              <w:rPr>
                <w:rFonts w:ascii="Times New Roman" w:hAnsi="Times New Roman" w:eastAsia="Times New Roman"/>
                <w:spacing w:val="-8"/>
                <w:sz w:val="24"/>
              </w:rPr>
              <w:t>1.56mSv/a</w:t>
            </w:r>
            <w:r>
              <w:rPr>
                <w:spacing w:val="-12"/>
                <w:sz w:val="24"/>
              </w:rPr>
              <w:t>；周围公众所受到的最大年有效剂量为 </w:t>
            </w:r>
            <w:r>
              <w:rPr>
                <w:rFonts w:ascii="Times New Roman" w:hAnsi="Times New Roman" w:eastAsia="Times New Roman"/>
                <w:spacing w:val="-6"/>
                <w:sz w:val="24"/>
              </w:rPr>
              <w:t>1.46×10</w:t>
            </w:r>
            <w:r>
              <w:rPr>
                <w:rFonts w:ascii="Times New Roman" w:hAnsi="Times New Roman" w:eastAsia="Times New Roman"/>
                <w:spacing w:val="-6"/>
                <w:position w:val="9"/>
                <w:sz w:val="16"/>
              </w:rPr>
              <w:t>-4</w:t>
            </w:r>
            <w:r>
              <w:rPr>
                <w:rFonts w:ascii="Times New Roman" w:hAnsi="Times New Roman" w:eastAsia="Times New Roman"/>
                <w:spacing w:val="-6"/>
                <w:sz w:val="24"/>
              </w:rPr>
              <w:t>mSv/a</w:t>
            </w:r>
            <w:r>
              <w:rPr>
                <w:spacing w:val="-12"/>
                <w:sz w:val="24"/>
              </w:rPr>
              <w:t>；均符合《电离辐射防护与放射源安全基本标准》</w:t>
            </w:r>
            <w:r>
              <w:rPr>
                <w:spacing w:val="-6"/>
                <w:sz w:val="24"/>
              </w:rPr>
              <w:t>（</w:t>
            </w:r>
            <w:r>
              <w:rPr>
                <w:rFonts w:ascii="Times New Roman" w:hAnsi="Times New Roman" w:eastAsia="Times New Roman"/>
                <w:spacing w:val="-6"/>
                <w:sz w:val="24"/>
              </w:rPr>
              <w:t>GB18871-2002</w:t>
            </w:r>
            <w:r>
              <w:rPr>
                <w:spacing w:val="-6"/>
                <w:sz w:val="24"/>
              </w:rPr>
              <w:t>）</w:t>
            </w:r>
            <w:r>
              <w:rPr>
                <w:spacing w:val="-11"/>
                <w:sz w:val="24"/>
              </w:rPr>
              <w:t>要求的剂量限值，均低于本报告执行</w:t>
            </w:r>
            <w:r>
              <w:rPr>
                <w:spacing w:val="-8"/>
                <w:sz w:val="24"/>
              </w:rPr>
              <w:t>的照射剂量约束值。</w:t>
            </w:r>
          </w:p>
          <w:p>
            <w:pPr>
              <w:pStyle w:val="TableParagraph"/>
              <w:spacing w:before="3"/>
              <w:ind w:left="575"/>
              <w:jc w:val="left"/>
              <w:rPr>
                <w:rFonts w:ascii="Times New Roman" w:eastAsia="Times New Roman"/>
                <w:sz w:val="24"/>
              </w:rPr>
            </w:pPr>
            <w:r>
              <w:rPr>
                <w:spacing w:val="23"/>
                <w:sz w:val="24"/>
              </w:rPr>
              <w:t>由于</w:t>
            </w:r>
            <w:r>
              <w:rPr>
                <w:rFonts w:ascii="Times New Roman" w:eastAsia="Times New Roman"/>
                <w:sz w:val="24"/>
              </w:rPr>
              <w:t>DSA </w:t>
            </w:r>
            <w:r>
              <w:rPr>
                <w:spacing w:val="-24"/>
                <w:sz w:val="24"/>
              </w:rPr>
              <w:t>正常工作时，电压、电流较小，在确保防护设施正常使用的情况下， </w:t>
            </w:r>
            <w:r>
              <w:rPr>
                <w:rFonts w:ascii="Times New Roman" w:eastAsia="Times New Roman"/>
                <w:spacing w:val="-3"/>
                <w:sz w:val="24"/>
              </w:rPr>
              <w:t>DSA</w:t>
            </w:r>
          </w:p>
          <w:p>
            <w:pPr>
              <w:pStyle w:val="TableParagraph"/>
              <w:spacing w:before="161"/>
              <w:ind w:left="107"/>
              <w:jc w:val="both"/>
              <w:rPr>
                <w:sz w:val="24"/>
              </w:rPr>
            </w:pPr>
            <w:r>
              <w:rPr>
                <w:sz w:val="24"/>
              </w:rPr>
              <w:t>工作时对机房外其他医护人员和公众影响较小。</w:t>
            </w:r>
          </w:p>
          <w:p>
            <w:pPr>
              <w:pStyle w:val="TableParagraph"/>
              <w:spacing w:before="160"/>
              <w:ind w:left="578"/>
              <w:jc w:val="left"/>
              <w:rPr>
                <w:sz w:val="24"/>
              </w:rPr>
            </w:pPr>
            <w:r>
              <w:rPr>
                <w:sz w:val="24"/>
              </w:rPr>
              <w:t>6、隔室操作人员剂量叠加</w:t>
            </w:r>
            <w:r>
              <w:rPr>
                <w:w w:val="50"/>
                <w:sz w:val="24"/>
              </w:rPr>
              <w:t> </w:t>
            </w:r>
          </w:p>
          <w:p>
            <w:pPr>
              <w:pStyle w:val="TableParagraph"/>
              <w:spacing w:before="161"/>
              <w:ind w:left="575"/>
              <w:jc w:val="left"/>
              <w:rPr>
                <w:sz w:val="24"/>
              </w:rPr>
            </w:pPr>
            <w:r>
              <w:rPr>
                <w:spacing w:val="-17"/>
                <w:sz w:val="24"/>
              </w:rPr>
              <w:t>本项目 </w:t>
            </w:r>
            <w:r>
              <w:rPr>
                <w:rFonts w:ascii="Times New Roman" w:eastAsia="Times New Roman"/>
                <w:sz w:val="24"/>
              </w:rPr>
              <w:t>DSA </w:t>
            </w:r>
            <w:r>
              <w:rPr>
                <w:spacing w:val="-16"/>
                <w:sz w:val="24"/>
              </w:rPr>
              <w:t>拟配备的 </w:t>
            </w:r>
            <w:r>
              <w:rPr>
                <w:rFonts w:ascii="Times New Roman" w:eastAsia="Times New Roman"/>
                <w:sz w:val="24"/>
              </w:rPr>
              <w:t>5 </w:t>
            </w:r>
            <w:r>
              <w:rPr>
                <w:spacing w:val="-8"/>
                <w:sz w:val="24"/>
              </w:rPr>
              <w:t>名辐射工作人员，均为医院现有辐射人员，其中赖</w:t>
            </w:r>
            <w:r>
              <w:rPr>
                <w:spacing w:val="-3"/>
                <w:sz w:val="24"/>
              </w:rPr>
              <w:t>**及唐</w:t>
            </w:r>
          </w:p>
          <w:p>
            <w:pPr>
              <w:pStyle w:val="TableParagraph"/>
              <w:spacing w:line="364" w:lineRule="auto" w:before="160"/>
              <w:ind w:left="107" w:right="92"/>
              <w:jc w:val="both"/>
              <w:rPr>
                <w:sz w:val="24"/>
              </w:rPr>
            </w:pPr>
            <w:r>
              <w:rPr>
                <w:spacing w:val="-3"/>
                <w:sz w:val="24"/>
              </w:rPr>
              <w:t>**</w:t>
            </w:r>
            <w:r>
              <w:rPr>
                <w:spacing w:val="-10"/>
                <w:sz w:val="24"/>
              </w:rPr>
              <w:t>调配至本项目参与今后 </w:t>
            </w:r>
            <w:r>
              <w:rPr>
                <w:rFonts w:ascii="Times New Roman" w:eastAsia="Times New Roman"/>
                <w:spacing w:val="-3"/>
                <w:sz w:val="24"/>
              </w:rPr>
              <w:t>DSA </w:t>
            </w:r>
            <w:r>
              <w:rPr>
                <w:spacing w:val="-8"/>
                <w:sz w:val="24"/>
              </w:rPr>
              <w:t>相关工作；梁</w:t>
            </w:r>
            <w:r>
              <w:rPr>
                <w:spacing w:val="-4"/>
                <w:sz w:val="24"/>
              </w:rPr>
              <w:t>**</w:t>
            </w:r>
            <w:r>
              <w:rPr>
                <w:spacing w:val="-5"/>
                <w:sz w:val="24"/>
              </w:rPr>
              <w:t>、廖*</w:t>
            </w:r>
            <w:r>
              <w:rPr>
                <w:spacing w:val="-7"/>
                <w:sz w:val="24"/>
              </w:rPr>
              <w:t>、肖</w:t>
            </w:r>
            <w:r>
              <w:rPr>
                <w:spacing w:val="-3"/>
                <w:sz w:val="24"/>
              </w:rPr>
              <w:t>*</w:t>
            </w:r>
            <w:r>
              <w:rPr>
                <w:spacing w:val="-8"/>
                <w:sz w:val="24"/>
              </w:rPr>
              <w:t>近一年均未从事过相关辐射</w:t>
            </w:r>
            <w:r>
              <w:rPr>
                <w:spacing w:val="-14"/>
                <w:sz w:val="24"/>
              </w:rPr>
              <w:t>工作，考虑到剂量叠加问题，故对本项目拟配备的 </w:t>
            </w:r>
            <w:r>
              <w:rPr>
                <w:rFonts w:ascii="Times New Roman" w:eastAsia="Times New Roman"/>
                <w:sz w:val="24"/>
              </w:rPr>
              <w:t>5 </w:t>
            </w:r>
            <w:r>
              <w:rPr>
                <w:spacing w:val="-8"/>
                <w:sz w:val="24"/>
              </w:rPr>
              <w:t>名辐射工人员所受年有效剂量进行</w:t>
            </w:r>
            <w:r>
              <w:rPr>
                <w:spacing w:val="-6"/>
                <w:sz w:val="24"/>
              </w:rPr>
              <w:t>叠加估算。</w:t>
            </w:r>
          </w:p>
          <w:p>
            <w:pPr>
              <w:pStyle w:val="TableParagraph"/>
              <w:spacing w:before="2"/>
              <w:ind w:left="575"/>
              <w:jc w:val="left"/>
              <w:rPr>
                <w:sz w:val="24"/>
              </w:rPr>
            </w:pPr>
            <w:r>
              <w:rPr>
                <w:spacing w:val="-9"/>
                <w:sz w:val="24"/>
              </w:rPr>
              <w:t>根据医院提 </w:t>
            </w:r>
            <w:r>
              <w:rPr>
                <w:rFonts w:ascii="Times New Roman" w:eastAsia="Times New Roman"/>
                <w:spacing w:val="-3"/>
                <w:sz w:val="24"/>
              </w:rPr>
              <w:t>2020 </w:t>
            </w:r>
            <w:r>
              <w:rPr>
                <w:spacing w:val="-9"/>
                <w:sz w:val="24"/>
              </w:rPr>
              <w:t>年第四季度及 </w:t>
            </w:r>
            <w:r>
              <w:rPr>
                <w:rFonts w:ascii="Times New Roman" w:eastAsia="Times New Roman"/>
                <w:spacing w:val="-3"/>
                <w:sz w:val="24"/>
              </w:rPr>
              <w:t>2021 </w:t>
            </w:r>
            <w:r>
              <w:rPr>
                <w:spacing w:val="-8"/>
                <w:sz w:val="24"/>
              </w:rPr>
              <w:t>年第一、第二及第三季度个人剂量检测报告</w:t>
            </w:r>
          </w:p>
          <w:p>
            <w:pPr>
              <w:pStyle w:val="TableParagraph"/>
              <w:spacing w:before="161"/>
              <w:ind w:left="107"/>
              <w:jc w:val="left"/>
              <w:rPr>
                <w:sz w:val="24"/>
              </w:rPr>
            </w:pPr>
            <w:r>
              <w:rPr>
                <w:sz w:val="24"/>
              </w:rPr>
              <w:t>（</w:t>
            </w:r>
            <w:r>
              <w:rPr>
                <w:spacing w:val="-16"/>
                <w:sz w:val="24"/>
              </w:rPr>
              <w:t>见附件 </w:t>
            </w:r>
            <w:r>
              <w:rPr>
                <w:rFonts w:ascii="Times New Roman" w:eastAsia="Times New Roman"/>
                <w:sz w:val="24"/>
              </w:rPr>
              <w:t>6</w:t>
            </w:r>
            <w:r>
              <w:rPr>
                <w:spacing w:val="-120"/>
                <w:sz w:val="24"/>
              </w:rPr>
              <w:t>）</w:t>
            </w:r>
            <w:r>
              <w:rPr>
                <w:spacing w:val="-10"/>
                <w:sz w:val="24"/>
              </w:rPr>
              <w:t>，剂量叠加计算结果列入表 </w:t>
            </w:r>
            <w:r>
              <w:rPr>
                <w:rFonts w:ascii="Times New Roman" w:eastAsia="Times New Roman"/>
                <w:spacing w:val="-5"/>
                <w:sz w:val="24"/>
              </w:rPr>
              <w:t>1</w:t>
            </w:r>
            <w:r>
              <w:rPr>
                <w:rFonts w:ascii="Times New Roman" w:eastAsia="Times New Roman"/>
                <w:spacing w:val="-3"/>
                <w:sz w:val="24"/>
              </w:rPr>
              <w:t>1</w:t>
            </w:r>
            <w:r>
              <w:rPr>
                <w:rFonts w:ascii="Times New Roman" w:eastAsia="Times New Roman"/>
                <w:spacing w:val="-4"/>
                <w:sz w:val="24"/>
              </w:rPr>
              <w:t>-</w:t>
            </w:r>
            <w:r>
              <w:rPr>
                <w:rFonts w:ascii="Times New Roman" w:eastAsia="Times New Roman"/>
                <w:sz w:val="24"/>
              </w:rPr>
              <w:t>7</w:t>
            </w:r>
            <w:r>
              <w:rPr>
                <w:rFonts w:ascii="Times New Roman" w:eastAsia="Times New Roman"/>
                <w:spacing w:val="-5"/>
                <w:sz w:val="24"/>
              </w:rPr>
              <w:t> </w:t>
            </w:r>
            <w:r>
              <w:rPr>
                <w:spacing w:val="-3"/>
                <w:sz w:val="24"/>
              </w:rPr>
              <w:t>中。</w:t>
            </w:r>
          </w:p>
          <w:p>
            <w:pPr>
              <w:pStyle w:val="TableParagraph"/>
              <w:spacing w:before="101"/>
              <w:ind w:left="1979"/>
              <w:jc w:val="left"/>
              <w:rPr>
                <w:sz w:val="21"/>
              </w:rPr>
            </w:pPr>
            <w:r>
              <w:rPr>
                <w:sz w:val="21"/>
              </w:rPr>
              <w:t>表 </w:t>
            </w:r>
            <w:r>
              <w:rPr>
                <w:rFonts w:ascii="Times New Roman" w:eastAsia="Times New Roman"/>
                <w:sz w:val="21"/>
              </w:rPr>
              <w:t>11-7 </w:t>
            </w:r>
            <w:r>
              <w:rPr>
                <w:sz w:val="21"/>
              </w:rPr>
              <w:t>本项目隔室操作辐射工作人员剂量叠加计算结果</w:t>
            </w: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jc w:val="left"/>
              <w:rPr>
                <w:sz w:val="26"/>
              </w:rPr>
            </w:pPr>
          </w:p>
          <w:p>
            <w:pPr>
              <w:pStyle w:val="TableParagraph"/>
              <w:spacing w:before="6"/>
              <w:jc w:val="left"/>
              <w:rPr>
                <w:sz w:val="33"/>
              </w:rPr>
            </w:pPr>
          </w:p>
          <w:p>
            <w:pPr>
              <w:pStyle w:val="TableParagraph"/>
              <w:spacing w:line="460" w:lineRule="atLeast"/>
              <w:ind w:left="107" w:right="31" w:firstLine="480"/>
              <w:jc w:val="left"/>
              <w:rPr>
                <w:sz w:val="24"/>
              </w:rPr>
            </w:pPr>
            <w:r>
              <w:rPr>
                <w:sz w:val="24"/>
              </w:rPr>
              <w:t>综上所述，结合表 </w:t>
            </w:r>
            <w:r>
              <w:rPr>
                <w:rFonts w:ascii="Times New Roman" w:eastAsia="Times New Roman"/>
                <w:sz w:val="24"/>
              </w:rPr>
              <w:t>11-6 </w:t>
            </w:r>
            <w:r>
              <w:rPr>
                <w:sz w:val="24"/>
              </w:rPr>
              <w:t>及表 </w:t>
            </w:r>
            <w:r>
              <w:rPr>
                <w:rFonts w:ascii="Times New Roman" w:eastAsia="Times New Roman"/>
                <w:sz w:val="24"/>
              </w:rPr>
              <w:t>11-7 </w:t>
            </w:r>
            <w:r>
              <w:rPr>
                <w:sz w:val="24"/>
              </w:rPr>
              <w:t>估算结果，本项目介入治疗室隔室操作辐射工作人员所受到的最大年有效剂量为 </w:t>
            </w:r>
            <w:r>
              <w:rPr>
                <w:rFonts w:ascii="Times New Roman" w:eastAsia="Times New Roman"/>
                <w:sz w:val="24"/>
              </w:rPr>
              <w:t>0.09mSv/a</w:t>
            </w:r>
            <w:r>
              <w:rPr>
                <w:sz w:val="24"/>
              </w:rPr>
              <w:t>；本项目手术室内床旁操作辐射工作人</w:t>
            </w:r>
          </w:p>
        </w:tc>
      </w:tr>
    </w:tbl>
    <w:p>
      <w:pPr>
        <w:rPr>
          <w:sz w:val="2"/>
          <w:szCs w:val="2"/>
        </w:rPr>
      </w:pPr>
      <w:r>
        <w:rPr/>
        <w:pict>
          <v:shape style="position:absolute;margin-left:84.359985pt;margin-top:567.599976pt;width:450.15pt;height:157.2pt;mso-position-horizontal-relative:page;mso-position-vertical-relative:page;z-index:2080" type="#_x0000_t202" filled="false" stroked="false">
            <v:textbox inset="0,0,0,0">
              <w:txbxContent>
                <w:tbl>
                  <w:tblPr>
                    <w:tblW w:w="0" w:type="auto"/>
                    <w:jc w:val="left"/>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8"/>
                    <w:gridCol w:w="1558"/>
                    <w:gridCol w:w="994"/>
                    <w:gridCol w:w="1416"/>
                    <w:gridCol w:w="994"/>
                    <w:gridCol w:w="713"/>
                    <w:gridCol w:w="711"/>
                    <w:gridCol w:w="711"/>
                    <w:gridCol w:w="1217"/>
                  </w:tblGrid>
                  <w:tr>
                    <w:trPr>
                      <w:trHeight w:val="327" w:hRule="atLeast"/>
                    </w:trPr>
                    <w:tc>
                      <w:tcPr>
                        <w:tcW w:w="3200" w:type="dxa"/>
                        <w:gridSpan w:val="3"/>
                        <w:vMerge w:val="restart"/>
                        <w:tcBorders>
                          <w:left w:val="nil"/>
                          <w:right w:val="single" w:sz="4" w:space="0" w:color="000000"/>
                        </w:tcBorders>
                      </w:tcPr>
                      <w:p>
                        <w:pPr>
                          <w:pStyle w:val="TableParagraph"/>
                          <w:jc w:val="left"/>
                          <w:rPr>
                            <w:sz w:val="24"/>
                          </w:rPr>
                        </w:pPr>
                      </w:p>
                      <w:p>
                        <w:pPr>
                          <w:pStyle w:val="TableParagraph"/>
                          <w:spacing w:before="8"/>
                          <w:jc w:val="left"/>
                          <w:rPr>
                            <w:sz w:val="17"/>
                          </w:rPr>
                        </w:pPr>
                      </w:p>
                      <w:p>
                        <w:pPr>
                          <w:pStyle w:val="TableParagraph"/>
                          <w:ind w:left="1176" w:right="1138"/>
                          <w:rPr>
                            <w:sz w:val="21"/>
                          </w:rPr>
                        </w:pPr>
                        <w:r>
                          <w:rPr>
                            <w:sz w:val="21"/>
                          </w:rPr>
                          <w:t>保护目标</w:t>
                        </w:r>
                      </w:p>
                    </w:tc>
                    <w:tc>
                      <w:tcPr>
                        <w:tcW w:w="1416" w:type="dxa"/>
                        <w:vMerge w:val="restart"/>
                        <w:tcBorders>
                          <w:left w:val="single" w:sz="4" w:space="0" w:color="000000"/>
                          <w:right w:val="single" w:sz="4" w:space="0" w:color="000000"/>
                        </w:tcBorders>
                      </w:tcPr>
                      <w:p>
                        <w:pPr>
                          <w:pStyle w:val="TableParagraph"/>
                          <w:spacing w:line="278" w:lineRule="auto" w:before="65"/>
                          <w:ind w:left="179" w:right="146"/>
                          <w:rPr>
                            <w:sz w:val="21"/>
                          </w:rPr>
                        </w:pPr>
                        <w:r>
                          <w:rPr>
                            <w:sz w:val="21"/>
                          </w:rPr>
                          <w:t>本项目理论预测年有效剂量</w:t>
                        </w:r>
                      </w:p>
                      <w:p>
                        <w:pPr>
                          <w:pStyle w:val="TableParagraph"/>
                          <w:spacing w:line="269" w:lineRule="exact"/>
                          <w:ind w:left="178" w:right="146"/>
                          <w:rPr>
                            <w:sz w:val="21"/>
                          </w:rPr>
                        </w:pPr>
                        <w:r>
                          <w:rPr>
                            <w:sz w:val="21"/>
                          </w:rPr>
                          <w:t>（</w:t>
                        </w:r>
                        <w:r>
                          <w:rPr>
                            <w:rFonts w:ascii="Times New Roman" w:eastAsia="Times New Roman"/>
                            <w:sz w:val="21"/>
                          </w:rPr>
                          <w:t>mSv/a</w:t>
                        </w:r>
                        <w:r>
                          <w:rPr>
                            <w:sz w:val="21"/>
                          </w:rPr>
                          <w:t>）</w:t>
                        </w:r>
                      </w:p>
                    </w:tc>
                    <w:tc>
                      <w:tcPr>
                        <w:tcW w:w="3129" w:type="dxa"/>
                        <w:gridSpan w:val="4"/>
                        <w:tcBorders>
                          <w:left w:val="single" w:sz="4" w:space="0" w:color="000000"/>
                          <w:bottom w:val="single" w:sz="4" w:space="0" w:color="000000"/>
                          <w:right w:val="single" w:sz="4" w:space="0" w:color="000000"/>
                        </w:tcBorders>
                      </w:tcPr>
                      <w:p>
                        <w:pPr>
                          <w:pStyle w:val="TableParagraph"/>
                          <w:spacing w:before="34"/>
                          <w:ind w:left="176"/>
                          <w:jc w:val="left"/>
                          <w:rPr>
                            <w:sz w:val="21"/>
                          </w:rPr>
                        </w:pPr>
                        <w:r>
                          <w:rPr>
                            <w:sz w:val="21"/>
                          </w:rPr>
                          <w:t>个人剂量监测报告值（</w:t>
                        </w:r>
                        <w:r>
                          <w:rPr>
                            <w:rFonts w:ascii="Times New Roman" w:eastAsia="Times New Roman"/>
                            <w:sz w:val="21"/>
                          </w:rPr>
                          <w:t>mSv/a</w:t>
                        </w:r>
                        <w:r>
                          <w:rPr>
                            <w:sz w:val="21"/>
                          </w:rPr>
                          <w:t>）</w:t>
                        </w:r>
                      </w:p>
                    </w:tc>
                    <w:tc>
                      <w:tcPr>
                        <w:tcW w:w="1217" w:type="dxa"/>
                        <w:vMerge w:val="restart"/>
                        <w:tcBorders>
                          <w:left w:val="single" w:sz="4" w:space="0" w:color="000000"/>
                          <w:right w:val="nil"/>
                        </w:tcBorders>
                      </w:tcPr>
                      <w:p>
                        <w:pPr>
                          <w:pStyle w:val="TableParagraph"/>
                          <w:spacing w:before="3"/>
                          <w:jc w:val="left"/>
                          <w:rPr>
                            <w:sz w:val="17"/>
                          </w:rPr>
                        </w:pPr>
                      </w:p>
                      <w:p>
                        <w:pPr>
                          <w:pStyle w:val="TableParagraph"/>
                          <w:spacing w:line="278" w:lineRule="auto"/>
                          <w:ind w:left="405" w:right="173" w:hanging="212"/>
                          <w:jc w:val="left"/>
                          <w:rPr>
                            <w:sz w:val="21"/>
                          </w:rPr>
                        </w:pPr>
                        <w:r>
                          <w:rPr>
                            <w:sz w:val="21"/>
                          </w:rPr>
                          <w:t>年有效剂叠加</w:t>
                        </w:r>
                      </w:p>
                      <w:p>
                        <w:pPr>
                          <w:pStyle w:val="TableParagraph"/>
                          <w:spacing w:line="269" w:lineRule="exact"/>
                          <w:ind w:left="150"/>
                          <w:jc w:val="left"/>
                          <w:rPr>
                            <w:sz w:val="21"/>
                          </w:rPr>
                        </w:pPr>
                        <w:r>
                          <w:rPr>
                            <w:sz w:val="21"/>
                          </w:rPr>
                          <w:t>（</w:t>
                        </w:r>
                        <w:r>
                          <w:rPr>
                            <w:rFonts w:ascii="Times New Roman" w:eastAsia="Times New Roman"/>
                            <w:sz w:val="21"/>
                          </w:rPr>
                          <w:t>mSv/a</w:t>
                        </w:r>
                        <w:r>
                          <w:rPr>
                            <w:sz w:val="21"/>
                          </w:rPr>
                          <w:t>）</w:t>
                        </w:r>
                      </w:p>
                    </w:tc>
                  </w:tr>
                  <w:tr>
                    <w:trPr>
                      <w:trHeight w:val="310" w:hRule="atLeast"/>
                    </w:trPr>
                    <w:tc>
                      <w:tcPr>
                        <w:tcW w:w="3200" w:type="dxa"/>
                        <w:gridSpan w:val="3"/>
                        <w:vMerge/>
                        <w:tcBorders>
                          <w:top w:val="nil"/>
                          <w:left w:val="nil"/>
                          <w:right w:val="single" w:sz="4" w:space="0" w:color="000000"/>
                        </w:tcBorders>
                      </w:tcPr>
                      <w:p>
                        <w:pPr>
                          <w:rPr>
                            <w:sz w:val="2"/>
                            <w:szCs w:val="2"/>
                          </w:rPr>
                        </w:pPr>
                      </w:p>
                    </w:tc>
                    <w:tc>
                      <w:tcPr>
                        <w:tcW w:w="1416"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31"/>
                          <w:ind w:left="145" w:right="116"/>
                          <w:rPr>
                            <w:sz w:val="21"/>
                          </w:rPr>
                        </w:pPr>
                        <w:r>
                          <w:rPr>
                            <w:rFonts w:ascii="Times New Roman" w:eastAsia="Times New Roman"/>
                            <w:sz w:val="21"/>
                          </w:rPr>
                          <w:t>2020 </w:t>
                        </w:r>
                        <w:r>
                          <w:rPr>
                            <w:sz w:val="21"/>
                          </w:rPr>
                          <w:t>年</w:t>
                        </w:r>
                      </w:p>
                    </w:tc>
                    <w:tc>
                      <w:tcPr>
                        <w:tcW w:w="2135" w:type="dxa"/>
                        <w:gridSpan w:val="3"/>
                        <w:tcBorders>
                          <w:top w:val="single" w:sz="4" w:space="0" w:color="000000"/>
                          <w:left w:val="single" w:sz="4" w:space="0" w:color="000000"/>
                          <w:bottom w:val="single" w:sz="4" w:space="0" w:color="000000"/>
                          <w:right w:val="single" w:sz="4" w:space="0" w:color="000000"/>
                        </w:tcBorders>
                      </w:tcPr>
                      <w:p>
                        <w:pPr>
                          <w:pStyle w:val="TableParagraph"/>
                          <w:spacing w:line="259" w:lineRule="exact" w:before="31"/>
                          <w:ind w:left="733"/>
                          <w:jc w:val="left"/>
                          <w:rPr>
                            <w:sz w:val="21"/>
                          </w:rPr>
                        </w:pPr>
                        <w:r>
                          <w:rPr>
                            <w:rFonts w:ascii="Times New Roman" w:eastAsia="Times New Roman"/>
                            <w:sz w:val="21"/>
                          </w:rPr>
                          <w:t>2021 </w:t>
                        </w:r>
                        <w:r>
                          <w:rPr>
                            <w:sz w:val="21"/>
                          </w:rPr>
                          <w:t>年</w:t>
                        </w:r>
                      </w:p>
                    </w:tc>
                    <w:tc>
                      <w:tcPr>
                        <w:tcW w:w="1217" w:type="dxa"/>
                        <w:vMerge/>
                        <w:tcBorders>
                          <w:top w:val="nil"/>
                          <w:left w:val="single" w:sz="4" w:space="0" w:color="000000"/>
                          <w:right w:val="nil"/>
                        </w:tcBorders>
                      </w:tcPr>
                      <w:p>
                        <w:pPr>
                          <w:rPr>
                            <w:sz w:val="2"/>
                            <w:szCs w:val="2"/>
                          </w:rPr>
                        </w:pPr>
                      </w:p>
                    </w:tc>
                  </w:tr>
                  <w:tr>
                    <w:trPr>
                      <w:trHeight w:val="634" w:hRule="atLeast"/>
                    </w:trPr>
                    <w:tc>
                      <w:tcPr>
                        <w:tcW w:w="3200" w:type="dxa"/>
                        <w:gridSpan w:val="3"/>
                        <w:vMerge/>
                        <w:tcBorders>
                          <w:top w:val="nil"/>
                          <w:left w:val="nil"/>
                          <w:right w:val="single" w:sz="4" w:space="0" w:color="000000"/>
                        </w:tcBorders>
                      </w:tcPr>
                      <w:p>
                        <w:pPr>
                          <w:rPr>
                            <w:sz w:val="2"/>
                            <w:szCs w:val="2"/>
                          </w:rPr>
                        </w:pPr>
                      </w:p>
                    </w:tc>
                    <w:tc>
                      <w:tcPr>
                        <w:tcW w:w="1416"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right w:val="single" w:sz="4" w:space="0" w:color="000000"/>
                        </w:tcBorders>
                      </w:tcPr>
                      <w:p>
                        <w:pPr>
                          <w:pStyle w:val="TableParagraph"/>
                          <w:spacing w:before="34"/>
                          <w:ind w:left="294"/>
                          <w:jc w:val="left"/>
                          <w:rPr>
                            <w:sz w:val="21"/>
                          </w:rPr>
                        </w:pPr>
                        <w:r>
                          <w:rPr>
                            <w:sz w:val="21"/>
                          </w:rPr>
                          <w:t>第四</w:t>
                        </w:r>
                      </w:p>
                      <w:p>
                        <w:pPr>
                          <w:pStyle w:val="TableParagraph"/>
                          <w:spacing w:line="269" w:lineRule="exact" w:before="43"/>
                          <w:ind w:left="294"/>
                          <w:jc w:val="left"/>
                          <w:rPr>
                            <w:sz w:val="21"/>
                          </w:rPr>
                        </w:pPr>
                        <w:r>
                          <w:rPr>
                            <w:sz w:val="21"/>
                          </w:rPr>
                          <w:t>季度</w:t>
                        </w:r>
                      </w:p>
                    </w:tc>
                    <w:tc>
                      <w:tcPr>
                        <w:tcW w:w="713" w:type="dxa"/>
                        <w:tcBorders>
                          <w:top w:val="single" w:sz="4" w:space="0" w:color="000000"/>
                          <w:left w:val="single" w:sz="4" w:space="0" w:color="000000"/>
                          <w:right w:val="single" w:sz="4" w:space="0" w:color="000000"/>
                        </w:tcBorders>
                      </w:tcPr>
                      <w:p>
                        <w:pPr>
                          <w:pStyle w:val="TableParagraph"/>
                          <w:spacing w:before="34"/>
                          <w:ind w:left="154"/>
                          <w:jc w:val="left"/>
                          <w:rPr>
                            <w:sz w:val="21"/>
                          </w:rPr>
                        </w:pPr>
                        <w:r>
                          <w:rPr>
                            <w:sz w:val="21"/>
                          </w:rPr>
                          <w:t>第一</w:t>
                        </w:r>
                      </w:p>
                      <w:p>
                        <w:pPr>
                          <w:pStyle w:val="TableParagraph"/>
                          <w:spacing w:line="269" w:lineRule="exact" w:before="43"/>
                          <w:ind w:left="154"/>
                          <w:jc w:val="left"/>
                          <w:rPr>
                            <w:sz w:val="21"/>
                          </w:rPr>
                        </w:pPr>
                        <w:r>
                          <w:rPr>
                            <w:sz w:val="21"/>
                          </w:rPr>
                          <w:t>季度</w:t>
                        </w:r>
                      </w:p>
                    </w:tc>
                    <w:tc>
                      <w:tcPr>
                        <w:tcW w:w="711" w:type="dxa"/>
                        <w:tcBorders>
                          <w:top w:val="single" w:sz="4" w:space="0" w:color="000000"/>
                          <w:left w:val="single" w:sz="4" w:space="0" w:color="000000"/>
                          <w:right w:val="single" w:sz="4" w:space="0" w:color="000000"/>
                        </w:tcBorders>
                      </w:tcPr>
                      <w:p>
                        <w:pPr>
                          <w:pStyle w:val="TableParagraph"/>
                          <w:spacing w:before="34"/>
                          <w:ind w:left="151"/>
                          <w:jc w:val="left"/>
                          <w:rPr>
                            <w:sz w:val="21"/>
                          </w:rPr>
                        </w:pPr>
                        <w:r>
                          <w:rPr>
                            <w:sz w:val="21"/>
                          </w:rPr>
                          <w:t>第二</w:t>
                        </w:r>
                      </w:p>
                      <w:p>
                        <w:pPr>
                          <w:pStyle w:val="TableParagraph"/>
                          <w:spacing w:line="269" w:lineRule="exact" w:before="43"/>
                          <w:ind w:left="151"/>
                          <w:jc w:val="left"/>
                          <w:rPr>
                            <w:sz w:val="21"/>
                          </w:rPr>
                        </w:pPr>
                        <w:r>
                          <w:rPr>
                            <w:sz w:val="21"/>
                          </w:rPr>
                          <w:t>季度</w:t>
                        </w:r>
                      </w:p>
                    </w:tc>
                    <w:tc>
                      <w:tcPr>
                        <w:tcW w:w="711" w:type="dxa"/>
                        <w:tcBorders>
                          <w:top w:val="single" w:sz="4" w:space="0" w:color="000000"/>
                          <w:left w:val="single" w:sz="4" w:space="0" w:color="000000"/>
                          <w:right w:val="single" w:sz="4" w:space="0" w:color="000000"/>
                        </w:tcBorders>
                      </w:tcPr>
                      <w:p>
                        <w:pPr>
                          <w:pStyle w:val="TableParagraph"/>
                          <w:spacing w:before="34"/>
                          <w:ind w:left="151"/>
                          <w:jc w:val="left"/>
                          <w:rPr>
                            <w:sz w:val="21"/>
                          </w:rPr>
                        </w:pPr>
                        <w:r>
                          <w:rPr>
                            <w:sz w:val="21"/>
                          </w:rPr>
                          <w:t>第三</w:t>
                        </w:r>
                      </w:p>
                      <w:p>
                        <w:pPr>
                          <w:pStyle w:val="TableParagraph"/>
                          <w:spacing w:line="269" w:lineRule="exact" w:before="43"/>
                          <w:ind w:left="151"/>
                          <w:jc w:val="left"/>
                          <w:rPr>
                            <w:sz w:val="21"/>
                          </w:rPr>
                        </w:pPr>
                        <w:r>
                          <w:rPr>
                            <w:sz w:val="21"/>
                          </w:rPr>
                          <w:t>季度</w:t>
                        </w:r>
                      </w:p>
                    </w:tc>
                    <w:tc>
                      <w:tcPr>
                        <w:tcW w:w="1217" w:type="dxa"/>
                        <w:vMerge/>
                        <w:tcBorders>
                          <w:top w:val="nil"/>
                          <w:left w:val="single" w:sz="4" w:space="0" w:color="000000"/>
                          <w:right w:val="nil"/>
                        </w:tcBorders>
                      </w:tcPr>
                      <w:p>
                        <w:pPr>
                          <w:rPr>
                            <w:sz w:val="2"/>
                            <w:szCs w:val="2"/>
                          </w:rPr>
                        </w:pPr>
                      </w:p>
                    </w:tc>
                  </w:tr>
                  <w:tr>
                    <w:trPr>
                      <w:trHeight w:val="344" w:hRule="atLeast"/>
                    </w:trPr>
                    <w:tc>
                      <w:tcPr>
                        <w:tcW w:w="648" w:type="dxa"/>
                        <w:vMerge w:val="restart"/>
                        <w:tcBorders>
                          <w:left w:val="nil"/>
                          <w:right w:val="single" w:sz="4" w:space="0" w:color="000000"/>
                        </w:tcBorders>
                      </w:tcPr>
                      <w:p>
                        <w:pPr>
                          <w:pStyle w:val="TableParagraph"/>
                          <w:spacing w:before="5"/>
                          <w:jc w:val="left"/>
                          <w:rPr>
                            <w:sz w:val="32"/>
                          </w:rPr>
                        </w:pPr>
                      </w:p>
                      <w:p>
                        <w:pPr>
                          <w:pStyle w:val="TableParagraph"/>
                          <w:spacing w:line="278" w:lineRule="auto"/>
                          <w:ind w:left="134" w:right="90"/>
                          <w:jc w:val="both"/>
                          <w:rPr>
                            <w:sz w:val="21"/>
                          </w:rPr>
                        </w:pPr>
                        <w:r>
                          <w:rPr>
                            <w:spacing w:val="-12"/>
                            <w:sz w:val="21"/>
                          </w:rPr>
                          <w:t>辐射工作人员</w:t>
                        </w:r>
                      </w:p>
                    </w:tc>
                    <w:tc>
                      <w:tcPr>
                        <w:tcW w:w="1558" w:type="dxa"/>
                        <w:vMerge w:val="restart"/>
                        <w:tcBorders>
                          <w:left w:val="single" w:sz="4" w:space="0" w:color="000000"/>
                          <w:bottom w:val="single" w:sz="4" w:space="0" w:color="000000"/>
                          <w:right w:val="single" w:sz="4" w:space="0" w:color="000000"/>
                        </w:tcBorders>
                      </w:tcPr>
                      <w:p>
                        <w:pPr>
                          <w:pStyle w:val="TableParagraph"/>
                          <w:jc w:val="left"/>
                          <w:rPr>
                            <w:sz w:val="18"/>
                          </w:rPr>
                        </w:pPr>
                      </w:p>
                      <w:p>
                        <w:pPr>
                          <w:pStyle w:val="TableParagraph"/>
                          <w:spacing w:line="278" w:lineRule="auto"/>
                          <w:ind w:left="261" w:right="124" w:hanging="104"/>
                          <w:jc w:val="left"/>
                          <w:rPr>
                            <w:sz w:val="21"/>
                          </w:rPr>
                        </w:pPr>
                        <w:r>
                          <w:rPr>
                            <w:sz w:val="21"/>
                          </w:rPr>
                          <w:t>外周手术及冠脉支架植入</w:t>
                        </w:r>
                      </w:p>
                    </w:tc>
                    <w:tc>
                      <w:tcPr>
                        <w:tcW w:w="994" w:type="dxa"/>
                        <w:tcBorders>
                          <w:left w:val="single" w:sz="4" w:space="0" w:color="000000"/>
                          <w:bottom w:val="single" w:sz="4" w:space="0" w:color="000000"/>
                          <w:right w:val="single" w:sz="4" w:space="0" w:color="000000"/>
                        </w:tcBorders>
                      </w:tcPr>
                      <w:p>
                        <w:pPr>
                          <w:pStyle w:val="TableParagraph"/>
                          <w:spacing w:before="22"/>
                          <w:ind w:right="266"/>
                          <w:jc w:val="right"/>
                          <w:rPr>
                            <w:rFonts w:ascii="Times New Roman" w:eastAsia="Times New Roman"/>
                            <w:sz w:val="21"/>
                          </w:rPr>
                        </w:pPr>
                        <w:r>
                          <w:rPr>
                            <w:sz w:val="21"/>
                          </w:rPr>
                          <w:t>梁</w:t>
                        </w:r>
                        <w:r>
                          <w:rPr>
                            <w:rFonts w:ascii="Times New Roman" w:eastAsia="Times New Roman"/>
                            <w:sz w:val="21"/>
                          </w:rPr>
                          <w:t>**</w:t>
                        </w:r>
                      </w:p>
                    </w:tc>
                    <w:tc>
                      <w:tcPr>
                        <w:tcW w:w="1416" w:type="dxa"/>
                        <w:tcBorders>
                          <w:left w:val="single" w:sz="4" w:space="0" w:color="000000"/>
                          <w:bottom w:val="single" w:sz="4" w:space="0" w:color="000000"/>
                          <w:right w:val="single" w:sz="4" w:space="0" w:color="000000"/>
                        </w:tcBorders>
                      </w:tcPr>
                      <w:p>
                        <w:pPr>
                          <w:pStyle w:val="TableParagraph"/>
                          <w:spacing w:before="57"/>
                          <w:ind w:left="177" w:right="146"/>
                          <w:rPr>
                            <w:rFonts w:ascii="Times New Roman"/>
                            <w:sz w:val="21"/>
                          </w:rPr>
                        </w:pPr>
                        <w:r>
                          <w:rPr>
                            <w:rFonts w:ascii="Times New Roman"/>
                            <w:sz w:val="21"/>
                          </w:rPr>
                          <w:t>1.56</w:t>
                        </w:r>
                      </w:p>
                    </w:tc>
                    <w:tc>
                      <w:tcPr>
                        <w:tcW w:w="994" w:type="dxa"/>
                        <w:tcBorders>
                          <w:left w:val="single" w:sz="4" w:space="0" w:color="000000"/>
                          <w:bottom w:val="single" w:sz="4" w:space="0" w:color="000000"/>
                          <w:right w:val="single" w:sz="4" w:space="0" w:color="000000"/>
                        </w:tcBorders>
                      </w:tcPr>
                      <w:p>
                        <w:pPr>
                          <w:pStyle w:val="TableParagraph"/>
                          <w:spacing w:before="57"/>
                          <w:ind w:left="31"/>
                          <w:rPr>
                            <w:rFonts w:ascii="Times New Roman"/>
                            <w:sz w:val="21"/>
                          </w:rPr>
                        </w:pPr>
                        <w:r>
                          <w:rPr>
                            <w:rFonts w:ascii="Times New Roman"/>
                            <w:w w:val="100"/>
                            <w:sz w:val="21"/>
                          </w:rPr>
                          <w:t>-</w:t>
                        </w:r>
                      </w:p>
                    </w:tc>
                    <w:tc>
                      <w:tcPr>
                        <w:tcW w:w="713" w:type="dxa"/>
                        <w:tcBorders>
                          <w:left w:val="single" w:sz="4" w:space="0" w:color="000000"/>
                          <w:bottom w:val="single" w:sz="4" w:space="0" w:color="000000"/>
                          <w:right w:val="single" w:sz="4" w:space="0" w:color="000000"/>
                        </w:tcBorders>
                      </w:tcPr>
                      <w:p>
                        <w:pPr>
                          <w:pStyle w:val="TableParagraph"/>
                          <w:spacing w:before="57"/>
                          <w:ind w:left="26"/>
                          <w:rPr>
                            <w:rFonts w:ascii="Times New Roman"/>
                            <w:sz w:val="21"/>
                          </w:rPr>
                        </w:pPr>
                        <w:r>
                          <w:rPr>
                            <w:rFonts w:ascii="Times New Roman"/>
                            <w:w w:val="100"/>
                            <w:sz w:val="21"/>
                          </w:rPr>
                          <w:t>-</w:t>
                        </w:r>
                      </w:p>
                    </w:tc>
                    <w:tc>
                      <w:tcPr>
                        <w:tcW w:w="711" w:type="dxa"/>
                        <w:tcBorders>
                          <w:left w:val="single" w:sz="4" w:space="0" w:color="000000"/>
                          <w:bottom w:val="single" w:sz="4" w:space="0" w:color="000000"/>
                          <w:right w:val="single" w:sz="4" w:space="0" w:color="000000"/>
                        </w:tcBorders>
                      </w:tcPr>
                      <w:p>
                        <w:pPr>
                          <w:pStyle w:val="TableParagraph"/>
                          <w:spacing w:before="57"/>
                          <w:ind w:left="26"/>
                          <w:rPr>
                            <w:rFonts w:ascii="Times New Roman"/>
                            <w:sz w:val="21"/>
                          </w:rPr>
                        </w:pPr>
                        <w:r>
                          <w:rPr>
                            <w:rFonts w:ascii="Times New Roman"/>
                            <w:w w:val="100"/>
                            <w:sz w:val="21"/>
                          </w:rPr>
                          <w:t>-</w:t>
                        </w:r>
                      </w:p>
                    </w:tc>
                    <w:tc>
                      <w:tcPr>
                        <w:tcW w:w="711" w:type="dxa"/>
                        <w:tcBorders>
                          <w:left w:val="single" w:sz="4" w:space="0" w:color="000000"/>
                          <w:bottom w:val="single" w:sz="4" w:space="0" w:color="000000"/>
                          <w:right w:val="single" w:sz="4" w:space="0" w:color="000000"/>
                        </w:tcBorders>
                      </w:tcPr>
                      <w:p>
                        <w:pPr>
                          <w:pStyle w:val="TableParagraph"/>
                          <w:spacing w:before="57"/>
                          <w:ind w:left="27"/>
                          <w:rPr>
                            <w:rFonts w:ascii="Times New Roman"/>
                            <w:sz w:val="21"/>
                          </w:rPr>
                        </w:pPr>
                        <w:r>
                          <w:rPr>
                            <w:rFonts w:ascii="Times New Roman"/>
                            <w:w w:val="100"/>
                            <w:sz w:val="21"/>
                          </w:rPr>
                          <w:t>-</w:t>
                        </w:r>
                      </w:p>
                    </w:tc>
                    <w:tc>
                      <w:tcPr>
                        <w:tcW w:w="1217" w:type="dxa"/>
                        <w:tcBorders>
                          <w:left w:val="single" w:sz="4" w:space="0" w:color="000000"/>
                          <w:bottom w:val="single" w:sz="4" w:space="0" w:color="000000"/>
                          <w:right w:val="nil"/>
                        </w:tcBorders>
                      </w:tcPr>
                      <w:p>
                        <w:pPr>
                          <w:pStyle w:val="TableParagraph"/>
                          <w:spacing w:before="57"/>
                          <w:ind w:left="411" w:right="391"/>
                          <w:rPr>
                            <w:rFonts w:ascii="Times New Roman"/>
                            <w:sz w:val="21"/>
                          </w:rPr>
                        </w:pPr>
                        <w:r>
                          <w:rPr>
                            <w:rFonts w:ascii="Times New Roman"/>
                            <w:sz w:val="21"/>
                          </w:rPr>
                          <w:t>1.56</w:t>
                        </w:r>
                      </w:p>
                    </w:tc>
                  </w:tr>
                  <w:tr>
                    <w:trPr>
                      <w:trHeight w:val="310" w:hRule="atLeast"/>
                    </w:trPr>
                    <w:tc>
                      <w:tcPr>
                        <w:tcW w:w="648" w:type="dxa"/>
                        <w:vMerge/>
                        <w:tcBorders>
                          <w:top w:val="nil"/>
                          <w:left w:val="nil"/>
                          <w:right w:val="single" w:sz="4" w:space="0" w:color="000000"/>
                        </w:tcBorders>
                      </w:tcPr>
                      <w:p>
                        <w:pPr>
                          <w:rPr>
                            <w:sz w:val="2"/>
                            <w:szCs w:val="2"/>
                          </w:rPr>
                        </w:pPr>
                      </w:p>
                    </w:tc>
                    <w:tc>
                      <w:tcPr>
                        <w:tcW w:w="1558"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31"/>
                          <w:ind w:right="317"/>
                          <w:jc w:val="right"/>
                          <w:rPr>
                            <w:rFonts w:ascii="Times New Roman" w:eastAsia="Times New Roman"/>
                            <w:sz w:val="21"/>
                          </w:rPr>
                        </w:pPr>
                        <w:r>
                          <w:rPr>
                            <w:sz w:val="21"/>
                          </w:rPr>
                          <w:t>廖</w:t>
                        </w:r>
                        <w:r>
                          <w:rPr>
                            <w:rFonts w:ascii="Times New Roman" w:eastAsia="Times New Roman"/>
                            <w:sz w:val="21"/>
                          </w:rPr>
                          <w: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45"/>
                          <w:ind w:left="177" w:right="146"/>
                          <w:rPr>
                            <w:rFonts w:ascii="Times New Roman"/>
                            <w:sz w:val="21"/>
                          </w:rPr>
                        </w:pPr>
                        <w:r>
                          <w:rPr>
                            <w:rFonts w:ascii="Times New Roman"/>
                            <w:sz w:val="21"/>
                          </w:rPr>
                          <w:t>1.56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45"/>
                          <w:ind w:left="30"/>
                          <w:rPr>
                            <w:rFonts w:ascii="Times New Roman"/>
                            <w:sz w:val="21"/>
                          </w:rPr>
                        </w:pPr>
                        <w:r>
                          <w:rPr>
                            <w:rFonts w:ascii="Times New Roman"/>
                            <w:w w:val="100"/>
                            <w:sz w:val="21"/>
                          </w:rPr>
                          <w:t>-</w:t>
                        </w:r>
                      </w:p>
                    </w:tc>
                    <w:tc>
                      <w:tcPr>
                        <w:tcW w:w="713" w:type="dxa"/>
                        <w:tcBorders>
                          <w:top w:val="single" w:sz="4" w:space="0" w:color="000000"/>
                          <w:left w:val="single" w:sz="4" w:space="0" w:color="000000"/>
                          <w:bottom w:val="single" w:sz="4" w:space="0" w:color="000000"/>
                          <w:right w:val="single" w:sz="4" w:space="0" w:color="000000"/>
                        </w:tcBorders>
                      </w:tcPr>
                      <w:p>
                        <w:pPr>
                          <w:pStyle w:val="TableParagraph"/>
                          <w:spacing w:before="45"/>
                          <w:ind w:left="25"/>
                          <w:rPr>
                            <w:rFonts w:ascii="Times New Roman"/>
                            <w:sz w:val="21"/>
                          </w:rPr>
                        </w:pPr>
                        <w:r>
                          <w:rPr>
                            <w:rFonts w:ascii="Times New Roman"/>
                            <w:w w:val="100"/>
                            <w:sz w:val="21"/>
                          </w:rPr>
                          <w:t>-</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45"/>
                          <w:ind w:left="29"/>
                          <w:rPr>
                            <w:rFonts w:ascii="Times New Roman"/>
                            <w:sz w:val="21"/>
                          </w:rPr>
                        </w:pPr>
                        <w:r>
                          <w:rPr>
                            <w:rFonts w:ascii="Times New Roman"/>
                            <w:w w:val="100"/>
                            <w:sz w:val="21"/>
                          </w:rPr>
                          <w:t>-</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45"/>
                          <w:ind w:left="26"/>
                          <w:rPr>
                            <w:rFonts w:ascii="Times New Roman"/>
                            <w:sz w:val="21"/>
                          </w:rPr>
                        </w:pPr>
                        <w:r>
                          <w:rPr>
                            <w:rFonts w:ascii="Times New Roman"/>
                            <w:w w:val="100"/>
                            <w:sz w:val="21"/>
                          </w:rPr>
                          <w:t>-</w:t>
                        </w:r>
                      </w:p>
                    </w:tc>
                    <w:tc>
                      <w:tcPr>
                        <w:tcW w:w="1217" w:type="dxa"/>
                        <w:tcBorders>
                          <w:top w:val="single" w:sz="4" w:space="0" w:color="000000"/>
                          <w:left w:val="single" w:sz="4" w:space="0" w:color="000000"/>
                          <w:bottom w:val="single" w:sz="4" w:space="0" w:color="000000"/>
                          <w:right w:val="nil"/>
                        </w:tcBorders>
                      </w:tcPr>
                      <w:p>
                        <w:pPr>
                          <w:pStyle w:val="TableParagraph"/>
                          <w:spacing w:before="45"/>
                          <w:ind w:left="411" w:right="390"/>
                          <w:rPr>
                            <w:rFonts w:ascii="Times New Roman"/>
                            <w:sz w:val="21"/>
                          </w:rPr>
                        </w:pPr>
                        <w:r>
                          <w:rPr>
                            <w:rFonts w:ascii="Times New Roman"/>
                            <w:sz w:val="21"/>
                          </w:rPr>
                          <w:t>1.56</w:t>
                        </w:r>
                      </w:p>
                    </w:tc>
                  </w:tr>
                  <w:tr>
                    <w:trPr>
                      <w:trHeight w:val="313" w:hRule="atLeast"/>
                    </w:trPr>
                    <w:tc>
                      <w:tcPr>
                        <w:tcW w:w="648" w:type="dxa"/>
                        <w:vMerge/>
                        <w:tcBorders>
                          <w:top w:val="nil"/>
                          <w:left w:val="nil"/>
                          <w:right w:val="single" w:sz="4" w:space="0" w:color="000000"/>
                        </w:tcBorders>
                      </w:tcPr>
                      <w:p>
                        <w:pPr>
                          <w:rPr>
                            <w:sz w:val="2"/>
                            <w:szCs w:val="2"/>
                          </w:rPr>
                        </w:pPr>
                      </w:p>
                    </w:tc>
                    <w:tc>
                      <w:tcPr>
                        <w:tcW w:w="1558" w:type="dxa"/>
                        <w:vMerge/>
                        <w:tcBorders>
                          <w:top w:val="nil"/>
                          <w:left w:val="single" w:sz="4" w:space="0" w:color="000000"/>
                          <w:bottom w:val="single" w:sz="4" w:space="0" w:color="000000"/>
                          <w:right w:val="single" w:sz="4" w:space="0" w:color="000000"/>
                        </w:tcBorders>
                      </w:tcPr>
                      <w:p>
                        <w:pPr>
                          <w:rPr>
                            <w:sz w:val="2"/>
                            <w:szCs w:val="2"/>
                          </w:rPr>
                        </w:pP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34"/>
                          <w:ind w:right="317"/>
                          <w:jc w:val="right"/>
                          <w:rPr>
                            <w:rFonts w:ascii="Times New Roman" w:eastAsia="Times New Roman"/>
                            <w:sz w:val="21"/>
                          </w:rPr>
                        </w:pPr>
                        <w:r>
                          <w:rPr>
                            <w:sz w:val="21"/>
                          </w:rPr>
                          <w:t>肖</w:t>
                        </w:r>
                        <w:r>
                          <w:rPr>
                            <w:rFonts w:ascii="Times New Roman" w:eastAsia="Times New Roman"/>
                            <w:sz w:val="21"/>
                          </w:rPr>
                          <w: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48"/>
                          <w:ind w:left="177" w:right="146"/>
                          <w:rPr>
                            <w:rFonts w:ascii="Times New Roman"/>
                            <w:sz w:val="21"/>
                          </w:rPr>
                        </w:pPr>
                        <w:r>
                          <w:rPr>
                            <w:rFonts w:ascii="Times New Roman"/>
                            <w:sz w:val="21"/>
                          </w:rPr>
                          <w:t>1.56</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48"/>
                          <w:ind w:left="30"/>
                          <w:rPr>
                            <w:rFonts w:ascii="Times New Roman"/>
                            <w:sz w:val="21"/>
                          </w:rPr>
                        </w:pPr>
                        <w:r>
                          <w:rPr>
                            <w:rFonts w:ascii="Times New Roman"/>
                            <w:w w:val="100"/>
                            <w:sz w:val="21"/>
                          </w:rPr>
                          <w:t>-</w:t>
                        </w:r>
                      </w:p>
                    </w:tc>
                    <w:tc>
                      <w:tcPr>
                        <w:tcW w:w="713" w:type="dxa"/>
                        <w:tcBorders>
                          <w:top w:val="single" w:sz="4" w:space="0" w:color="000000"/>
                          <w:left w:val="single" w:sz="4" w:space="0" w:color="000000"/>
                          <w:bottom w:val="single" w:sz="4" w:space="0" w:color="000000"/>
                          <w:right w:val="single" w:sz="4" w:space="0" w:color="000000"/>
                        </w:tcBorders>
                      </w:tcPr>
                      <w:p>
                        <w:pPr>
                          <w:pStyle w:val="TableParagraph"/>
                          <w:spacing w:before="48"/>
                          <w:ind w:left="25"/>
                          <w:rPr>
                            <w:rFonts w:ascii="Times New Roman"/>
                            <w:sz w:val="21"/>
                          </w:rPr>
                        </w:pPr>
                        <w:r>
                          <w:rPr>
                            <w:rFonts w:ascii="Times New Roman"/>
                            <w:w w:val="100"/>
                            <w:sz w:val="21"/>
                          </w:rPr>
                          <w:t>-</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48"/>
                          <w:ind w:left="29"/>
                          <w:rPr>
                            <w:rFonts w:ascii="Times New Roman"/>
                            <w:sz w:val="21"/>
                          </w:rPr>
                        </w:pPr>
                        <w:r>
                          <w:rPr>
                            <w:rFonts w:ascii="Times New Roman"/>
                            <w:w w:val="100"/>
                            <w:sz w:val="21"/>
                          </w:rPr>
                          <w:t>-</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48"/>
                          <w:ind w:left="26"/>
                          <w:rPr>
                            <w:rFonts w:ascii="Times New Roman"/>
                            <w:sz w:val="21"/>
                          </w:rPr>
                        </w:pPr>
                        <w:r>
                          <w:rPr>
                            <w:rFonts w:ascii="Times New Roman"/>
                            <w:w w:val="100"/>
                            <w:sz w:val="21"/>
                          </w:rPr>
                          <w:t>-</w:t>
                        </w:r>
                      </w:p>
                    </w:tc>
                    <w:tc>
                      <w:tcPr>
                        <w:tcW w:w="1217" w:type="dxa"/>
                        <w:tcBorders>
                          <w:top w:val="single" w:sz="4" w:space="0" w:color="000000"/>
                          <w:left w:val="single" w:sz="4" w:space="0" w:color="000000"/>
                          <w:bottom w:val="single" w:sz="4" w:space="0" w:color="000000"/>
                          <w:right w:val="nil"/>
                        </w:tcBorders>
                      </w:tcPr>
                      <w:p>
                        <w:pPr>
                          <w:pStyle w:val="TableParagraph"/>
                          <w:spacing w:before="48"/>
                          <w:ind w:left="411" w:right="390"/>
                          <w:rPr>
                            <w:rFonts w:ascii="Times New Roman"/>
                            <w:sz w:val="21"/>
                          </w:rPr>
                        </w:pPr>
                        <w:r>
                          <w:rPr>
                            <w:rFonts w:ascii="Times New Roman"/>
                            <w:sz w:val="21"/>
                          </w:rPr>
                          <w:t>1.56</w:t>
                        </w:r>
                      </w:p>
                    </w:tc>
                  </w:tr>
                  <w:tr>
                    <w:trPr>
                      <w:trHeight w:val="310" w:hRule="atLeast"/>
                    </w:trPr>
                    <w:tc>
                      <w:tcPr>
                        <w:tcW w:w="648" w:type="dxa"/>
                        <w:vMerge/>
                        <w:tcBorders>
                          <w:top w:val="nil"/>
                          <w:left w:val="nil"/>
                          <w:right w:val="single" w:sz="4" w:space="0" w:color="000000"/>
                        </w:tcBorders>
                      </w:tcPr>
                      <w:p>
                        <w:pPr>
                          <w:rPr>
                            <w:sz w:val="2"/>
                            <w:szCs w:val="2"/>
                          </w:rPr>
                        </w:pPr>
                      </w:p>
                    </w:tc>
                    <w:tc>
                      <w:tcPr>
                        <w:tcW w:w="1558" w:type="dxa"/>
                        <w:vMerge w:val="restart"/>
                        <w:tcBorders>
                          <w:top w:val="single" w:sz="4" w:space="0" w:color="000000"/>
                          <w:left w:val="single" w:sz="4" w:space="0" w:color="000000"/>
                          <w:right w:val="single" w:sz="4" w:space="0" w:color="000000"/>
                        </w:tcBorders>
                      </w:tcPr>
                      <w:p>
                        <w:pPr>
                          <w:pStyle w:val="TableParagraph"/>
                          <w:spacing w:before="204"/>
                          <w:ind w:left="367"/>
                          <w:jc w:val="left"/>
                          <w:rPr>
                            <w:sz w:val="21"/>
                          </w:rPr>
                        </w:pPr>
                        <w:r>
                          <w:rPr>
                            <w:sz w:val="21"/>
                          </w:rPr>
                          <w:t>隔室操作</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31"/>
                          <w:ind w:right="266"/>
                          <w:jc w:val="right"/>
                          <w:rPr>
                            <w:rFonts w:ascii="Times New Roman" w:eastAsia="Times New Roman"/>
                            <w:sz w:val="21"/>
                          </w:rPr>
                        </w:pPr>
                        <w:r>
                          <w:rPr>
                            <w:sz w:val="21"/>
                          </w:rPr>
                          <w:t>赖</w:t>
                        </w:r>
                        <w:r>
                          <w:rPr>
                            <w:rFonts w:ascii="Times New Roman" w:eastAsia="Times New Roman"/>
                            <w:sz w:val="21"/>
                          </w:rPr>
                          <w:t>**</w:t>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spacing w:before="41"/>
                          <w:ind w:left="178" w:right="146"/>
                          <w:rPr>
                            <w:rFonts w:ascii="Times New Roman" w:hAnsi="Times New Roman"/>
                            <w:sz w:val="14"/>
                          </w:rPr>
                        </w:pPr>
                        <w:r>
                          <w:rPr>
                            <w:rFonts w:ascii="Times New Roman" w:hAnsi="Times New Roman"/>
                            <w:sz w:val="21"/>
                          </w:rPr>
                          <w:t>3.62×10</w:t>
                        </w:r>
                        <w:r>
                          <w:rPr>
                            <w:rFonts w:ascii="Times New Roman" w:hAnsi="Times New Roman"/>
                            <w:position w:val="7"/>
                            <w:sz w:val="14"/>
                          </w:rPr>
                          <w:t>-4</w:t>
                        </w:r>
                      </w:p>
                    </w:tc>
                    <w:tc>
                      <w:tcPr>
                        <w:tcW w:w="994" w:type="dxa"/>
                        <w:tcBorders>
                          <w:top w:val="single" w:sz="4" w:space="0" w:color="000000"/>
                          <w:left w:val="single" w:sz="4" w:space="0" w:color="000000"/>
                          <w:bottom w:val="single" w:sz="4" w:space="0" w:color="000000"/>
                          <w:right w:val="single" w:sz="4" w:space="0" w:color="000000"/>
                        </w:tcBorders>
                      </w:tcPr>
                      <w:p>
                        <w:pPr>
                          <w:pStyle w:val="TableParagraph"/>
                          <w:spacing w:before="45"/>
                          <w:ind w:left="145" w:right="114"/>
                          <w:rPr>
                            <w:rFonts w:ascii="Times New Roman"/>
                            <w:sz w:val="21"/>
                          </w:rPr>
                        </w:pPr>
                        <w:r>
                          <w:rPr>
                            <w:rFonts w:ascii="Times New Roman"/>
                            <w:sz w:val="21"/>
                          </w:rPr>
                          <w:t>0.02</w:t>
                        </w:r>
                      </w:p>
                    </w:tc>
                    <w:tc>
                      <w:tcPr>
                        <w:tcW w:w="713" w:type="dxa"/>
                        <w:tcBorders>
                          <w:top w:val="single" w:sz="4" w:space="0" w:color="000000"/>
                          <w:left w:val="single" w:sz="4" w:space="0" w:color="000000"/>
                          <w:bottom w:val="single" w:sz="4" w:space="0" w:color="000000"/>
                          <w:right w:val="single" w:sz="4" w:space="0" w:color="000000"/>
                        </w:tcBorders>
                      </w:tcPr>
                      <w:p>
                        <w:pPr>
                          <w:pStyle w:val="TableParagraph"/>
                          <w:spacing w:before="45"/>
                          <w:ind w:left="162" w:right="133"/>
                          <w:rPr>
                            <w:rFonts w:ascii="Times New Roman"/>
                            <w:sz w:val="21"/>
                          </w:rPr>
                        </w:pPr>
                        <w:r>
                          <w:rPr>
                            <w:rFonts w:ascii="Times New Roman"/>
                            <w:sz w:val="21"/>
                          </w:rPr>
                          <w:t>0.02</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45"/>
                          <w:ind w:left="160" w:right="131"/>
                          <w:rPr>
                            <w:rFonts w:ascii="Times New Roman"/>
                            <w:sz w:val="21"/>
                          </w:rPr>
                        </w:pPr>
                        <w:r>
                          <w:rPr>
                            <w:rFonts w:ascii="Times New Roman"/>
                            <w:sz w:val="21"/>
                          </w:rPr>
                          <w:t>0.02</w:t>
                        </w:r>
                      </w:p>
                    </w:tc>
                    <w:tc>
                      <w:tcPr>
                        <w:tcW w:w="711" w:type="dxa"/>
                        <w:tcBorders>
                          <w:top w:val="single" w:sz="4" w:space="0" w:color="000000"/>
                          <w:left w:val="single" w:sz="4" w:space="0" w:color="000000"/>
                          <w:bottom w:val="single" w:sz="4" w:space="0" w:color="000000"/>
                          <w:right w:val="single" w:sz="4" w:space="0" w:color="000000"/>
                        </w:tcBorders>
                      </w:tcPr>
                      <w:p>
                        <w:pPr>
                          <w:pStyle w:val="TableParagraph"/>
                          <w:spacing w:before="45"/>
                          <w:ind w:left="160" w:right="132"/>
                          <w:rPr>
                            <w:rFonts w:ascii="Times New Roman"/>
                            <w:sz w:val="21"/>
                          </w:rPr>
                        </w:pPr>
                        <w:r>
                          <w:rPr>
                            <w:rFonts w:ascii="Times New Roman"/>
                            <w:sz w:val="21"/>
                          </w:rPr>
                          <w:t>0.02</w:t>
                        </w:r>
                      </w:p>
                    </w:tc>
                    <w:tc>
                      <w:tcPr>
                        <w:tcW w:w="1217" w:type="dxa"/>
                        <w:tcBorders>
                          <w:top w:val="single" w:sz="4" w:space="0" w:color="000000"/>
                          <w:left w:val="single" w:sz="4" w:space="0" w:color="000000"/>
                          <w:bottom w:val="single" w:sz="4" w:space="0" w:color="000000"/>
                          <w:right w:val="nil"/>
                        </w:tcBorders>
                      </w:tcPr>
                      <w:p>
                        <w:pPr>
                          <w:pStyle w:val="TableParagraph"/>
                          <w:spacing w:before="45"/>
                          <w:ind w:left="410" w:right="391"/>
                          <w:rPr>
                            <w:rFonts w:ascii="Times New Roman"/>
                            <w:sz w:val="21"/>
                          </w:rPr>
                        </w:pPr>
                        <w:r>
                          <w:rPr>
                            <w:rFonts w:ascii="Times New Roman"/>
                            <w:sz w:val="21"/>
                          </w:rPr>
                          <w:t>0.08</w:t>
                        </w:r>
                      </w:p>
                    </w:tc>
                  </w:tr>
                  <w:tr>
                    <w:trPr>
                      <w:trHeight w:val="322" w:hRule="atLeast"/>
                    </w:trPr>
                    <w:tc>
                      <w:tcPr>
                        <w:tcW w:w="648" w:type="dxa"/>
                        <w:vMerge/>
                        <w:tcBorders>
                          <w:top w:val="nil"/>
                          <w:left w:val="nil"/>
                          <w:right w:val="single" w:sz="4" w:space="0" w:color="000000"/>
                        </w:tcBorders>
                      </w:tcPr>
                      <w:p>
                        <w:pPr>
                          <w:rPr>
                            <w:sz w:val="2"/>
                            <w:szCs w:val="2"/>
                          </w:rPr>
                        </w:pPr>
                      </w:p>
                    </w:tc>
                    <w:tc>
                      <w:tcPr>
                        <w:tcW w:w="1558" w:type="dxa"/>
                        <w:vMerge/>
                        <w:tcBorders>
                          <w:top w:val="nil"/>
                          <w:left w:val="single" w:sz="4" w:space="0" w:color="000000"/>
                          <w:right w:val="single" w:sz="4" w:space="0" w:color="000000"/>
                        </w:tcBorders>
                      </w:tcPr>
                      <w:p>
                        <w:pPr>
                          <w:rPr>
                            <w:sz w:val="2"/>
                            <w:szCs w:val="2"/>
                          </w:rPr>
                        </w:pPr>
                      </w:p>
                    </w:tc>
                    <w:tc>
                      <w:tcPr>
                        <w:tcW w:w="994" w:type="dxa"/>
                        <w:tcBorders>
                          <w:top w:val="single" w:sz="4" w:space="0" w:color="000000"/>
                          <w:left w:val="single" w:sz="4" w:space="0" w:color="000000"/>
                          <w:right w:val="single" w:sz="4" w:space="0" w:color="000000"/>
                        </w:tcBorders>
                      </w:tcPr>
                      <w:p>
                        <w:pPr>
                          <w:pStyle w:val="TableParagraph"/>
                          <w:spacing w:line="269" w:lineRule="exact" w:before="34"/>
                          <w:ind w:right="266"/>
                          <w:jc w:val="right"/>
                          <w:rPr>
                            <w:rFonts w:ascii="Times New Roman" w:eastAsia="Times New Roman"/>
                            <w:sz w:val="21"/>
                          </w:rPr>
                        </w:pPr>
                        <w:r>
                          <w:rPr>
                            <w:sz w:val="21"/>
                          </w:rPr>
                          <w:t>唐</w:t>
                        </w:r>
                        <w:r>
                          <w:rPr>
                            <w:rFonts w:ascii="Times New Roman" w:eastAsia="Times New Roman"/>
                            <w:sz w:val="21"/>
                          </w:rPr>
                          <w:t>**</w:t>
                        </w:r>
                      </w:p>
                    </w:tc>
                    <w:tc>
                      <w:tcPr>
                        <w:tcW w:w="1416" w:type="dxa"/>
                        <w:tcBorders>
                          <w:top w:val="single" w:sz="4" w:space="0" w:color="000000"/>
                          <w:left w:val="single" w:sz="4" w:space="0" w:color="000000"/>
                          <w:right w:val="single" w:sz="4" w:space="0" w:color="000000"/>
                        </w:tcBorders>
                      </w:tcPr>
                      <w:p>
                        <w:pPr>
                          <w:pStyle w:val="TableParagraph"/>
                          <w:spacing w:before="43"/>
                          <w:ind w:left="178" w:right="146"/>
                          <w:rPr>
                            <w:rFonts w:ascii="Times New Roman" w:hAnsi="Times New Roman"/>
                            <w:sz w:val="14"/>
                          </w:rPr>
                        </w:pPr>
                        <w:r>
                          <w:rPr>
                            <w:rFonts w:ascii="Times New Roman" w:hAnsi="Times New Roman"/>
                            <w:sz w:val="21"/>
                          </w:rPr>
                          <w:t>3.62×10</w:t>
                        </w:r>
                        <w:r>
                          <w:rPr>
                            <w:rFonts w:ascii="Times New Roman" w:hAnsi="Times New Roman"/>
                            <w:position w:val="7"/>
                            <w:sz w:val="14"/>
                          </w:rPr>
                          <w:t>-4</w:t>
                        </w:r>
                      </w:p>
                    </w:tc>
                    <w:tc>
                      <w:tcPr>
                        <w:tcW w:w="994" w:type="dxa"/>
                        <w:tcBorders>
                          <w:top w:val="single" w:sz="4" w:space="0" w:color="000000"/>
                          <w:left w:val="single" w:sz="4" w:space="0" w:color="000000"/>
                          <w:right w:val="single" w:sz="4" w:space="0" w:color="000000"/>
                        </w:tcBorders>
                      </w:tcPr>
                      <w:p>
                        <w:pPr>
                          <w:pStyle w:val="TableParagraph"/>
                          <w:spacing w:before="48"/>
                          <w:ind w:left="145" w:right="114"/>
                          <w:rPr>
                            <w:rFonts w:ascii="Times New Roman"/>
                            <w:sz w:val="21"/>
                          </w:rPr>
                        </w:pPr>
                        <w:r>
                          <w:rPr>
                            <w:rFonts w:ascii="Times New Roman"/>
                            <w:sz w:val="21"/>
                          </w:rPr>
                          <w:t>0.02</w:t>
                        </w:r>
                      </w:p>
                    </w:tc>
                    <w:tc>
                      <w:tcPr>
                        <w:tcW w:w="713" w:type="dxa"/>
                        <w:tcBorders>
                          <w:top w:val="single" w:sz="4" w:space="0" w:color="000000"/>
                          <w:left w:val="single" w:sz="4" w:space="0" w:color="000000"/>
                          <w:right w:val="single" w:sz="4" w:space="0" w:color="000000"/>
                        </w:tcBorders>
                      </w:tcPr>
                      <w:p>
                        <w:pPr>
                          <w:pStyle w:val="TableParagraph"/>
                          <w:spacing w:before="48"/>
                          <w:ind w:left="162" w:right="133"/>
                          <w:rPr>
                            <w:rFonts w:ascii="Times New Roman"/>
                            <w:sz w:val="21"/>
                          </w:rPr>
                        </w:pPr>
                        <w:r>
                          <w:rPr>
                            <w:rFonts w:ascii="Times New Roman"/>
                            <w:sz w:val="21"/>
                          </w:rPr>
                          <w:t>0.03</w:t>
                        </w:r>
                      </w:p>
                    </w:tc>
                    <w:tc>
                      <w:tcPr>
                        <w:tcW w:w="711" w:type="dxa"/>
                        <w:tcBorders>
                          <w:top w:val="single" w:sz="4" w:space="0" w:color="000000"/>
                          <w:left w:val="single" w:sz="4" w:space="0" w:color="000000"/>
                          <w:right w:val="single" w:sz="4" w:space="0" w:color="000000"/>
                        </w:tcBorders>
                      </w:tcPr>
                      <w:p>
                        <w:pPr>
                          <w:pStyle w:val="TableParagraph"/>
                          <w:spacing w:before="48"/>
                          <w:ind w:left="160" w:right="131"/>
                          <w:rPr>
                            <w:rFonts w:ascii="Times New Roman"/>
                            <w:sz w:val="21"/>
                          </w:rPr>
                        </w:pPr>
                        <w:r>
                          <w:rPr>
                            <w:rFonts w:ascii="Times New Roman"/>
                            <w:sz w:val="21"/>
                          </w:rPr>
                          <w:t>0.02</w:t>
                        </w:r>
                      </w:p>
                    </w:tc>
                    <w:tc>
                      <w:tcPr>
                        <w:tcW w:w="711" w:type="dxa"/>
                        <w:tcBorders>
                          <w:top w:val="single" w:sz="4" w:space="0" w:color="000000"/>
                          <w:left w:val="single" w:sz="4" w:space="0" w:color="000000"/>
                          <w:right w:val="single" w:sz="4" w:space="0" w:color="000000"/>
                        </w:tcBorders>
                      </w:tcPr>
                      <w:p>
                        <w:pPr>
                          <w:pStyle w:val="TableParagraph"/>
                          <w:spacing w:before="48"/>
                          <w:ind w:left="160" w:right="132"/>
                          <w:rPr>
                            <w:rFonts w:ascii="Times New Roman"/>
                            <w:sz w:val="21"/>
                          </w:rPr>
                        </w:pPr>
                        <w:r>
                          <w:rPr>
                            <w:rFonts w:ascii="Times New Roman"/>
                            <w:sz w:val="21"/>
                          </w:rPr>
                          <w:t>0.02</w:t>
                        </w:r>
                      </w:p>
                    </w:tc>
                    <w:tc>
                      <w:tcPr>
                        <w:tcW w:w="1217" w:type="dxa"/>
                        <w:tcBorders>
                          <w:top w:val="single" w:sz="4" w:space="0" w:color="000000"/>
                          <w:left w:val="single" w:sz="4" w:space="0" w:color="000000"/>
                          <w:right w:val="nil"/>
                        </w:tcBorders>
                      </w:tcPr>
                      <w:p>
                        <w:pPr>
                          <w:pStyle w:val="TableParagraph"/>
                          <w:spacing w:before="48"/>
                          <w:ind w:left="410" w:right="391"/>
                          <w:rPr>
                            <w:rFonts w:ascii="Times New Roman"/>
                            <w:sz w:val="21"/>
                          </w:rPr>
                        </w:pPr>
                        <w:r>
                          <w:rPr>
                            <w:rFonts w:ascii="Times New Roman"/>
                            <w:sz w:val="21"/>
                          </w:rPr>
                          <w:t>0.09</w:t>
                        </w:r>
                      </w:p>
                    </w:tc>
                  </w:tr>
                </w:tbl>
                <w:p>
                  <w:pPr>
                    <w:pStyle w:val="BodyText"/>
                  </w:pPr>
                </w:p>
              </w:txbxContent>
            </v:textbox>
            <w10:wrap type="none"/>
          </v:shape>
        </w:pict>
      </w:r>
    </w:p>
    <w:p>
      <w:pPr>
        <w:spacing w:after="0"/>
        <w:rPr>
          <w:sz w:val="2"/>
          <w:szCs w:val="2"/>
        </w:rPr>
        <w:sectPr>
          <w:pgSz w:w="11910" w:h="16840"/>
          <w:pgMar w:header="0" w:footer="881" w:top="1220" w:bottom="1080" w:left="1480" w:right="1020"/>
        </w:sectPr>
      </w:pPr>
    </w:p>
    <w:p>
      <w:pPr>
        <w:pStyle w:val="BodyText"/>
        <w:spacing w:before="100"/>
        <w:ind w:left="272"/>
      </w:pPr>
      <w:r>
        <w:rPr/>
        <w:pict>
          <v:group style="position:absolute;margin-left:81.959999pt;margin-top:62.399937pt;width:454.2pt;height:695.2pt;mso-position-horizontal-relative:page;mso-position-vertical-relative:page;z-index:-211144" coordorigin="1639,1248" coordsize="9084,13904">
            <v:line style="position:absolute" from="1639,1253" to="10714,1253" stroked="true" strokeweight=".479999pt" strokecolor="#000000">
              <v:stroke dashstyle="solid"/>
            </v:line>
            <v:line style="position:absolute" from="1644,1258" to="1644,15151" stroked="true" strokeweight=".479999pt" strokecolor="#000000">
              <v:stroke dashstyle="solid"/>
            </v:line>
            <v:line style="position:absolute" from="1639,15146" to="10714,15146" stroked="true" strokeweight=".480011pt" strokecolor="#000000">
              <v:stroke dashstyle="solid"/>
            </v:line>
            <v:line style="position:absolute" from="10718,1248" to="10718,15151" stroked="true" strokeweight=".480011pt" strokecolor="#000000">
              <v:stroke dashstyle="solid"/>
            </v:line>
            <w10:wrap type="none"/>
          </v:group>
        </w:pict>
      </w:r>
      <w:r>
        <w:rPr>
          <w:spacing w:val="-13"/>
        </w:rPr>
        <w:t>员所受到的最大年有效剂量为 </w:t>
      </w:r>
      <w:r>
        <w:rPr>
          <w:rFonts w:ascii="Times New Roman" w:eastAsia="Times New Roman"/>
          <w:spacing w:val="-12"/>
        </w:rPr>
        <w:t>1.56mSv/a</w:t>
      </w:r>
      <w:r>
        <w:rPr>
          <w:spacing w:val="-11"/>
        </w:rPr>
        <w:t>，符合《电离辐射防护与放射源安全基本标准》</w:t>
      </w:r>
    </w:p>
    <w:p>
      <w:pPr>
        <w:pStyle w:val="BodyText"/>
        <w:spacing w:before="161"/>
        <w:ind w:left="272"/>
      </w:pPr>
      <w:r>
        <w:rPr/>
        <w:t>（</w:t>
      </w:r>
      <w:r>
        <w:rPr>
          <w:rFonts w:ascii="Times New Roman" w:eastAsia="Times New Roman"/>
        </w:rPr>
        <w:t>GB18871-2002</w:t>
      </w:r>
      <w:r>
        <w:rPr/>
        <w:t>）要求的剂量限值，并低于本报告执行的照射剂量约束值。</w:t>
      </w:r>
    </w:p>
    <w:p>
      <w:pPr>
        <w:pStyle w:val="BodyText"/>
        <w:spacing w:before="160"/>
        <w:ind w:left="742"/>
      </w:pPr>
      <w:r>
        <w:rPr/>
        <w:t>7、介入操作人员手部的皮肤吸收剂量估算</w:t>
      </w:r>
      <w:r>
        <w:rPr>
          <w:w w:val="50"/>
        </w:rPr>
        <w:t> </w:t>
      </w:r>
    </w:p>
    <w:p>
      <w:pPr>
        <w:pStyle w:val="BodyText"/>
        <w:spacing w:line="364" w:lineRule="auto" w:before="161"/>
        <w:ind w:left="272" w:right="266" w:firstLine="468"/>
      </w:pPr>
      <w:r>
        <w:rPr>
          <w:spacing w:val="-12"/>
        </w:rPr>
        <w:t>根据《电离辐射所致皮肤剂量估算方法》</w:t>
      </w:r>
      <w:r>
        <w:rPr>
          <w:spacing w:val="-3"/>
        </w:rPr>
        <w:t>（</w:t>
      </w:r>
      <w:r>
        <w:rPr>
          <w:rFonts w:ascii="Times New Roman" w:eastAsia="Times New Roman"/>
          <w:spacing w:val="-3"/>
        </w:rPr>
        <w:t>GBZ/T </w:t>
      </w:r>
      <w:r>
        <w:rPr>
          <w:rFonts w:ascii="Times New Roman" w:eastAsia="Times New Roman"/>
          <w:spacing w:val="-7"/>
        </w:rPr>
        <w:t>244-2017</w:t>
      </w:r>
      <w:r>
        <w:rPr>
          <w:spacing w:val="-7"/>
        </w:rPr>
        <w:t>），</w:t>
      </w:r>
      <w:r>
        <w:rPr>
          <w:spacing w:val="22"/>
        </w:rPr>
        <w:t>估算</w:t>
      </w:r>
      <w:r>
        <w:rPr>
          <w:rFonts w:ascii="Times New Roman" w:eastAsia="Times New Roman"/>
        </w:rPr>
        <w:t>X </w:t>
      </w:r>
      <w:r>
        <w:rPr>
          <w:spacing w:val="-5"/>
        </w:rPr>
        <w:t>射线所致手</w:t>
      </w:r>
      <w:r>
        <w:rPr>
          <w:spacing w:val="-8"/>
        </w:rPr>
        <w:t>部皮肤吸收剂量公式如下：</w:t>
      </w:r>
    </w:p>
    <w:p>
      <w:pPr>
        <w:pStyle w:val="BodyText"/>
        <w:tabs>
          <w:tab w:pos="5998" w:val="left" w:leader="dot"/>
        </w:tabs>
        <w:spacing w:line="309" w:lineRule="exact"/>
        <w:ind w:left="2446"/>
        <w:rPr>
          <w:rFonts w:ascii="Times New Roman" w:hAnsi="Times New Roman" w:eastAsia="Times New Roman"/>
        </w:rPr>
      </w:pPr>
      <w:r>
        <w:rPr>
          <w:rFonts w:ascii="Cambria" w:hAnsi="Cambria" w:eastAsia="Cambria"/>
          <w:spacing w:val="-8"/>
        </w:rPr>
        <w:t>𝐷</w:t>
      </w:r>
      <w:r>
        <w:rPr>
          <w:rFonts w:ascii="Cambria" w:hAnsi="Cambria" w:eastAsia="Cambria"/>
          <w:spacing w:val="-8"/>
          <w:vertAlign w:val="subscript"/>
        </w:rPr>
        <w:t>□ </w:t>
      </w:r>
      <w:r>
        <w:rPr>
          <w:rFonts w:ascii="Cambria" w:hAnsi="Cambria" w:eastAsia="Cambria"/>
          <w:w w:val="105"/>
          <w:vertAlign w:val="subscript"/>
        </w:rPr>
        <w:t>= </w:t>
      </w:r>
      <w:r>
        <w:rPr>
          <w:rFonts w:ascii="Cambria" w:hAnsi="Cambria" w:eastAsia="Cambria"/>
          <w:vertAlign w:val="subscript"/>
        </w:rPr>
        <w:t>𝐶□□</w:t>
      </w:r>
      <w:r>
        <w:rPr>
          <w:rFonts w:ascii="Cambria" w:hAnsi="Cambria" w:eastAsia="Cambria"/>
          <w:position w:val="1"/>
          <w:vertAlign w:val="baseline"/>
        </w:rPr>
        <w:t>(</w:t>
      </w:r>
      <w:r>
        <w:rPr>
          <w:rFonts w:ascii="Cambria" w:hAnsi="Cambria" w:eastAsia="Cambria"/>
          <w:vertAlign w:val="baseline"/>
        </w:rPr>
        <w:t>𝑘 • 𝑡</w:t>
      </w:r>
      <w:r>
        <w:rPr>
          <w:rFonts w:ascii="Cambria" w:hAnsi="Cambria" w:eastAsia="Cambria"/>
          <w:spacing w:val="-19"/>
          <w:position w:val="1"/>
          <w:vertAlign w:val="baseline"/>
        </w:rPr>
        <w:t>) </w:t>
      </w:r>
      <w:r>
        <w:rPr>
          <w:rFonts w:ascii="Cambria" w:hAnsi="Cambria" w:eastAsia="Cambria"/>
          <w:spacing w:val="-8"/>
          <w:vertAlign w:val="baseline"/>
        </w:rPr>
        <w:t>• </w:t>
      </w:r>
      <w:r>
        <w:rPr>
          <w:rFonts w:ascii="Cambria" w:hAnsi="Cambria" w:eastAsia="Cambria"/>
          <w:vertAlign w:val="baseline"/>
        </w:rPr>
        <w:t>10</w:t>
      </w:r>
      <w:r>
        <w:rPr>
          <w:rFonts w:ascii="Cambria" w:hAnsi="Cambria" w:eastAsia="Cambria"/>
          <w:position w:val="9"/>
          <w:sz w:val="17"/>
          <w:vertAlign w:val="baseline"/>
        </w:rPr>
        <w:t>□□</w:t>
        <w:tab/>
      </w:r>
      <w:r>
        <w:rPr>
          <w:spacing w:val="-26"/>
          <w:vertAlign w:val="baseline"/>
        </w:rPr>
        <w:t>公式 </w:t>
      </w:r>
      <w:r>
        <w:rPr>
          <w:rFonts w:ascii="Times New Roman" w:hAnsi="Times New Roman" w:eastAsia="Times New Roman"/>
          <w:spacing w:val="-3"/>
          <w:vertAlign w:val="baseline"/>
        </w:rPr>
        <w:t>11-8</w:t>
      </w:r>
    </w:p>
    <w:p>
      <w:pPr>
        <w:spacing w:line="141" w:lineRule="auto" w:before="120"/>
        <w:ind w:left="2981" w:right="0" w:firstLine="0"/>
        <w:jc w:val="left"/>
        <w:rPr>
          <w:rFonts w:ascii="Cambria" w:hAnsi="Cambria"/>
          <w:sz w:val="14"/>
        </w:rPr>
      </w:pPr>
      <w:r>
        <w:rPr>
          <w:rFonts w:ascii="Cambria" w:hAnsi="Cambria"/>
          <w:w w:val="110"/>
          <w:position w:val="-6"/>
          <w:sz w:val="17"/>
        </w:rPr>
        <w:t>□</w:t>
      </w:r>
      <w:r>
        <w:rPr>
          <w:rFonts w:ascii="Cambria" w:hAnsi="Cambria"/>
          <w:w w:val="110"/>
          <w:position w:val="-4"/>
          <w:sz w:val="17"/>
        </w:rPr>
        <w:t>̇ </w:t>
      </w:r>
      <w:r>
        <w:rPr>
          <w:rFonts w:ascii="Cambria" w:hAnsi="Cambria"/>
          <w:w w:val="110"/>
          <w:sz w:val="14"/>
        </w:rPr>
        <w:t>∗</w:t>
      </w:r>
    </w:p>
    <w:p>
      <w:pPr>
        <w:tabs>
          <w:tab w:pos="5914" w:val="left" w:leader="dot"/>
        </w:tabs>
        <w:spacing w:line="279" w:lineRule="exact" w:before="0"/>
        <w:ind w:left="2530" w:right="0" w:firstLine="0"/>
        <w:jc w:val="left"/>
        <w:rPr>
          <w:rFonts w:ascii="Times New Roman" w:hAnsi="Times New Roman" w:eastAsia="Times New Roman"/>
          <w:sz w:val="24"/>
        </w:rPr>
      </w:pPr>
      <w:r>
        <w:rPr/>
        <w:pict>
          <v:shape style="position:absolute;margin-left:229.199997pt;margin-top:9.604883pt;width:5.2pt;height:10pt;mso-position-horizontal-relative:page;mso-position-vertical-relative:paragraph;z-index:-211120" type="#_x0000_t202" filled="false" stroked="false">
            <v:textbox inset="0,0,0,0">
              <w:txbxContent>
                <w:p>
                  <w:pPr>
                    <w:spacing w:before="0"/>
                    <w:ind w:left="0" w:right="0" w:firstLine="0"/>
                    <w:jc w:val="left"/>
                    <w:rPr>
                      <w:rFonts w:ascii="Cambria" w:hAnsi="Cambria"/>
                      <w:sz w:val="17"/>
                    </w:rPr>
                  </w:pPr>
                  <w:r>
                    <w:rPr>
                      <w:rFonts w:ascii="Cambria" w:hAnsi="Cambria"/>
                      <w:w w:val="92"/>
                      <w:sz w:val="17"/>
                    </w:rPr>
                    <w:t>□</w:t>
                  </w:r>
                </w:p>
              </w:txbxContent>
            </v:textbox>
            <w10:wrap type="none"/>
          </v:shape>
        </w:pict>
      </w:r>
      <w:r>
        <w:rPr>
          <w:rFonts w:ascii="Cambria" w:hAnsi="Cambria" w:eastAsia="Cambria"/>
          <w:spacing w:val="-14"/>
          <w:sz w:val="24"/>
        </w:rPr>
        <w:t>𝑘</w:t>
      </w:r>
      <w:r>
        <w:rPr>
          <w:rFonts w:ascii="Cambria" w:hAnsi="Cambria" w:eastAsia="Cambria"/>
          <w:spacing w:val="-14"/>
          <w:position w:val="5"/>
          <w:sz w:val="24"/>
        </w:rPr>
        <w:t>̇</w:t>
      </w:r>
      <w:r>
        <w:rPr>
          <w:rFonts w:ascii="Cambria" w:hAnsi="Cambria" w:eastAsia="Cambria"/>
          <w:spacing w:val="-5"/>
          <w:position w:val="5"/>
          <w:sz w:val="24"/>
        </w:rPr>
        <w:t>  </w:t>
      </w:r>
      <w:r>
        <w:rPr>
          <w:rFonts w:ascii="Cambria" w:hAnsi="Cambria" w:eastAsia="Cambria"/>
          <w:w w:val="105"/>
          <w:sz w:val="24"/>
        </w:rPr>
        <w:t>=</w:t>
      </w:r>
      <w:r>
        <w:rPr>
          <w:rFonts w:ascii="Cambria" w:hAnsi="Cambria" w:eastAsia="Cambria"/>
          <w:spacing w:val="2"/>
          <w:w w:val="105"/>
          <w:position w:val="13"/>
          <w:sz w:val="24"/>
          <w:u w:val="single"/>
        </w:rPr>
        <w:t>   </w:t>
      </w:r>
      <w:r>
        <w:rPr>
          <w:rFonts w:ascii="PMingLiU" w:hAnsi="PMingLiU" w:eastAsia="PMingLiU" w:hint="eastAsia"/>
          <w:position w:val="13"/>
          <w:sz w:val="14"/>
          <w:u w:val="single"/>
        </w:rPr>
        <w:t>（</w:t>
      </w:r>
      <w:r>
        <w:rPr>
          <w:rFonts w:ascii="Cambria" w:hAnsi="Cambria" w:eastAsia="Cambria"/>
          <w:position w:val="13"/>
          <w:sz w:val="14"/>
          <w:u w:val="single"/>
        </w:rPr>
        <w:t>□□</w:t>
      </w:r>
      <w:r>
        <w:rPr>
          <w:rFonts w:ascii="PMingLiU" w:hAnsi="PMingLiU" w:eastAsia="PMingLiU" w:hint="eastAsia"/>
          <w:position w:val="13"/>
          <w:sz w:val="14"/>
          <w:u w:val="single"/>
        </w:rPr>
        <w:t>）</w:t>
      </w:r>
      <w:r>
        <w:rPr>
          <w:rFonts w:ascii="PMingLiU" w:hAnsi="PMingLiU" w:eastAsia="PMingLiU" w:hint="eastAsia"/>
          <w:position w:val="13"/>
          <w:sz w:val="14"/>
        </w:rPr>
        <w:tab/>
      </w:r>
      <w:r>
        <w:rPr>
          <w:spacing w:val="-25"/>
          <w:sz w:val="24"/>
        </w:rPr>
        <w:t>公式 </w:t>
      </w:r>
      <w:r>
        <w:rPr>
          <w:rFonts w:ascii="Times New Roman" w:hAnsi="Times New Roman" w:eastAsia="Times New Roman"/>
          <w:spacing w:val="-3"/>
          <w:sz w:val="24"/>
        </w:rPr>
        <w:t>11-9</w:t>
      </w:r>
    </w:p>
    <w:p>
      <w:pPr>
        <w:spacing w:line="142" w:lineRule="exact" w:before="0"/>
        <w:ind w:left="0" w:right="2784" w:firstLine="0"/>
        <w:jc w:val="center"/>
        <w:rPr>
          <w:rFonts w:ascii="Cambria" w:hAnsi="Cambria"/>
          <w:sz w:val="14"/>
        </w:rPr>
      </w:pPr>
      <w:r>
        <w:rPr>
          <w:rFonts w:ascii="Cambria" w:hAnsi="Cambria"/>
          <w:w w:val="110"/>
          <w:sz w:val="14"/>
        </w:rPr>
        <w:t>□□</w:t>
      </w:r>
    </w:p>
    <w:p>
      <w:pPr>
        <w:pStyle w:val="BodyText"/>
        <w:spacing w:before="84"/>
        <w:ind w:left="740"/>
      </w:pPr>
      <w:r>
        <w:rPr/>
        <w:t>式中：</w:t>
      </w:r>
    </w:p>
    <w:p>
      <w:pPr>
        <w:pStyle w:val="BodyText"/>
        <w:spacing w:before="160"/>
        <w:ind w:left="1207"/>
      </w:pPr>
      <w:r>
        <w:rPr>
          <w:rFonts w:ascii="Times New Roman" w:hAnsi="Times New Roman" w:eastAsia="Times New Roman"/>
          <w:position w:val="2"/>
        </w:rPr>
        <w:t>D</w:t>
      </w:r>
      <w:r>
        <w:rPr>
          <w:rFonts w:ascii="Times New Roman" w:hAnsi="Times New Roman" w:eastAsia="Times New Roman"/>
          <w:sz w:val="16"/>
        </w:rPr>
        <w:t>s</w:t>
      </w:r>
      <w:r>
        <w:rPr>
          <w:rFonts w:ascii="Times New Roman" w:hAnsi="Times New Roman" w:eastAsia="Times New Roman"/>
          <w:position w:val="2"/>
        </w:rPr>
        <w:t>—</w:t>
      </w:r>
      <w:r>
        <w:rPr>
          <w:position w:val="2"/>
        </w:rPr>
        <w:t>皮肤吸收剂量，</w:t>
      </w:r>
      <w:r>
        <w:rPr>
          <w:rFonts w:ascii="Times New Roman" w:hAnsi="Times New Roman" w:eastAsia="Times New Roman"/>
          <w:position w:val="2"/>
        </w:rPr>
        <w:t>mGy</w:t>
      </w:r>
      <w:r>
        <w:rPr>
          <w:position w:val="2"/>
        </w:rPr>
        <w:t>；</w:t>
      </w:r>
    </w:p>
    <w:p>
      <w:pPr>
        <w:pStyle w:val="BodyText"/>
        <w:spacing w:before="161"/>
        <w:ind w:left="1207"/>
      </w:pPr>
      <w:r>
        <w:rPr>
          <w:rFonts w:ascii="Times New Roman" w:hAnsi="Times New Roman" w:eastAsia="Times New Roman"/>
        </w:rPr>
        <w:t>k—X </w:t>
      </w:r>
      <w:r>
        <w:rPr/>
        <w:t>辐射场的空气比释动能率，</w:t>
      </w:r>
      <w:r>
        <w:rPr>
          <w:rFonts w:ascii="Times New Roman" w:hAnsi="Times New Roman" w:eastAsia="Times New Roman"/>
        </w:rPr>
        <w:t>μGy/h</w:t>
      </w:r>
      <w:r>
        <w:rPr/>
        <w:t>；</w:t>
      </w:r>
    </w:p>
    <w:p>
      <w:pPr>
        <w:pStyle w:val="BodyText"/>
        <w:spacing w:before="161"/>
        <w:ind w:left="1207"/>
      </w:pPr>
      <w:r>
        <w:rPr>
          <w:rFonts w:ascii="Times New Roman" w:hAnsi="Times New Roman" w:eastAsia="Times New Roman"/>
        </w:rPr>
        <w:t>t—</w:t>
      </w:r>
      <w:r>
        <w:rPr/>
        <w:t>人员累积受照时间，</w:t>
      </w:r>
      <w:r>
        <w:rPr>
          <w:rFonts w:ascii="Times New Roman" w:hAnsi="Times New Roman" w:eastAsia="Times New Roman"/>
        </w:rPr>
        <w:t>h</w:t>
      </w:r>
      <w:r>
        <w:rPr/>
        <w:t>；</w:t>
      </w:r>
    </w:p>
    <w:p>
      <w:pPr>
        <w:pStyle w:val="BodyText"/>
        <w:spacing w:before="159"/>
        <w:ind w:left="1207"/>
        <w:rPr>
          <w:rFonts w:ascii="Times New Roman" w:hAnsi="Times New Roman" w:eastAsia="Times New Roman"/>
        </w:rPr>
      </w:pPr>
      <w:r>
        <w:rPr>
          <w:rFonts w:ascii="Times New Roman" w:hAnsi="Times New Roman" w:eastAsia="Times New Roman"/>
          <w:position w:val="2"/>
        </w:rPr>
        <w:t>C</w:t>
      </w:r>
      <w:r>
        <w:rPr>
          <w:rFonts w:ascii="Times New Roman" w:hAnsi="Times New Roman" w:eastAsia="Times New Roman"/>
          <w:sz w:val="16"/>
        </w:rPr>
        <w:t>ks</w:t>
      </w:r>
      <w:r>
        <w:rPr>
          <w:rFonts w:ascii="Times New Roman" w:hAnsi="Times New Roman" w:eastAsia="Times New Roman"/>
          <w:position w:val="2"/>
        </w:rPr>
        <w:t>—</w:t>
      </w:r>
      <w:r>
        <w:rPr>
          <w:position w:val="2"/>
        </w:rPr>
        <w:t>空气比释动能到皮肤吸收剂量的转换系数，</w:t>
      </w:r>
      <w:r>
        <w:rPr>
          <w:rFonts w:ascii="Times New Roman" w:hAnsi="Times New Roman" w:eastAsia="Times New Roman"/>
          <w:position w:val="2"/>
        </w:rPr>
        <w:t>Gy/ Gy;</w:t>
      </w:r>
    </w:p>
    <w:p>
      <w:pPr>
        <w:pStyle w:val="BodyText"/>
        <w:spacing w:before="212"/>
        <w:ind w:left="1232"/>
      </w:pPr>
      <w:r>
        <w:rPr>
          <w:rFonts w:ascii="Cambria" w:hAnsi="Cambria" w:eastAsia="Cambria"/>
          <w:position w:val="2"/>
        </w:rPr>
        <w:t>𝐻</w:t>
      </w:r>
      <w:r>
        <w:rPr>
          <w:rFonts w:ascii="Cambria" w:hAnsi="Cambria" w:eastAsia="Cambria"/>
          <w:position w:val="6"/>
        </w:rPr>
        <w:t>̇</w:t>
      </w:r>
      <w:r>
        <w:rPr>
          <w:rFonts w:ascii="Cambria" w:hAnsi="Cambria" w:eastAsia="Cambria"/>
          <w:position w:val="9"/>
          <w:sz w:val="17"/>
        </w:rPr>
        <w:t>∗</w:t>
      </w:r>
      <w:r>
        <w:rPr>
          <w:rFonts w:ascii="PMingLiU" w:hAnsi="PMingLiU" w:eastAsia="PMingLiU" w:hint="eastAsia"/>
          <w:sz w:val="12"/>
        </w:rPr>
        <w:t>（</w:t>
      </w:r>
      <w:r>
        <w:rPr>
          <w:rFonts w:ascii="Times New Roman" w:hAnsi="Times New Roman" w:eastAsia="Times New Roman"/>
          <w:sz w:val="16"/>
        </w:rPr>
        <w:t>10</w:t>
      </w:r>
      <w:r>
        <w:rPr>
          <w:rFonts w:ascii="PMingLiU" w:hAnsi="PMingLiU" w:eastAsia="PMingLiU" w:hint="eastAsia"/>
          <w:sz w:val="12"/>
        </w:rPr>
        <w:t>）</w:t>
      </w:r>
      <w:r>
        <w:rPr>
          <w:rFonts w:ascii="Times New Roman" w:hAnsi="Times New Roman" w:eastAsia="Times New Roman"/>
          <w:position w:val="2"/>
        </w:rPr>
        <w:t>—X </w:t>
      </w:r>
      <w:r>
        <w:rPr>
          <w:position w:val="2"/>
        </w:rPr>
        <w:t>辐射场的周围剂量当量率，</w:t>
      </w:r>
      <w:r>
        <w:rPr>
          <w:rFonts w:ascii="Times New Roman" w:hAnsi="Times New Roman" w:eastAsia="Times New Roman"/>
          <w:position w:val="2"/>
        </w:rPr>
        <w:t>μSv/h</w:t>
      </w:r>
      <w:r>
        <w:rPr>
          <w:position w:val="2"/>
        </w:rPr>
        <w:t>；</w:t>
      </w:r>
    </w:p>
    <w:p>
      <w:pPr>
        <w:pStyle w:val="BodyText"/>
        <w:spacing w:before="237"/>
        <w:ind w:left="1207"/>
      </w:pPr>
      <w:r>
        <w:rPr>
          <w:rFonts w:ascii="Times New Roman" w:hAnsi="Times New Roman" w:eastAsia="Times New Roman"/>
          <w:position w:val="2"/>
        </w:rPr>
        <w:t>C</w:t>
      </w:r>
      <w:r>
        <w:rPr>
          <w:rFonts w:ascii="Times New Roman" w:hAnsi="Times New Roman" w:eastAsia="Times New Roman"/>
          <w:sz w:val="16"/>
        </w:rPr>
        <w:t>kH</w:t>
      </w:r>
      <w:r>
        <w:rPr>
          <w:rFonts w:ascii="Times New Roman" w:hAnsi="Times New Roman" w:eastAsia="Times New Roman"/>
          <w:position w:val="2"/>
        </w:rPr>
        <w:t>—</w:t>
      </w:r>
      <w:r>
        <w:rPr>
          <w:position w:val="2"/>
        </w:rPr>
        <w:t>空气比释动能到周围剂量当量的转换系数，</w:t>
      </w:r>
      <w:r>
        <w:rPr>
          <w:rFonts w:ascii="Times New Roman" w:hAnsi="Times New Roman" w:eastAsia="Times New Roman"/>
          <w:position w:val="2"/>
        </w:rPr>
        <w:t>Sv/ Gy</w:t>
      </w:r>
      <w:r>
        <w:rPr>
          <w:position w:val="2"/>
        </w:rPr>
        <w:t>。</w:t>
      </w:r>
    </w:p>
    <w:p>
      <w:pPr>
        <w:pStyle w:val="BodyText"/>
        <w:spacing w:line="364" w:lineRule="auto" w:before="161"/>
        <w:ind w:left="272" w:right="276" w:firstLine="480"/>
        <w:jc w:val="both"/>
      </w:pPr>
      <w:r>
        <w:rPr>
          <w:spacing w:val="-13"/>
        </w:rPr>
        <w:t>本项目 </w:t>
      </w:r>
      <w:r>
        <w:rPr>
          <w:rFonts w:ascii="Times New Roman" w:eastAsia="Times New Roman"/>
        </w:rPr>
        <w:t>DSA </w:t>
      </w:r>
      <w:r>
        <w:rPr>
          <w:spacing w:val="-5"/>
        </w:rPr>
        <w:t>床旁透视常用工况为 </w:t>
      </w:r>
      <w:r>
        <w:rPr>
          <w:rFonts w:ascii="Times New Roman" w:eastAsia="Times New Roman"/>
        </w:rPr>
        <w:t>90kV/20mA</w:t>
      </w:r>
      <w:r>
        <w:rPr>
          <w:spacing w:val="-1"/>
        </w:rPr>
        <w:t>。床旁透视时入射方式可近似地视</w:t>
      </w:r>
      <w:r>
        <w:rPr>
          <w:spacing w:val="-8"/>
        </w:rPr>
        <w:t>为垂直入射，是 </w:t>
      </w:r>
      <w:r>
        <w:rPr>
          <w:rFonts w:ascii="Times New Roman" w:eastAsia="Times New Roman"/>
        </w:rPr>
        <w:t>AP </w:t>
      </w:r>
      <w:r>
        <w:rPr/>
        <w:t>入射方式。</w:t>
      </w:r>
    </w:p>
    <w:p>
      <w:pPr>
        <w:pStyle w:val="BodyText"/>
        <w:spacing w:line="364" w:lineRule="auto" w:before="2"/>
        <w:ind w:left="272" w:right="273" w:firstLine="480"/>
        <w:jc w:val="both"/>
      </w:pPr>
      <w:r>
        <w:rPr>
          <w:spacing w:val="-4"/>
        </w:rPr>
        <w:t>医生操作时腕部距非主射束的距离取 </w:t>
      </w:r>
      <w:r>
        <w:rPr>
          <w:rFonts w:ascii="Times New Roman" w:eastAsia="Times New Roman"/>
          <w:spacing w:val="-8"/>
        </w:rPr>
        <w:t>0.5m</w:t>
      </w:r>
      <w:r>
        <w:rPr>
          <w:spacing w:val="-8"/>
        </w:rPr>
        <w:t>，医生手术位腕部皮肤约 </w:t>
      </w:r>
      <w:r>
        <w:rPr>
          <w:rFonts w:ascii="Times New Roman" w:eastAsia="Times New Roman"/>
        </w:rPr>
        <w:t>1/4 </w:t>
      </w:r>
      <w:r>
        <w:rPr>
          <w:spacing w:val="-4"/>
        </w:rPr>
        <w:t>的时间处</w:t>
      </w:r>
      <w:r>
        <w:rPr>
          <w:spacing w:val="-10"/>
        </w:rPr>
        <w:t>于受照位置，根据公式 </w:t>
      </w:r>
      <w:r>
        <w:rPr>
          <w:rFonts w:ascii="Times New Roman" w:eastAsia="Times New Roman"/>
        </w:rPr>
        <w:t>11-4</w:t>
      </w:r>
      <w:r>
        <w:rPr>
          <w:spacing w:val="-22"/>
        </w:rPr>
        <w:t>、</w:t>
      </w:r>
      <w:r>
        <w:rPr>
          <w:rFonts w:ascii="Times New Roman" w:eastAsia="Times New Roman"/>
        </w:rPr>
        <w:t>11-5 </w:t>
      </w:r>
      <w:r>
        <w:rPr>
          <w:spacing w:val="-5"/>
        </w:rPr>
        <w:t>可计算出，手术时腕部位置处的空气吸收剂量并换</w:t>
      </w:r>
      <w:r>
        <w:rPr/>
        <w:t>算为剂量当量。查《电离辐射所致皮肤剂量估算方法》（</w:t>
      </w:r>
      <w:r>
        <w:rPr>
          <w:rFonts w:ascii="Times New Roman" w:eastAsia="Times New Roman"/>
        </w:rPr>
        <w:t>GBZ/T 244-2017</w:t>
      </w:r>
      <w:r>
        <w:rPr/>
        <w:t>）</w:t>
      </w:r>
      <w:r>
        <w:rPr>
          <w:spacing w:val="-4"/>
        </w:rPr>
        <w:t>中的附录</w:t>
      </w:r>
    </w:p>
    <w:p>
      <w:pPr>
        <w:pStyle w:val="BodyText"/>
        <w:spacing w:line="364" w:lineRule="auto" w:before="1"/>
        <w:ind w:left="272" w:right="273"/>
        <w:jc w:val="both"/>
      </w:pPr>
      <w:r>
        <w:rPr>
          <w:rFonts w:ascii="Times New Roman" w:eastAsia="Times New Roman"/>
          <w:position w:val="2"/>
        </w:rPr>
        <w:t>A </w:t>
      </w:r>
      <w:r>
        <w:rPr>
          <w:spacing w:val="-31"/>
          <w:position w:val="2"/>
        </w:rPr>
        <w:t>表 </w:t>
      </w:r>
      <w:r>
        <w:rPr>
          <w:rFonts w:ascii="Times New Roman" w:eastAsia="Times New Roman"/>
          <w:position w:val="2"/>
        </w:rPr>
        <w:t>A.9 </w:t>
      </w:r>
      <w:r>
        <w:rPr>
          <w:spacing w:val="-15"/>
          <w:position w:val="2"/>
        </w:rPr>
        <w:t>可查得 </w:t>
      </w:r>
      <w:r>
        <w:rPr>
          <w:rFonts w:ascii="Times New Roman" w:eastAsia="Times New Roman"/>
          <w:position w:val="2"/>
        </w:rPr>
        <w:t>X </w:t>
      </w:r>
      <w:r>
        <w:rPr>
          <w:spacing w:val="-3"/>
          <w:position w:val="2"/>
        </w:rPr>
        <w:t>辐射场空气比释动能到周围剂量当量的转化系数 </w:t>
      </w:r>
      <w:r>
        <w:rPr>
          <w:rFonts w:ascii="Times New Roman" w:eastAsia="Times New Roman"/>
          <w:position w:val="2"/>
        </w:rPr>
        <w:t>C</w:t>
      </w:r>
      <w:r>
        <w:rPr>
          <w:rFonts w:ascii="Times New Roman" w:eastAsia="Times New Roman"/>
          <w:sz w:val="16"/>
        </w:rPr>
        <w:t>KH</w:t>
      </w:r>
      <w:r>
        <w:rPr>
          <w:rFonts w:ascii="Times New Roman" w:eastAsia="Times New Roman"/>
          <w:position w:val="2"/>
        </w:rPr>
        <w:t>=1.72Sv/Gy</w:t>
      </w:r>
      <w:r>
        <w:rPr>
          <w:position w:val="2"/>
        </w:rPr>
        <w:t>， </w:t>
      </w:r>
      <w:r>
        <w:rPr>
          <w:spacing w:val="-13"/>
        </w:rPr>
        <w:t>由公式 </w:t>
      </w:r>
      <w:r>
        <w:rPr>
          <w:rFonts w:ascii="Times New Roman" w:eastAsia="Times New Roman"/>
        </w:rPr>
        <w:t>11-4</w:t>
      </w:r>
      <w:r>
        <w:rPr/>
        <w:t>、</w:t>
      </w:r>
      <w:r>
        <w:rPr>
          <w:rFonts w:ascii="Times New Roman" w:eastAsia="Times New Roman"/>
        </w:rPr>
        <w:t>11-5 </w:t>
      </w:r>
      <w:r>
        <w:rPr>
          <w:spacing w:val="-13"/>
        </w:rPr>
        <w:t>计算出 </w:t>
      </w:r>
      <w:r>
        <w:rPr>
          <w:rFonts w:ascii="Times New Roman" w:eastAsia="Times New Roman"/>
        </w:rPr>
        <w:t>DSA </w:t>
      </w:r>
      <w:r>
        <w:rPr>
          <w:spacing w:val="-4"/>
        </w:rPr>
        <w:t>辐射场的空气比释动能；查表 </w:t>
      </w:r>
      <w:r>
        <w:rPr>
          <w:rFonts w:ascii="Times New Roman" w:eastAsia="Times New Roman"/>
        </w:rPr>
        <w:t>A.4 </w:t>
      </w:r>
      <w:r>
        <w:rPr>
          <w:spacing w:val="-2"/>
        </w:rPr>
        <w:t>可查出空气比释动</w:t>
      </w:r>
      <w:r>
        <w:rPr>
          <w:spacing w:val="-5"/>
          <w:position w:val="2"/>
        </w:rPr>
        <w:t>能到皮肤吸收剂量的转换系数 </w:t>
      </w:r>
      <w:r>
        <w:rPr>
          <w:rFonts w:ascii="Times New Roman" w:eastAsia="Times New Roman"/>
          <w:position w:val="2"/>
        </w:rPr>
        <w:t>C</w:t>
      </w:r>
      <w:r>
        <w:rPr>
          <w:rFonts w:ascii="Times New Roman" w:eastAsia="Times New Roman"/>
          <w:sz w:val="16"/>
        </w:rPr>
        <w:t>ks</w:t>
      </w:r>
      <w:r>
        <w:rPr>
          <w:rFonts w:ascii="Times New Roman" w:eastAsia="Times New Roman"/>
          <w:position w:val="2"/>
        </w:rPr>
        <w:t>=1.134mGy/mGy</w:t>
      </w:r>
      <w:r>
        <w:rPr>
          <w:position w:val="2"/>
        </w:rPr>
        <w:t>。</w:t>
      </w:r>
    </w:p>
    <w:p>
      <w:pPr>
        <w:pStyle w:val="BodyText"/>
        <w:spacing w:line="364" w:lineRule="auto" w:before="2"/>
        <w:ind w:left="272" w:right="276" w:firstLine="480"/>
        <w:jc w:val="both"/>
      </w:pPr>
      <w:r>
        <w:rPr>
          <w:spacing w:val="-4"/>
        </w:rPr>
        <w:t>由上述数据估算可得，则介入治疗室内手术医生手术位腕部皮肤受到最大当量剂</w:t>
      </w:r>
      <w:r>
        <w:rPr>
          <w:spacing w:val="-15"/>
        </w:rPr>
        <w:t>量为 </w:t>
      </w:r>
      <w:r>
        <w:rPr>
          <w:rFonts w:ascii="Times New Roman" w:eastAsia="Times New Roman"/>
        </w:rPr>
        <w:t>102.85mSv/a</w:t>
      </w:r>
      <w:r>
        <w:rPr>
          <w:spacing w:val="-2"/>
        </w:rPr>
        <w:t>，符合《电离辐射防护与放射源安全基本标准》</w:t>
      </w:r>
      <w:r>
        <w:rPr/>
        <w:t>（</w:t>
      </w:r>
      <w:r>
        <w:rPr>
          <w:rFonts w:ascii="Times New Roman" w:eastAsia="Times New Roman"/>
        </w:rPr>
        <w:t>GB18871-2002</w:t>
      </w:r>
      <w:r>
        <w:rPr/>
        <w:t>） </w:t>
      </w:r>
      <w:r>
        <w:rPr>
          <w:spacing w:val="-2"/>
        </w:rPr>
        <w:t>规定四肢</w:t>
      </w:r>
      <w:r>
        <w:rPr/>
        <w:t>（手和足</w:t>
      </w:r>
      <w:r>
        <w:rPr>
          <w:spacing w:val="-8"/>
        </w:rPr>
        <w:t>）</w:t>
      </w:r>
      <w:r>
        <w:rPr>
          <w:spacing w:val="-2"/>
        </w:rPr>
        <w:t>或皮肤剂量限值</w:t>
      </w:r>
      <w:r>
        <w:rPr/>
        <w:t>（</w:t>
      </w:r>
      <w:r>
        <w:rPr>
          <w:rFonts w:ascii="Times New Roman" w:eastAsia="Times New Roman"/>
        </w:rPr>
        <w:t>500mSv/a</w:t>
      </w:r>
      <w:r>
        <w:rPr/>
        <w:t>）</w:t>
      </w:r>
      <w:r>
        <w:rPr>
          <w:spacing w:val="-1"/>
        </w:rPr>
        <w:t>和本报告执行的四肢</w:t>
      </w:r>
      <w:r>
        <w:rPr/>
        <w:t>（手和足</w:t>
      </w:r>
      <w:r>
        <w:rPr>
          <w:spacing w:val="-8"/>
        </w:rPr>
        <w:t>）</w:t>
      </w:r>
      <w:r>
        <w:rPr/>
        <w:t>或皮肤剂量约束值限值（</w:t>
      </w:r>
      <w:r>
        <w:rPr>
          <w:rFonts w:ascii="Times New Roman" w:eastAsia="Times New Roman"/>
        </w:rPr>
        <w:t>125mSv/a</w:t>
      </w:r>
      <w:r>
        <w:rPr/>
        <w:t>）。</w:t>
      </w:r>
    </w:p>
    <w:p>
      <w:pPr>
        <w:pStyle w:val="BodyText"/>
        <w:spacing w:before="3"/>
        <w:ind w:left="742"/>
      </w:pPr>
      <w:r>
        <w:rPr/>
        <w:t>8、保护目标的环境影响分析</w:t>
      </w:r>
      <w:r>
        <w:rPr>
          <w:w w:val="50"/>
        </w:rPr>
        <w:t> </w:t>
      </w:r>
    </w:p>
    <w:p>
      <w:pPr>
        <w:pStyle w:val="BodyText"/>
        <w:spacing w:line="364" w:lineRule="auto" w:before="160"/>
        <w:ind w:left="272" w:right="153" w:firstLine="463"/>
      </w:pPr>
      <w:r>
        <w:rPr>
          <w:spacing w:val="-10"/>
        </w:rPr>
        <w:t>本项目介入治疗室周围 </w:t>
      </w:r>
      <w:r>
        <w:rPr>
          <w:rFonts w:ascii="Times New Roman" w:eastAsia="Times New Roman"/>
          <w:spacing w:val="-4"/>
        </w:rPr>
        <w:t>50m </w:t>
      </w:r>
      <w:r>
        <w:rPr>
          <w:spacing w:val="-6"/>
        </w:rPr>
        <w:t>范围内均位于医院院区内，</w:t>
      </w:r>
      <w:r>
        <w:rPr>
          <w:rFonts w:ascii="Times New Roman" w:eastAsia="Times New Roman"/>
          <w:spacing w:val="-5"/>
        </w:rPr>
        <w:t>50m </w:t>
      </w:r>
      <w:r>
        <w:rPr>
          <w:spacing w:val="-9"/>
        </w:rPr>
        <w:t>范围内无学校等其他</w:t>
      </w:r>
      <w:r>
        <w:rPr>
          <w:spacing w:val="-16"/>
        </w:rPr>
        <w:t>环境敏感点，本项目环境保护目标为医院辐射工作人员、医院内的其他医护人员、公众，</w:t>
      </w:r>
    </w:p>
    <w:p>
      <w:pPr>
        <w:spacing w:after="0" w:line="364" w:lineRule="auto"/>
        <w:sectPr>
          <w:pgSz w:w="11910" w:h="16840"/>
          <w:pgMar w:header="0" w:footer="881" w:top="1220" w:bottom="1080" w:left="1480" w:right="1020"/>
        </w:sectPr>
      </w:pPr>
    </w:p>
    <w:p>
      <w:pPr>
        <w:pStyle w:val="BodyText"/>
        <w:spacing w:before="100"/>
        <w:ind w:left="272"/>
      </w:pPr>
      <w:r>
        <w:rPr/>
        <w:pict>
          <v:group style="position:absolute;margin-left:81.959999pt;margin-top:62.399937pt;width:454.2pt;height:698.65pt;mso-position-horizontal-relative:page;mso-position-vertical-relative:page;z-index:-211096" coordorigin="1639,1248" coordsize="9084,13973">
            <v:line style="position:absolute" from="1639,1253" to="10714,1253" stroked="true" strokeweight=".479999pt" strokecolor="#000000">
              <v:stroke dashstyle="solid"/>
            </v:line>
            <v:line style="position:absolute" from="1644,1258" to="1644,15221" stroked="true" strokeweight=".479999pt" strokecolor="#000000">
              <v:stroke dashstyle="solid"/>
            </v:line>
            <v:line style="position:absolute" from="1639,15216" to="10714,15216" stroked="true" strokeweight=".479966pt" strokecolor="#000000">
              <v:stroke dashstyle="solid"/>
            </v:line>
            <v:line style="position:absolute" from="10718,1248" to="10718,15221" stroked="true" strokeweight=".480011pt" strokecolor="#000000">
              <v:stroke dashstyle="solid"/>
            </v:line>
            <w10:wrap type="none"/>
          </v:group>
        </w:pict>
      </w:r>
      <w:r>
        <w:rPr/>
        <w:t>本项目环境保护目标年有效剂量计算结果见表 </w:t>
      </w:r>
      <w:r>
        <w:rPr>
          <w:rFonts w:ascii="Times New Roman" w:eastAsia="Times New Roman"/>
        </w:rPr>
        <w:t>11-8</w:t>
      </w:r>
      <w:r>
        <w:rPr/>
        <w:t>。</w:t>
      </w:r>
    </w:p>
    <w:p>
      <w:pPr>
        <w:spacing w:before="102" w:after="21"/>
        <w:ind w:left="2331" w:right="0" w:firstLine="0"/>
        <w:jc w:val="left"/>
        <w:rPr>
          <w:sz w:val="21"/>
        </w:rPr>
      </w:pPr>
      <w:r>
        <w:rPr>
          <w:spacing w:val="-27"/>
          <w:sz w:val="21"/>
        </w:rPr>
        <w:t>表 </w:t>
      </w:r>
      <w:r>
        <w:rPr>
          <w:rFonts w:ascii="Times New Roman" w:eastAsia="Times New Roman"/>
          <w:sz w:val="21"/>
        </w:rPr>
        <w:t>11-8 </w:t>
      </w:r>
      <w:r>
        <w:rPr>
          <w:spacing w:val="-4"/>
          <w:sz w:val="21"/>
        </w:rPr>
        <w:t>本项目评价范围内敏感保护目标情况一览表</w:t>
      </w:r>
    </w:p>
    <w:tbl>
      <w:tblPr>
        <w:tblW w:w="0" w:type="auto"/>
        <w:jc w:val="left"/>
        <w:tblInd w:w="2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67"/>
        <w:gridCol w:w="425"/>
        <w:gridCol w:w="850"/>
        <w:gridCol w:w="2693"/>
        <w:gridCol w:w="1330"/>
        <w:gridCol w:w="1364"/>
        <w:gridCol w:w="711"/>
        <w:gridCol w:w="1222"/>
      </w:tblGrid>
      <w:tr>
        <w:trPr>
          <w:trHeight w:val="934" w:hRule="atLeast"/>
        </w:trPr>
        <w:tc>
          <w:tcPr>
            <w:tcW w:w="792" w:type="dxa"/>
            <w:gridSpan w:val="2"/>
            <w:tcBorders>
              <w:left w:val="nil"/>
              <w:right w:val="single" w:sz="4" w:space="0" w:color="000000"/>
            </w:tcBorders>
          </w:tcPr>
          <w:p>
            <w:pPr>
              <w:pStyle w:val="TableParagraph"/>
              <w:spacing w:line="278" w:lineRule="auto" w:before="178"/>
              <w:ind w:left="199" w:right="163"/>
              <w:jc w:val="left"/>
              <w:rPr>
                <w:sz w:val="21"/>
              </w:rPr>
            </w:pPr>
            <w:r>
              <w:rPr>
                <w:sz w:val="21"/>
              </w:rPr>
              <w:t>保护目标</w:t>
            </w:r>
          </w:p>
        </w:tc>
        <w:tc>
          <w:tcPr>
            <w:tcW w:w="3543" w:type="dxa"/>
            <w:gridSpan w:val="2"/>
            <w:tcBorders>
              <w:left w:val="single" w:sz="4" w:space="0" w:color="000000"/>
              <w:right w:val="single" w:sz="4" w:space="0" w:color="000000"/>
            </w:tcBorders>
          </w:tcPr>
          <w:p>
            <w:pPr>
              <w:pStyle w:val="TableParagraph"/>
              <w:spacing w:before="1"/>
              <w:jc w:val="left"/>
              <w:rPr>
                <w:sz w:val="26"/>
              </w:rPr>
            </w:pPr>
          </w:p>
          <w:p>
            <w:pPr>
              <w:pStyle w:val="TableParagraph"/>
              <w:ind w:left="1443" w:right="1415"/>
              <w:rPr>
                <w:sz w:val="21"/>
              </w:rPr>
            </w:pPr>
            <w:r>
              <w:rPr>
                <w:sz w:val="21"/>
              </w:rPr>
              <w:t>方位</w:t>
            </w:r>
          </w:p>
        </w:tc>
        <w:tc>
          <w:tcPr>
            <w:tcW w:w="1330" w:type="dxa"/>
            <w:tcBorders>
              <w:left w:val="single" w:sz="4" w:space="0" w:color="000000"/>
              <w:right w:val="single" w:sz="4" w:space="0" w:color="000000"/>
            </w:tcBorders>
          </w:tcPr>
          <w:p>
            <w:pPr>
              <w:pStyle w:val="TableParagraph"/>
              <w:spacing w:line="278" w:lineRule="auto" w:before="178"/>
              <w:ind w:left="253" w:right="116" w:hanging="106"/>
              <w:jc w:val="left"/>
              <w:rPr>
                <w:sz w:val="21"/>
              </w:rPr>
            </w:pPr>
            <w:r>
              <w:rPr>
                <w:sz w:val="21"/>
              </w:rPr>
              <w:t>与射线装置最近距离</w:t>
            </w:r>
          </w:p>
        </w:tc>
        <w:tc>
          <w:tcPr>
            <w:tcW w:w="1364" w:type="dxa"/>
            <w:tcBorders>
              <w:left w:val="single" w:sz="4" w:space="0" w:color="000000"/>
              <w:right w:val="single" w:sz="4" w:space="0" w:color="000000"/>
            </w:tcBorders>
          </w:tcPr>
          <w:p>
            <w:pPr>
              <w:pStyle w:val="TableParagraph"/>
              <w:spacing w:line="278" w:lineRule="auto" w:before="22"/>
              <w:ind w:left="485" w:right="96" w:hanging="308"/>
              <w:jc w:val="left"/>
              <w:rPr>
                <w:sz w:val="21"/>
              </w:rPr>
            </w:pPr>
            <w:r>
              <w:rPr>
                <w:sz w:val="21"/>
              </w:rPr>
              <w:t>年有效剂量合计</w:t>
            </w:r>
          </w:p>
          <w:p>
            <w:pPr>
              <w:pStyle w:val="TableParagraph"/>
              <w:spacing w:line="268" w:lineRule="exact"/>
              <w:ind w:left="224"/>
              <w:jc w:val="left"/>
              <w:rPr>
                <w:sz w:val="21"/>
              </w:rPr>
            </w:pPr>
            <w:r>
              <w:rPr>
                <w:sz w:val="21"/>
              </w:rPr>
              <w:t>（</w:t>
            </w:r>
            <w:r>
              <w:rPr>
                <w:rFonts w:ascii="Times New Roman" w:eastAsia="Times New Roman"/>
                <w:sz w:val="21"/>
              </w:rPr>
              <w:t>mSv/a</w:t>
            </w:r>
            <w:r>
              <w:rPr>
                <w:sz w:val="21"/>
              </w:rPr>
              <w:t>）</w:t>
            </w:r>
          </w:p>
        </w:tc>
        <w:tc>
          <w:tcPr>
            <w:tcW w:w="711" w:type="dxa"/>
            <w:tcBorders>
              <w:left w:val="single" w:sz="4" w:space="0" w:color="000000"/>
              <w:right w:val="single" w:sz="4" w:space="0" w:color="000000"/>
            </w:tcBorders>
          </w:tcPr>
          <w:p>
            <w:pPr>
              <w:pStyle w:val="TableParagraph"/>
              <w:spacing w:line="278" w:lineRule="auto" w:before="178"/>
              <w:ind w:left="151" w:right="124"/>
              <w:jc w:val="left"/>
              <w:rPr>
                <w:sz w:val="21"/>
              </w:rPr>
            </w:pPr>
            <w:r>
              <w:rPr>
                <w:sz w:val="21"/>
              </w:rPr>
              <w:t>照射类型</w:t>
            </w:r>
          </w:p>
        </w:tc>
        <w:tc>
          <w:tcPr>
            <w:tcW w:w="1222" w:type="dxa"/>
            <w:tcBorders>
              <w:left w:val="single" w:sz="4" w:space="0" w:color="000000"/>
              <w:right w:val="nil"/>
            </w:tcBorders>
          </w:tcPr>
          <w:p>
            <w:pPr>
              <w:pStyle w:val="TableParagraph"/>
              <w:spacing w:line="278" w:lineRule="auto" w:before="178"/>
              <w:ind w:left="139" w:right="117" w:firstLine="57"/>
              <w:jc w:val="left"/>
              <w:rPr>
                <w:sz w:val="21"/>
              </w:rPr>
            </w:pPr>
            <w:r>
              <w:rPr>
                <w:sz w:val="21"/>
              </w:rPr>
              <w:t>剂量约束值(</w:t>
            </w:r>
            <w:r>
              <w:rPr>
                <w:rFonts w:ascii="Times New Roman" w:eastAsia="Times New Roman"/>
                <w:sz w:val="21"/>
              </w:rPr>
              <w:t>mSv/a</w:t>
            </w:r>
            <w:r>
              <w:rPr>
                <w:sz w:val="21"/>
              </w:rPr>
              <w:t>)</w:t>
            </w:r>
          </w:p>
        </w:tc>
      </w:tr>
      <w:tr>
        <w:trPr>
          <w:trHeight w:val="365" w:hRule="atLeast"/>
        </w:trPr>
        <w:tc>
          <w:tcPr>
            <w:tcW w:w="367" w:type="dxa"/>
            <w:vMerge w:val="restart"/>
            <w:tcBorders>
              <w:left w:val="nil"/>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1"/>
              <w:jc w:val="left"/>
              <w:rPr>
                <w:sz w:val="22"/>
              </w:rPr>
            </w:pPr>
          </w:p>
          <w:p>
            <w:pPr>
              <w:pStyle w:val="TableParagraph"/>
              <w:spacing w:line="278" w:lineRule="auto" w:before="1"/>
              <w:ind w:left="122" w:right="26"/>
              <w:jc w:val="both"/>
              <w:rPr>
                <w:sz w:val="21"/>
              </w:rPr>
            </w:pPr>
            <w:r>
              <w:rPr>
                <w:sz w:val="21"/>
              </w:rPr>
              <w:t>介入治疗室</w:t>
            </w:r>
          </w:p>
        </w:tc>
        <w:tc>
          <w:tcPr>
            <w:tcW w:w="425" w:type="dxa"/>
            <w:vMerge w:val="restart"/>
            <w:tcBorders>
              <w:left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3"/>
              <w:jc w:val="left"/>
              <w:rPr>
                <w:sz w:val="20"/>
              </w:rPr>
            </w:pPr>
          </w:p>
          <w:p>
            <w:pPr>
              <w:pStyle w:val="TableParagraph"/>
              <w:spacing w:line="278" w:lineRule="auto"/>
              <w:ind w:left="115" w:right="86"/>
              <w:jc w:val="left"/>
              <w:rPr>
                <w:sz w:val="21"/>
              </w:rPr>
            </w:pPr>
            <w:r>
              <w:rPr>
                <w:sz w:val="21"/>
              </w:rPr>
              <w:t>院内</w:t>
            </w:r>
          </w:p>
        </w:tc>
        <w:tc>
          <w:tcPr>
            <w:tcW w:w="3543" w:type="dxa"/>
            <w:gridSpan w:val="2"/>
            <w:tcBorders>
              <w:left w:val="single" w:sz="4" w:space="0" w:color="000000"/>
              <w:bottom w:val="single" w:sz="4" w:space="0" w:color="000000"/>
              <w:right w:val="single" w:sz="4" w:space="0" w:color="000000"/>
            </w:tcBorders>
          </w:tcPr>
          <w:p>
            <w:pPr>
              <w:pStyle w:val="TableParagraph"/>
              <w:spacing w:before="55"/>
              <w:ind w:left="518"/>
              <w:jc w:val="left"/>
              <w:rPr>
                <w:sz w:val="21"/>
              </w:rPr>
            </w:pPr>
            <w:r>
              <w:rPr>
                <w:sz w:val="21"/>
              </w:rPr>
              <w:t>介入治疗室内床旁操作人员</w:t>
            </w:r>
          </w:p>
        </w:tc>
        <w:tc>
          <w:tcPr>
            <w:tcW w:w="1330" w:type="dxa"/>
            <w:tcBorders>
              <w:left w:val="single" w:sz="4" w:space="0" w:color="000000"/>
              <w:bottom w:val="single" w:sz="4" w:space="0" w:color="000000"/>
              <w:right w:val="single" w:sz="4" w:space="0" w:color="000000"/>
            </w:tcBorders>
          </w:tcPr>
          <w:p>
            <w:pPr>
              <w:pStyle w:val="TableParagraph"/>
              <w:spacing w:before="55"/>
              <w:ind w:left="234" w:right="205"/>
              <w:rPr>
                <w:sz w:val="21"/>
              </w:rPr>
            </w:pPr>
            <w:r>
              <w:rPr>
                <w:sz w:val="21"/>
              </w:rPr>
              <w:t>手术室内</w:t>
            </w:r>
          </w:p>
        </w:tc>
        <w:tc>
          <w:tcPr>
            <w:tcW w:w="1364" w:type="dxa"/>
            <w:tcBorders>
              <w:left w:val="single" w:sz="4" w:space="0" w:color="000000"/>
              <w:bottom w:val="single" w:sz="4" w:space="0" w:color="000000"/>
              <w:right w:val="single" w:sz="4" w:space="0" w:color="000000"/>
            </w:tcBorders>
          </w:tcPr>
          <w:p>
            <w:pPr>
              <w:pStyle w:val="TableParagraph"/>
              <w:spacing w:before="69"/>
              <w:ind w:left="264" w:right="233"/>
              <w:rPr>
                <w:rFonts w:ascii="Times New Roman"/>
                <w:sz w:val="21"/>
              </w:rPr>
            </w:pPr>
            <w:r>
              <w:rPr>
                <w:rFonts w:ascii="Times New Roman"/>
                <w:sz w:val="21"/>
              </w:rPr>
              <w:t>1.56</w:t>
            </w:r>
          </w:p>
        </w:tc>
        <w:tc>
          <w:tcPr>
            <w:tcW w:w="711" w:type="dxa"/>
            <w:vMerge w:val="restart"/>
            <w:tcBorders>
              <w:left w:val="single" w:sz="4" w:space="0" w:color="000000"/>
              <w:bottom w:val="single" w:sz="4" w:space="0" w:color="000000"/>
              <w:right w:val="single" w:sz="4" w:space="0" w:color="000000"/>
            </w:tcBorders>
          </w:tcPr>
          <w:p>
            <w:pPr>
              <w:pStyle w:val="TableParagraph"/>
              <w:spacing w:before="4"/>
              <w:jc w:val="left"/>
              <w:rPr>
                <w:sz w:val="19"/>
              </w:rPr>
            </w:pPr>
          </w:p>
          <w:p>
            <w:pPr>
              <w:pStyle w:val="TableParagraph"/>
              <w:ind w:left="151"/>
              <w:jc w:val="left"/>
              <w:rPr>
                <w:sz w:val="21"/>
              </w:rPr>
            </w:pPr>
            <w:r>
              <w:rPr>
                <w:sz w:val="21"/>
              </w:rPr>
              <w:t>职业</w:t>
            </w:r>
          </w:p>
        </w:tc>
        <w:tc>
          <w:tcPr>
            <w:tcW w:w="1222" w:type="dxa"/>
            <w:vMerge w:val="restart"/>
            <w:tcBorders>
              <w:left w:val="single" w:sz="4" w:space="0" w:color="000000"/>
              <w:bottom w:val="single" w:sz="4" w:space="0" w:color="000000"/>
              <w:right w:val="nil"/>
            </w:tcBorders>
          </w:tcPr>
          <w:p>
            <w:pPr>
              <w:pStyle w:val="TableParagraph"/>
              <w:spacing w:before="5"/>
              <w:jc w:val="left"/>
              <w:rPr>
                <w:sz w:val="20"/>
              </w:rPr>
            </w:pPr>
          </w:p>
          <w:p>
            <w:pPr>
              <w:pStyle w:val="TableParagraph"/>
              <w:ind w:left="16"/>
              <w:rPr>
                <w:rFonts w:ascii="Times New Roman"/>
                <w:sz w:val="21"/>
              </w:rPr>
            </w:pPr>
            <w:r>
              <w:rPr>
                <w:rFonts w:ascii="Times New Roman"/>
                <w:w w:val="100"/>
                <w:sz w:val="21"/>
              </w:rPr>
              <w:t>5</w:t>
            </w:r>
          </w:p>
        </w:tc>
      </w:tr>
      <w:tr>
        <w:trPr>
          <w:trHeight w:val="354"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4"/>
              <w:ind w:left="1043"/>
              <w:jc w:val="left"/>
              <w:rPr>
                <w:sz w:val="21"/>
              </w:rPr>
            </w:pPr>
            <w:r>
              <w:rPr>
                <w:sz w:val="21"/>
              </w:rPr>
              <w:t>控制室（西侧）</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57"/>
              <w:ind w:left="28"/>
              <w:rPr>
                <w:rFonts w:ascii="Times New Roman"/>
                <w:sz w:val="21"/>
              </w:rPr>
            </w:pPr>
            <w:r>
              <w:rPr>
                <w:rFonts w:ascii="Times New Roman"/>
                <w:w w:val="100"/>
                <w:sz w:val="21"/>
              </w:rPr>
              <w:t>/</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57"/>
              <w:ind w:left="262" w:right="235"/>
              <w:rPr>
                <w:rFonts w:ascii="Times New Roman"/>
                <w:sz w:val="21"/>
              </w:rPr>
            </w:pPr>
            <w:r>
              <w:rPr>
                <w:rFonts w:ascii="Times New Roman"/>
                <w:sz w:val="21"/>
              </w:rPr>
              <w:t>0.09</w:t>
            </w:r>
          </w:p>
        </w:tc>
        <w:tc>
          <w:tcPr>
            <w:tcW w:w="711" w:type="dxa"/>
            <w:vMerge/>
            <w:tcBorders>
              <w:top w:val="nil"/>
              <w:left w:val="single" w:sz="4" w:space="0" w:color="000000"/>
              <w:bottom w:val="single" w:sz="4" w:space="0" w:color="000000"/>
              <w:right w:val="single" w:sz="4" w:space="0" w:color="000000"/>
            </w:tcBorders>
          </w:tcPr>
          <w:p>
            <w:pPr>
              <w:rPr>
                <w:sz w:val="2"/>
                <w:szCs w:val="2"/>
              </w:rPr>
            </w:pPr>
          </w:p>
        </w:tc>
        <w:tc>
          <w:tcPr>
            <w:tcW w:w="1222" w:type="dxa"/>
            <w:vMerge/>
            <w:tcBorders>
              <w:top w:val="nil"/>
              <w:left w:val="single" w:sz="4" w:space="0" w:color="000000"/>
              <w:bottom w:val="single" w:sz="4" w:space="0" w:color="000000"/>
              <w:right w:val="nil"/>
            </w:tcBorders>
          </w:tcPr>
          <w:p>
            <w:pPr>
              <w:rPr>
                <w:sz w:val="2"/>
                <w:szCs w:val="2"/>
              </w:rPr>
            </w:pP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26"/>
              </w:rPr>
            </w:pPr>
          </w:p>
          <w:p>
            <w:pPr>
              <w:pStyle w:val="TableParagraph"/>
              <w:ind w:left="126"/>
              <w:jc w:val="left"/>
              <w:rPr>
                <w:sz w:val="21"/>
              </w:rPr>
            </w:pPr>
            <w:r>
              <w:rPr>
                <w:sz w:val="21"/>
              </w:rPr>
              <w:t>行政楼</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76" w:right="44"/>
              <w:rPr>
                <w:sz w:val="21"/>
              </w:rPr>
            </w:pPr>
            <w:r>
              <w:rPr>
                <w:sz w:val="21"/>
              </w:rPr>
              <w:t>东侧污物通道</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4" w:right="205"/>
              <w:rPr>
                <w:rFonts w:ascii="Times New Roman"/>
                <w:sz w:val="21"/>
              </w:rPr>
            </w:pPr>
            <w:r>
              <w:rPr>
                <w:rFonts w:ascii="Times New Roman"/>
                <w:sz w:val="21"/>
              </w:rPr>
              <w:t>5.6m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3"/>
              <w:rPr>
                <w:rFonts w:ascii="Times New Roman" w:hAnsi="Times New Roman"/>
                <w:sz w:val="14"/>
              </w:rPr>
            </w:pPr>
            <w:r>
              <w:rPr>
                <w:rFonts w:ascii="Times New Roman" w:hAnsi="Times New Roman"/>
                <w:sz w:val="21"/>
              </w:rPr>
              <w:t>5.54×10</w:t>
            </w:r>
            <w:r>
              <w:rPr>
                <w:rFonts w:ascii="Times New Roman" w:hAnsi="Times New Roman"/>
                <w:position w:val="7"/>
                <w:sz w:val="14"/>
              </w:rPr>
              <w:t>-6</w:t>
            </w:r>
          </w:p>
        </w:tc>
        <w:tc>
          <w:tcPr>
            <w:tcW w:w="711" w:type="dxa"/>
            <w:vMerge w:val="restart"/>
            <w:tcBorders>
              <w:top w:val="single" w:sz="4" w:space="0" w:color="000000"/>
              <w:left w:val="single" w:sz="4" w:space="0" w:color="000000"/>
              <w:right w:val="single" w:sz="4" w:space="0" w:color="000000"/>
            </w:tcBorders>
          </w:tcPr>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jc w:val="left"/>
              <w:rPr>
                <w:sz w:val="24"/>
              </w:rPr>
            </w:pPr>
          </w:p>
          <w:p>
            <w:pPr>
              <w:pStyle w:val="TableParagraph"/>
              <w:spacing w:before="6"/>
              <w:jc w:val="left"/>
              <w:rPr>
                <w:sz w:val="25"/>
              </w:rPr>
            </w:pPr>
          </w:p>
          <w:p>
            <w:pPr>
              <w:pStyle w:val="TableParagraph"/>
              <w:spacing w:before="1"/>
              <w:ind w:left="151"/>
              <w:jc w:val="left"/>
              <w:rPr>
                <w:sz w:val="21"/>
              </w:rPr>
            </w:pPr>
            <w:r>
              <w:rPr>
                <w:sz w:val="21"/>
              </w:rPr>
              <w:t>公众</w:t>
            </w:r>
          </w:p>
        </w:tc>
        <w:tc>
          <w:tcPr>
            <w:tcW w:w="1222" w:type="dxa"/>
            <w:vMerge w:val="restart"/>
            <w:tcBorders>
              <w:top w:val="single" w:sz="4" w:space="0" w:color="000000"/>
              <w:left w:val="single" w:sz="4" w:space="0" w:color="000000"/>
              <w:right w:val="nil"/>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8"/>
              <w:jc w:val="left"/>
              <w:rPr>
                <w:sz w:val="18"/>
              </w:rPr>
            </w:pPr>
          </w:p>
          <w:p>
            <w:pPr>
              <w:pStyle w:val="TableParagraph"/>
              <w:ind w:left="467" w:right="446"/>
              <w:rPr>
                <w:rFonts w:ascii="Times New Roman"/>
                <w:sz w:val="21"/>
              </w:rPr>
            </w:pPr>
            <w:r>
              <w:rPr>
                <w:rFonts w:ascii="Times New Roman"/>
                <w:sz w:val="21"/>
              </w:rPr>
              <w:t>0.1</w:t>
            </w: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850"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78" w:right="44"/>
              <w:rPr>
                <w:sz w:val="21"/>
              </w:rPr>
            </w:pPr>
            <w:r>
              <w:rPr>
                <w:sz w:val="21"/>
              </w:rPr>
              <w:t>东侧家属等候区、大厅</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2" w:right="205"/>
              <w:rPr>
                <w:rFonts w:ascii="Times New Roman"/>
                <w:sz w:val="21"/>
              </w:rPr>
            </w:pPr>
            <w:r>
              <w:rPr>
                <w:rFonts w:ascii="Times New Roman"/>
                <w:sz w:val="21"/>
              </w:rPr>
              <w:t>15m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3"/>
              <w:rPr>
                <w:rFonts w:ascii="Times New Roman" w:hAnsi="Times New Roman"/>
                <w:sz w:val="14"/>
              </w:rPr>
            </w:pPr>
            <w:r>
              <w:rPr>
                <w:rFonts w:ascii="Times New Roman" w:hAnsi="Times New Roman"/>
                <w:sz w:val="21"/>
              </w:rPr>
              <w:t>7.73×10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850"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76" w:right="44"/>
              <w:rPr>
                <w:sz w:val="21"/>
              </w:rPr>
            </w:pPr>
            <w:r>
              <w:rPr>
                <w:sz w:val="21"/>
              </w:rPr>
              <w:t>东侧院内道路</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2" w:right="205"/>
              <w:rPr>
                <w:rFonts w:ascii="Times New Roman"/>
                <w:sz w:val="21"/>
              </w:rPr>
            </w:pPr>
            <w:r>
              <w:rPr>
                <w:rFonts w:ascii="Times New Roman"/>
                <w:sz w:val="21"/>
              </w:rPr>
              <w:t>30m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4"/>
              <w:rPr>
                <w:rFonts w:ascii="Times New Roman" w:hAnsi="Times New Roman"/>
                <w:sz w:val="14"/>
              </w:rPr>
            </w:pPr>
            <w:r>
              <w:rPr>
                <w:rFonts w:ascii="Times New Roman" w:hAnsi="Times New Roman"/>
                <w:sz w:val="21"/>
              </w:rPr>
              <w:t>1.93×10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850"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
              <w:jc w:val="left"/>
              <w:rPr>
                <w:sz w:val="26"/>
              </w:rPr>
            </w:pPr>
          </w:p>
          <w:p>
            <w:pPr>
              <w:pStyle w:val="TableParagraph"/>
              <w:ind w:left="126"/>
              <w:jc w:val="left"/>
              <w:rPr>
                <w:sz w:val="21"/>
              </w:rPr>
            </w:pPr>
            <w:r>
              <w:rPr>
                <w:sz w:val="21"/>
              </w:rPr>
              <w:t>药剂楼</w:t>
            </w: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78" w:right="44"/>
              <w:rPr>
                <w:sz w:val="21"/>
              </w:rPr>
            </w:pPr>
            <w:r>
              <w:rPr>
                <w:sz w:val="21"/>
              </w:rPr>
              <w:t>东侧洗瓶净瓶及质检区</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4" w:right="205"/>
              <w:rPr>
                <w:rFonts w:ascii="Times New Roman"/>
                <w:sz w:val="21"/>
              </w:rPr>
            </w:pPr>
            <w:r>
              <w:rPr>
                <w:rFonts w:ascii="Times New Roman"/>
                <w:sz w:val="21"/>
              </w:rPr>
              <w:t>5.6m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3"/>
              <w:rPr>
                <w:rFonts w:ascii="Times New Roman" w:hAnsi="Times New Roman"/>
                <w:sz w:val="14"/>
              </w:rPr>
            </w:pPr>
            <w:r>
              <w:rPr>
                <w:rFonts w:ascii="Times New Roman" w:hAnsi="Times New Roman"/>
                <w:sz w:val="21"/>
              </w:rPr>
              <w:t>5.54×10</w:t>
            </w:r>
            <w:r>
              <w:rPr>
                <w:rFonts w:ascii="Times New Roman" w:hAnsi="Times New Roman"/>
                <w:position w:val="7"/>
                <w:sz w:val="14"/>
              </w:rPr>
              <w:t>-6</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850"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78" w:right="44"/>
              <w:rPr>
                <w:sz w:val="21"/>
              </w:rPr>
            </w:pPr>
            <w:r>
              <w:rPr>
                <w:sz w:val="21"/>
              </w:rPr>
              <w:t>东侧原辅材料暂存及包装区</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3" w:right="205"/>
              <w:rPr>
                <w:rFonts w:ascii="Times New Roman"/>
                <w:sz w:val="21"/>
              </w:rPr>
            </w:pPr>
            <w:r>
              <w:rPr>
                <w:rFonts w:ascii="Times New Roman"/>
                <w:sz w:val="21"/>
              </w:rPr>
              <w:t>18m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5"/>
              <w:rPr>
                <w:rFonts w:ascii="Times New Roman" w:hAnsi="Times New Roman"/>
                <w:sz w:val="14"/>
              </w:rPr>
            </w:pPr>
            <w:r>
              <w:rPr>
                <w:rFonts w:ascii="Times New Roman" w:hAnsi="Times New Roman"/>
                <w:sz w:val="21"/>
              </w:rPr>
              <w:t>5.37×10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293"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850" w:type="dxa"/>
            <w:vMerge/>
            <w:tcBorders>
              <w:top w:val="nil"/>
              <w:left w:val="single" w:sz="4" w:space="0" w:color="000000"/>
              <w:bottom w:val="single" w:sz="4" w:space="0" w:color="000000"/>
              <w:right w:val="single" w:sz="4" w:space="0" w:color="000000"/>
            </w:tcBorders>
          </w:tcPr>
          <w:p>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pPr>
              <w:pStyle w:val="TableParagraph"/>
              <w:spacing w:line="259" w:lineRule="exact" w:before="15"/>
              <w:ind w:left="76" w:right="44"/>
              <w:rPr>
                <w:sz w:val="21"/>
              </w:rPr>
            </w:pPr>
            <w:r>
              <w:rPr>
                <w:sz w:val="21"/>
              </w:rPr>
              <w:t>东侧院内道路</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9"/>
              <w:ind w:left="232" w:right="205"/>
              <w:rPr>
                <w:rFonts w:ascii="Times New Roman"/>
                <w:sz w:val="21"/>
              </w:rPr>
            </w:pPr>
            <w:r>
              <w:rPr>
                <w:rFonts w:ascii="Times New Roman"/>
                <w:sz w:val="21"/>
              </w:rPr>
              <w:t>30m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4"/>
              <w:ind w:left="264" w:right="234"/>
              <w:rPr>
                <w:rFonts w:ascii="Times New Roman" w:hAnsi="Times New Roman"/>
                <w:sz w:val="14"/>
              </w:rPr>
            </w:pPr>
            <w:r>
              <w:rPr>
                <w:rFonts w:ascii="Times New Roman" w:hAnsi="Times New Roman"/>
                <w:sz w:val="21"/>
              </w:rPr>
              <w:t>1.93×10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844"/>
              <w:jc w:val="left"/>
              <w:rPr>
                <w:sz w:val="21"/>
              </w:rPr>
            </w:pPr>
            <w:r>
              <w:rPr>
                <w:sz w:val="21"/>
              </w:rPr>
              <w:t>南侧通道（药剂楼）</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1" w:right="205"/>
              <w:rPr>
                <w:rFonts w:ascii="Times New Roman"/>
                <w:sz w:val="21"/>
              </w:rPr>
            </w:pPr>
            <w:r>
              <w:rPr>
                <w:rFonts w:ascii="Times New Roman"/>
                <w:sz w:val="21"/>
              </w:rPr>
              <w:t>4.4m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4"/>
              <w:rPr>
                <w:rFonts w:ascii="Times New Roman" w:hAnsi="Times New Roman"/>
                <w:sz w:val="14"/>
              </w:rPr>
            </w:pPr>
            <w:r>
              <w:rPr>
                <w:rFonts w:ascii="Times New Roman" w:hAnsi="Times New Roman"/>
                <w:sz w:val="21"/>
              </w:rPr>
              <w:t>8.89×10</w:t>
            </w:r>
            <w:r>
              <w:rPr>
                <w:rFonts w:ascii="Times New Roman" w:hAnsi="Times New Roman"/>
                <w:position w:val="7"/>
                <w:sz w:val="14"/>
              </w:rPr>
              <w:t>-6</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915"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line="278" w:lineRule="auto" w:before="12"/>
              <w:ind w:left="203" w:right="169" w:hanging="5"/>
              <w:rPr>
                <w:sz w:val="21"/>
              </w:rPr>
            </w:pPr>
            <w:r>
              <w:rPr>
                <w:sz w:val="21"/>
              </w:rPr>
              <w:t>南侧原辅材料暂存间、备料间、更衣清洗区、配电室及空调机房（药</w:t>
            </w:r>
          </w:p>
          <w:p>
            <w:pPr>
              <w:pStyle w:val="TableParagraph"/>
              <w:spacing w:line="259" w:lineRule="exact"/>
              <w:ind w:left="1443" w:right="1420"/>
              <w:rPr>
                <w:sz w:val="21"/>
              </w:rPr>
            </w:pPr>
            <w:r>
              <w:rPr>
                <w:sz w:val="21"/>
              </w:rPr>
              <w:t>剂楼）</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sz w:val="26"/>
              </w:rPr>
            </w:pPr>
          </w:p>
          <w:p>
            <w:pPr>
              <w:pStyle w:val="TableParagraph"/>
              <w:ind w:left="233" w:right="205"/>
              <w:rPr>
                <w:rFonts w:ascii="Times New Roman"/>
                <w:sz w:val="21"/>
              </w:rPr>
            </w:pPr>
            <w:r>
              <w:rPr>
                <w:rFonts w:ascii="Times New Roman"/>
                <w:sz w:val="21"/>
              </w:rPr>
              <w:t>6.5m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jc w:val="left"/>
              <w:rPr>
                <w:sz w:val="26"/>
              </w:rPr>
            </w:pPr>
          </w:p>
          <w:p>
            <w:pPr>
              <w:pStyle w:val="TableParagraph"/>
              <w:ind w:left="264" w:right="234"/>
              <w:rPr>
                <w:rFonts w:ascii="Times New Roman" w:hAnsi="Times New Roman"/>
                <w:sz w:val="14"/>
              </w:rPr>
            </w:pPr>
            <w:r>
              <w:rPr>
                <w:rFonts w:ascii="Times New Roman" w:hAnsi="Times New Roman"/>
                <w:sz w:val="21"/>
              </w:rPr>
              <w:t>4.12×10</w:t>
            </w:r>
            <w:r>
              <w:rPr>
                <w:rFonts w:ascii="Times New Roman" w:hAnsi="Times New Roman"/>
                <w:position w:val="7"/>
                <w:sz w:val="14"/>
              </w:rPr>
              <w:t>-6</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354"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3"/>
              <w:ind w:left="1149"/>
              <w:jc w:val="left"/>
              <w:rPr>
                <w:sz w:val="21"/>
              </w:rPr>
            </w:pPr>
            <w:r>
              <w:rPr>
                <w:sz w:val="21"/>
              </w:rPr>
              <w:t>南侧院内道路</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57"/>
              <w:ind w:left="233" w:right="205"/>
              <w:rPr>
                <w:rFonts w:ascii="Times New Roman"/>
                <w:sz w:val="21"/>
              </w:rPr>
            </w:pPr>
            <w:r>
              <w:rPr>
                <w:rFonts w:ascii="Times New Roman"/>
                <w:sz w:val="21"/>
              </w:rPr>
              <w:t>23m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53"/>
              <w:ind w:left="264" w:right="235"/>
              <w:rPr>
                <w:rFonts w:ascii="Times New Roman" w:hAnsi="Times New Roman"/>
                <w:sz w:val="14"/>
              </w:rPr>
            </w:pPr>
            <w:r>
              <w:rPr>
                <w:rFonts w:ascii="Times New Roman" w:hAnsi="Times New Roman"/>
                <w:sz w:val="21"/>
              </w:rPr>
              <w:t>3.29×10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354"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before="43"/>
              <w:ind w:left="465"/>
              <w:jc w:val="left"/>
              <w:rPr>
                <w:sz w:val="21"/>
              </w:rPr>
            </w:pPr>
            <w:r>
              <w:rPr>
                <w:sz w:val="21"/>
              </w:rPr>
              <w:t>西侧卫生通过间、库房及厕所</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57"/>
              <w:ind w:left="231" w:right="205"/>
              <w:rPr>
                <w:rFonts w:ascii="Times New Roman"/>
                <w:sz w:val="21"/>
              </w:rPr>
            </w:pPr>
            <w:r>
              <w:rPr>
                <w:rFonts w:ascii="Times New Roman"/>
                <w:sz w:val="21"/>
              </w:rPr>
              <w:t>10m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53"/>
              <w:ind w:left="264" w:right="234"/>
              <w:rPr>
                <w:rFonts w:ascii="Times New Roman" w:hAnsi="Times New Roman"/>
                <w:sz w:val="14"/>
              </w:rPr>
            </w:pPr>
            <w:r>
              <w:rPr>
                <w:rFonts w:ascii="Times New Roman" w:hAnsi="Times New Roman"/>
                <w:sz w:val="21"/>
              </w:rPr>
              <w:t>1.74×10</w:t>
            </w:r>
            <w:r>
              <w:rPr>
                <w:rFonts w:ascii="Times New Roman" w:hAnsi="Times New Roman"/>
                <w:position w:val="7"/>
                <w:sz w:val="14"/>
              </w:rPr>
              <w:t>-6</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1173"/>
              <w:jc w:val="left"/>
              <w:rPr>
                <w:sz w:val="21"/>
              </w:rPr>
            </w:pPr>
            <w:r>
              <w:rPr>
                <w:sz w:val="21"/>
              </w:rPr>
              <w:t>西侧院内道路</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1" w:right="205"/>
              <w:rPr>
                <w:rFonts w:ascii="Times New Roman"/>
                <w:sz w:val="21"/>
              </w:rPr>
            </w:pPr>
            <w:r>
              <w:rPr>
                <w:rFonts w:ascii="Times New Roman"/>
                <w:sz w:val="21"/>
              </w:rPr>
              <w:t>17m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2" w:right="235"/>
              <w:rPr>
                <w:rFonts w:ascii="Times New Roman" w:hAnsi="Times New Roman"/>
                <w:sz w:val="14"/>
              </w:rPr>
            </w:pPr>
            <w:r>
              <w:rPr>
                <w:rFonts w:ascii="Times New Roman" w:hAnsi="Times New Roman"/>
                <w:sz w:val="21"/>
              </w:rPr>
              <w:t>6.02×10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422"/>
              <w:jc w:val="left"/>
              <w:rPr>
                <w:sz w:val="21"/>
              </w:rPr>
            </w:pPr>
            <w:r>
              <w:rPr>
                <w:sz w:val="21"/>
              </w:rPr>
              <w:t>北侧淋浴间、更衣室及缓冲间</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2" w:right="205"/>
              <w:rPr>
                <w:rFonts w:ascii="Times New Roman"/>
                <w:sz w:val="21"/>
              </w:rPr>
            </w:pPr>
            <w:r>
              <w:rPr>
                <w:rFonts w:ascii="Times New Roman"/>
                <w:sz w:val="21"/>
              </w:rPr>
              <w:t>6.5m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4"/>
              <w:rPr>
                <w:rFonts w:ascii="Times New Roman" w:hAnsi="Times New Roman"/>
                <w:sz w:val="14"/>
              </w:rPr>
            </w:pPr>
            <w:r>
              <w:rPr>
                <w:rFonts w:ascii="Times New Roman" w:hAnsi="Times New Roman"/>
                <w:sz w:val="21"/>
              </w:rPr>
              <w:t>4.12×10</w:t>
            </w:r>
            <w:r>
              <w:rPr>
                <w:rFonts w:ascii="Times New Roman" w:hAnsi="Times New Roman"/>
                <w:position w:val="7"/>
                <w:sz w:val="14"/>
              </w:rPr>
              <w:t>-6</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1156"/>
              <w:jc w:val="left"/>
              <w:rPr>
                <w:sz w:val="21"/>
              </w:rPr>
            </w:pPr>
            <w:r>
              <w:rPr>
                <w:sz w:val="21"/>
              </w:rPr>
              <w:t>北侧院内道路</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4" w:right="205"/>
              <w:rPr>
                <w:rFonts w:ascii="Times New Roman"/>
                <w:sz w:val="21"/>
              </w:rPr>
            </w:pPr>
            <w:r>
              <w:rPr>
                <w:rFonts w:ascii="Times New Roman"/>
                <w:sz w:val="21"/>
              </w:rPr>
              <w:t>15m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4"/>
              <w:rPr>
                <w:rFonts w:ascii="Times New Roman" w:hAnsi="Times New Roman"/>
                <w:sz w:val="14"/>
              </w:rPr>
            </w:pPr>
            <w:r>
              <w:rPr>
                <w:rFonts w:ascii="Times New Roman" w:hAnsi="Times New Roman"/>
                <w:sz w:val="21"/>
              </w:rPr>
              <w:t>7.73×10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303"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right w:val="single" w:sz="4" w:space="0" w:color="000000"/>
            </w:tcBorders>
          </w:tcPr>
          <w:p>
            <w:pPr>
              <w:pStyle w:val="TableParagraph"/>
              <w:spacing w:line="269" w:lineRule="exact" w:before="15"/>
              <w:ind w:left="525"/>
              <w:jc w:val="left"/>
              <w:rPr>
                <w:sz w:val="21"/>
              </w:rPr>
            </w:pPr>
            <w:r>
              <w:rPr>
                <w:sz w:val="21"/>
              </w:rPr>
              <w:t>北侧员工食堂及第一住院部</w:t>
            </w:r>
          </w:p>
        </w:tc>
        <w:tc>
          <w:tcPr>
            <w:tcW w:w="1330" w:type="dxa"/>
            <w:tcBorders>
              <w:top w:val="single" w:sz="4" w:space="0" w:color="000000"/>
              <w:left w:val="single" w:sz="4" w:space="0" w:color="000000"/>
              <w:right w:val="single" w:sz="4" w:space="0" w:color="000000"/>
            </w:tcBorders>
          </w:tcPr>
          <w:p>
            <w:pPr>
              <w:pStyle w:val="TableParagraph"/>
              <w:spacing w:before="29"/>
              <w:ind w:left="234" w:right="205"/>
              <w:rPr>
                <w:rFonts w:ascii="Times New Roman"/>
                <w:sz w:val="21"/>
              </w:rPr>
            </w:pPr>
            <w:r>
              <w:rPr>
                <w:rFonts w:ascii="Times New Roman"/>
                <w:sz w:val="21"/>
              </w:rPr>
              <w:t>35m</w:t>
            </w:r>
          </w:p>
        </w:tc>
        <w:tc>
          <w:tcPr>
            <w:tcW w:w="1364" w:type="dxa"/>
            <w:tcBorders>
              <w:top w:val="single" w:sz="4" w:space="0" w:color="000000"/>
              <w:left w:val="single" w:sz="4" w:space="0" w:color="000000"/>
              <w:right w:val="single" w:sz="4" w:space="0" w:color="000000"/>
            </w:tcBorders>
          </w:tcPr>
          <w:p>
            <w:pPr>
              <w:pStyle w:val="TableParagraph"/>
              <w:spacing w:before="24"/>
              <w:ind w:left="262" w:right="235"/>
              <w:rPr>
                <w:rFonts w:ascii="Times New Roman" w:hAnsi="Times New Roman"/>
                <w:sz w:val="14"/>
              </w:rPr>
            </w:pPr>
            <w:r>
              <w:rPr>
                <w:rFonts w:ascii="Times New Roman" w:hAnsi="Times New Roman"/>
                <w:sz w:val="21"/>
              </w:rPr>
              <w:t>1.42×10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301" w:hRule="atLeast"/>
        </w:trPr>
        <w:tc>
          <w:tcPr>
            <w:tcW w:w="367" w:type="dxa"/>
            <w:vMerge/>
            <w:tcBorders>
              <w:top w:val="nil"/>
              <w:left w:val="nil"/>
              <w:right w:val="single" w:sz="4" w:space="0" w:color="000000"/>
            </w:tcBorders>
          </w:tcPr>
          <w:p>
            <w:pPr>
              <w:rPr>
                <w:sz w:val="2"/>
                <w:szCs w:val="2"/>
              </w:rPr>
            </w:pPr>
          </w:p>
        </w:tc>
        <w:tc>
          <w:tcPr>
            <w:tcW w:w="425" w:type="dxa"/>
            <w:vMerge w:val="restart"/>
            <w:tcBorders>
              <w:left w:val="single" w:sz="4" w:space="0" w:color="000000"/>
              <w:right w:val="single" w:sz="4" w:space="0" w:color="000000"/>
            </w:tcBorders>
          </w:tcPr>
          <w:p>
            <w:pPr>
              <w:pStyle w:val="TableParagraph"/>
              <w:spacing w:line="278" w:lineRule="auto" w:before="187"/>
              <w:ind w:left="115" w:right="86"/>
              <w:jc w:val="left"/>
              <w:rPr>
                <w:sz w:val="21"/>
              </w:rPr>
            </w:pPr>
            <w:r>
              <w:rPr>
                <w:sz w:val="21"/>
              </w:rPr>
              <w:t>院外</w:t>
            </w:r>
          </w:p>
        </w:tc>
        <w:tc>
          <w:tcPr>
            <w:tcW w:w="3543" w:type="dxa"/>
            <w:gridSpan w:val="2"/>
            <w:tcBorders>
              <w:left w:val="single" w:sz="4" w:space="0" w:color="000000"/>
              <w:bottom w:val="single" w:sz="4" w:space="0" w:color="000000"/>
              <w:right w:val="single" w:sz="4" w:space="0" w:color="000000"/>
            </w:tcBorders>
          </w:tcPr>
          <w:p>
            <w:pPr>
              <w:pStyle w:val="TableParagraph"/>
              <w:spacing w:line="259" w:lineRule="exact" w:before="22"/>
              <w:ind w:left="1072"/>
              <w:jc w:val="left"/>
              <w:rPr>
                <w:sz w:val="21"/>
              </w:rPr>
            </w:pPr>
            <w:r>
              <w:rPr>
                <w:sz w:val="21"/>
              </w:rPr>
              <w:t>南侧广洋楼小区</w:t>
            </w:r>
          </w:p>
        </w:tc>
        <w:tc>
          <w:tcPr>
            <w:tcW w:w="1330" w:type="dxa"/>
            <w:tcBorders>
              <w:left w:val="single" w:sz="4" w:space="0" w:color="000000"/>
              <w:bottom w:val="single" w:sz="4" w:space="0" w:color="000000"/>
              <w:right w:val="single" w:sz="4" w:space="0" w:color="000000"/>
            </w:tcBorders>
          </w:tcPr>
          <w:p>
            <w:pPr>
              <w:pStyle w:val="TableParagraph"/>
              <w:spacing w:before="36"/>
              <w:ind w:left="234" w:right="205"/>
              <w:rPr>
                <w:rFonts w:ascii="Times New Roman"/>
                <w:sz w:val="21"/>
              </w:rPr>
            </w:pPr>
            <w:r>
              <w:rPr>
                <w:rFonts w:ascii="Times New Roman"/>
                <w:sz w:val="21"/>
              </w:rPr>
              <w:t>30m</w:t>
            </w:r>
          </w:p>
        </w:tc>
        <w:tc>
          <w:tcPr>
            <w:tcW w:w="1364" w:type="dxa"/>
            <w:tcBorders>
              <w:left w:val="single" w:sz="4" w:space="0" w:color="000000"/>
              <w:bottom w:val="single" w:sz="4" w:space="0" w:color="000000"/>
              <w:right w:val="single" w:sz="4" w:space="0" w:color="000000"/>
            </w:tcBorders>
          </w:tcPr>
          <w:p>
            <w:pPr>
              <w:pStyle w:val="TableParagraph"/>
              <w:spacing w:before="31"/>
              <w:ind w:left="264" w:right="234"/>
              <w:rPr>
                <w:rFonts w:ascii="Times New Roman" w:hAnsi="Times New Roman"/>
                <w:sz w:val="14"/>
              </w:rPr>
            </w:pPr>
            <w:r>
              <w:rPr>
                <w:rFonts w:ascii="Times New Roman" w:hAnsi="Times New Roman"/>
                <w:sz w:val="21"/>
              </w:rPr>
              <w:t>1.93×10</w:t>
            </w:r>
            <w:r>
              <w:rPr>
                <w:rFonts w:ascii="Times New Roman" w:hAnsi="Times New Roman"/>
                <w:position w:val="7"/>
                <w:sz w:val="14"/>
              </w:rPr>
              <w:t>-7</w:t>
            </w:r>
          </w:p>
        </w:tc>
        <w:tc>
          <w:tcPr>
            <w:tcW w:w="711" w:type="dxa"/>
            <w:vMerge w:val="restart"/>
            <w:tcBorders>
              <w:left w:val="single" w:sz="4" w:space="0" w:color="000000"/>
              <w:right w:val="single" w:sz="4" w:space="0" w:color="000000"/>
            </w:tcBorders>
          </w:tcPr>
          <w:p>
            <w:pPr>
              <w:pStyle w:val="TableParagraph"/>
              <w:spacing w:before="10"/>
              <w:jc w:val="left"/>
              <w:rPr>
                <w:sz w:val="26"/>
              </w:rPr>
            </w:pPr>
          </w:p>
          <w:p>
            <w:pPr>
              <w:pStyle w:val="TableParagraph"/>
              <w:ind w:left="151"/>
              <w:jc w:val="left"/>
              <w:rPr>
                <w:sz w:val="21"/>
              </w:rPr>
            </w:pPr>
            <w:r>
              <w:rPr>
                <w:sz w:val="21"/>
              </w:rPr>
              <w:t>公众</w:t>
            </w:r>
          </w:p>
        </w:tc>
        <w:tc>
          <w:tcPr>
            <w:tcW w:w="1222" w:type="dxa"/>
            <w:vMerge w:val="restart"/>
            <w:tcBorders>
              <w:left w:val="single" w:sz="4" w:space="0" w:color="000000"/>
              <w:right w:val="nil"/>
            </w:tcBorders>
          </w:tcPr>
          <w:p>
            <w:pPr>
              <w:pStyle w:val="TableParagraph"/>
              <w:spacing w:before="11"/>
              <w:jc w:val="left"/>
              <w:rPr>
                <w:sz w:val="27"/>
              </w:rPr>
            </w:pPr>
          </w:p>
          <w:p>
            <w:pPr>
              <w:pStyle w:val="TableParagraph"/>
              <w:spacing w:before="1"/>
              <w:ind w:left="467" w:right="446"/>
              <w:rPr>
                <w:rFonts w:ascii="Times New Roman"/>
                <w:sz w:val="21"/>
              </w:rPr>
            </w:pPr>
            <w:r>
              <w:rPr>
                <w:rFonts w:ascii="Times New Roman"/>
                <w:sz w:val="21"/>
              </w:rPr>
              <w:t>0.1</w:t>
            </w:r>
          </w:p>
        </w:tc>
      </w:tr>
      <w:tr>
        <w:trPr>
          <w:trHeight w:val="291"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bottom w:val="single" w:sz="4" w:space="0" w:color="000000"/>
              <w:right w:val="single" w:sz="4" w:space="0" w:color="000000"/>
            </w:tcBorders>
          </w:tcPr>
          <w:p>
            <w:pPr>
              <w:pStyle w:val="TableParagraph"/>
              <w:spacing w:line="259" w:lineRule="exact" w:before="12"/>
              <w:ind w:left="971"/>
              <w:jc w:val="left"/>
              <w:rPr>
                <w:sz w:val="21"/>
              </w:rPr>
            </w:pPr>
            <w:r>
              <w:rPr>
                <w:sz w:val="21"/>
              </w:rPr>
              <w:t>西侧百货公司宿舍</w:t>
            </w:r>
          </w:p>
        </w:tc>
        <w:tc>
          <w:tcPr>
            <w:tcW w:w="1330" w:type="dxa"/>
            <w:tcBorders>
              <w:top w:val="single" w:sz="4" w:space="0" w:color="000000"/>
              <w:left w:val="single" w:sz="4" w:space="0" w:color="000000"/>
              <w:bottom w:val="single" w:sz="4" w:space="0" w:color="000000"/>
              <w:right w:val="single" w:sz="4" w:space="0" w:color="000000"/>
            </w:tcBorders>
          </w:tcPr>
          <w:p>
            <w:pPr>
              <w:pStyle w:val="TableParagraph"/>
              <w:spacing w:before="26"/>
              <w:ind w:left="233" w:right="205"/>
              <w:rPr>
                <w:rFonts w:ascii="Times New Roman"/>
                <w:sz w:val="21"/>
              </w:rPr>
            </w:pPr>
            <w:r>
              <w:rPr>
                <w:rFonts w:ascii="Times New Roman"/>
                <w:sz w:val="21"/>
              </w:rPr>
              <w:t>20m</w:t>
            </w:r>
          </w:p>
        </w:tc>
        <w:tc>
          <w:tcPr>
            <w:tcW w:w="1364" w:type="dxa"/>
            <w:tcBorders>
              <w:top w:val="single" w:sz="4" w:space="0" w:color="000000"/>
              <w:left w:val="single" w:sz="4" w:space="0" w:color="000000"/>
              <w:bottom w:val="single" w:sz="4" w:space="0" w:color="000000"/>
              <w:right w:val="single" w:sz="4" w:space="0" w:color="000000"/>
            </w:tcBorders>
          </w:tcPr>
          <w:p>
            <w:pPr>
              <w:pStyle w:val="TableParagraph"/>
              <w:spacing w:before="22"/>
              <w:ind w:left="264" w:right="235"/>
              <w:rPr>
                <w:rFonts w:ascii="Times New Roman" w:hAnsi="Times New Roman"/>
                <w:sz w:val="14"/>
              </w:rPr>
            </w:pPr>
            <w:r>
              <w:rPr>
                <w:rFonts w:ascii="Times New Roman" w:hAnsi="Times New Roman"/>
                <w:sz w:val="21"/>
              </w:rPr>
              <w:t>4.35×10</w:t>
            </w:r>
            <w:r>
              <w:rPr>
                <w:rFonts w:ascii="Times New Roman" w:hAnsi="Times New Roman"/>
                <w:position w:val="7"/>
                <w:sz w:val="14"/>
              </w:rPr>
              <w:t>-7</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r>
        <w:trPr>
          <w:trHeight w:val="303" w:hRule="atLeast"/>
        </w:trPr>
        <w:tc>
          <w:tcPr>
            <w:tcW w:w="367" w:type="dxa"/>
            <w:vMerge/>
            <w:tcBorders>
              <w:top w:val="nil"/>
              <w:left w:val="nil"/>
              <w:right w:val="single" w:sz="4" w:space="0" w:color="000000"/>
            </w:tcBorders>
          </w:tcPr>
          <w:p>
            <w:pPr>
              <w:rPr>
                <w:sz w:val="2"/>
                <w:szCs w:val="2"/>
              </w:rPr>
            </w:pPr>
          </w:p>
        </w:tc>
        <w:tc>
          <w:tcPr>
            <w:tcW w:w="425" w:type="dxa"/>
            <w:vMerge/>
            <w:tcBorders>
              <w:top w:val="nil"/>
              <w:left w:val="single" w:sz="4" w:space="0" w:color="000000"/>
              <w:right w:val="single" w:sz="4" w:space="0" w:color="000000"/>
            </w:tcBorders>
          </w:tcPr>
          <w:p>
            <w:pPr>
              <w:rPr>
                <w:sz w:val="2"/>
                <w:szCs w:val="2"/>
              </w:rPr>
            </w:pPr>
          </w:p>
        </w:tc>
        <w:tc>
          <w:tcPr>
            <w:tcW w:w="3543" w:type="dxa"/>
            <w:gridSpan w:val="2"/>
            <w:tcBorders>
              <w:top w:val="single" w:sz="4" w:space="0" w:color="000000"/>
              <w:left w:val="single" w:sz="4" w:space="0" w:color="000000"/>
              <w:right w:val="single" w:sz="4" w:space="0" w:color="000000"/>
            </w:tcBorders>
          </w:tcPr>
          <w:p>
            <w:pPr>
              <w:pStyle w:val="TableParagraph"/>
              <w:spacing w:before="12"/>
              <w:ind w:left="1173"/>
              <w:jc w:val="left"/>
              <w:rPr>
                <w:sz w:val="21"/>
              </w:rPr>
            </w:pPr>
            <w:r>
              <w:rPr>
                <w:sz w:val="21"/>
              </w:rPr>
              <w:t>北侧院外道路</w:t>
            </w:r>
          </w:p>
        </w:tc>
        <w:tc>
          <w:tcPr>
            <w:tcW w:w="1330" w:type="dxa"/>
            <w:tcBorders>
              <w:top w:val="single" w:sz="4" w:space="0" w:color="000000"/>
              <w:left w:val="single" w:sz="4" w:space="0" w:color="000000"/>
              <w:right w:val="single" w:sz="4" w:space="0" w:color="000000"/>
            </w:tcBorders>
          </w:tcPr>
          <w:p>
            <w:pPr>
              <w:pStyle w:val="TableParagraph"/>
              <w:spacing w:before="26"/>
              <w:ind w:left="231" w:right="205"/>
              <w:rPr>
                <w:rFonts w:ascii="Times New Roman"/>
                <w:sz w:val="21"/>
              </w:rPr>
            </w:pPr>
            <w:r>
              <w:rPr>
                <w:rFonts w:ascii="Times New Roman"/>
                <w:sz w:val="21"/>
              </w:rPr>
              <w:t>50m</w:t>
            </w:r>
          </w:p>
        </w:tc>
        <w:tc>
          <w:tcPr>
            <w:tcW w:w="1364" w:type="dxa"/>
            <w:tcBorders>
              <w:top w:val="single" w:sz="4" w:space="0" w:color="000000"/>
              <w:left w:val="single" w:sz="4" w:space="0" w:color="000000"/>
              <w:right w:val="single" w:sz="4" w:space="0" w:color="000000"/>
            </w:tcBorders>
          </w:tcPr>
          <w:p>
            <w:pPr>
              <w:pStyle w:val="TableParagraph"/>
              <w:spacing w:before="22"/>
              <w:ind w:left="264" w:right="234"/>
              <w:rPr>
                <w:rFonts w:ascii="Times New Roman" w:hAnsi="Times New Roman"/>
                <w:sz w:val="14"/>
              </w:rPr>
            </w:pPr>
            <w:r>
              <w:rPr>
                <w:rFonts w:ascii="Times New Roman" w:hAnsi="Times New Roman"/>
                <w:sz w:val="21"/>
              </w:rPr>
              <w:t>6.95×10</w:t>
            </w:r>
            <w:r>
              <w:rPr>
                <w:rFonts w:ascii="Times New Roman" w:hAnsi="Times New Roman"/>
                <w:position w:val="7"/>
                <w:sz w:val="14"/>
              </w:rPr>
              <w:t>-8</w:t>
            </w:r>
          </w:p>
        </w:tc>
        <w:tc>
          <w:tcPr>
            <w:tcW w:w="711" w:type="dxa"/>
            <w:vMerge/>
            <w:tcBorders>
              <w:top w:val="nil"/>
              <w:left w:val="single" w:sz="4" w:space="0" w:color="000000"/>
              <w:right w:val="single" w:sz="4" w:space="0" w:color="000000"/>
            </w:tcBorders>
          </w:tcPr>
          <w:p>
            <w:pPr>
              <w:rPr>
                <w:sz w:val="2"/>
                <w:szCs w:val="2"/>
              </w:rPr>
            </w:pPr>
          </w:p>
        </w:tc>
        <w:tc>
          <w:tcPr>
            <w:tcW w:w="1222" w:type="dxa"/>
            <w:vMerge/>
            <w:tcBorders>
              <w:top w:val="nil"/>
              <w:left w:val="single" w:sz="4" w:space="0" w:color="000000"/>
              <w:right w:val="nil"/>
            </w:tcBorders>
          </w:tcPr>
          <w:p>
            <w:pPr>
              <w:rPr>
                <w:sz w:val="2"/>
                <w:szCs w:val="2"/>
              </w:rPr>
            </w:pPr>
          </w:p>
        </w:tc>
      </w:tr>
    </w:tbl>
    <w:p>
      <w:pPr>
        <w:pStyle w:val="BodyText"/>
        <w:spacing w:line="364" w:lineRule="auto" w:before="81"/>
        <w:ind w:left="272" w:right="271" w:firstLine="480"/>
        <w:jc w:val="both"/>
      </w:pPr>
      <w:r>
        <w:rPr>
          <w:spacing w:val="-15"/>
        </w:rPr>
        <w:t>由表 </w:t>
      </w:r>
      <w:r>
        <w:rPr>
          <w:rFonts w:ascii="Times New Roman" w:eastAsia="Times New Roman"/>
          <w:spacing w:val="-3"/>
        </w:rPr>
        <w:t>11-6~</w:t>
      </w:r>
      <w:r>
        <w:rPr>
          <w:spacing w:val="-22"/>
        </w:rPr>
        <w:t>表 </w:t>
      </w:r>
      <w:r>
        <w:rPr>
          <w:rFonts w:ascii="Times New Roman" w:eastAsia="Times New Roman"/>
          <w:spacing w:val="-3"/>
        </w:rPr>
        <w:t>11-7 </w:t>
      </w:r>
      <w:r>
        <w:rPr/>
        <w:t>理论估算结果可知，本项目 </w:t>
      </w:r>
      <w:r>
        <w:rPr>
          <w:rFonts w:ascii="Times New Roman" w:eastAsia="Times New Roman"/>
        </w:rPr>
        <w:t>DSA </w:t>
      </w:r>
      <w:r>
        <w:rPr>
          <w:spacing w:val="-1"/>
        </w:rPr>
        <w:t>投入运行后，介入治疗室隔</w:t>
      </w:r>
      <w:r>
        <w:rPr>
          <w:spacing w:val="-4"/>
        </w:rPr>
        <w:t>室操作辐射工作人员、手术室内床旁辐射工作人员及机房周围公众所受的年有效剂量</w:t>
      </w:r>
      <w:r>
        <w:rPr>
          <w:spacing w:val="-6"/>
        </w:rPr>
        <w:t>均能够满足《电离辐射防护与辐射源安全基本标准》</w:t>
      </w:r>
      <w:r>
        <w:rPr/>
        <w:t>（</w:t>
      </w:r>
      <w:r>
        <w:rPr>
          <w:rFonts w:ascii="Times New Roman" w:eastAsia="Times New Roman"/>
        </w:rPr>
        <w:t>GB18871-2002</w:t>
      </w:r>
      <w:r>
        <w:rPr/>
        <w:t>）中剂量限值要求和本项目管理目标剂量约束值要求（职业人员年有效剂量不超过 </w:t>
      </w:r>
      <w:r>
        <w:rPr>
          <w:rFonts w:ascii="Times New Roman" w:eastAsia="Times New Roman"/>
        </w:rPr>
        <w:t>5mSv</w:t>
      </w:r>
      <w:r>
        <w:rPr/>
        <w:t>，公众年有</w:t>
      </w:r>
      <w:r>
        <w:rPr>
          <w:spacing w:val="-9"/>
        </w:rPr>
        <w:t>效剂量不超过 </w:t>
      </w:r>
      <w:r>
        <w:rPr>
          <w:rFonts w:ascii="Times New Roman" w:eastAsia="Times New Roman"/>
        </w:rPr>
        <w:t>0.1</w:t>
      </w:r>
      <w:r>
        <w:rPr>
          <w:rFonts w:ascii="Times New Roman" w:eastAsia="Times New Roman"/>
          <w:w w:val="99"/>
        </w:rPr>
        <w:t>m</w:t>
      </w:r>
      <w:r>
        <w:rPr>
          <w:rFonts w:ascii="Times New Roman" w:eastAsia="Times New Roman"/>
          <w:w w:val="99"/>
        </w:rPr>
        <w:t>S</w:t>
      </w:r>
      <w:r>
        <w:rPr>
          <w:rFonts w:ascii="Times New Roman" w:eastAsia="Times New Roman"/>
          <w:spacing w:val="1"/>
        </w:rPr>
        <w:t>v</w:t>
      </w:r>
      <w:r>
        <w:rPr>
          <w:spacing w:val="-123"/>
        </w:rPr>
        <w:t>）</w:t>
      </w:r>
      <w:r>
        <w:rPr/>
        <w:t>。</w:t>
      </w:r>
    </w:p>
    <w:p>
      <w:pPr>
        <w:pStyle w:val="BodyText"/>
        <w:spacing w:line="364" w:lineRule="auto" w:before="3"/>
        <w:ind w:left="272" w:right="273" w:firstLine="480"/>
        <w:jc w:val="both"/>
      </w:pPr>
      <w:r>
        <w:rPr/>
        <w:t>由于本项目四周环境保护目标距机房墙体相对较远（</w:t>
      </w:r>
      <w:r>
        <w:rPr>
          <w:spacing w:val="-5"/>
        </w:rPr>
        <w:t>远大于表面 </w:t>
      </w:r>
      <w:r>
        <w:rPr>
          <w:rFonts w:ascii="Times New Roman" w:eastAsia="Times New Roman"/>
        </w:rPr>
        <w:t>0.3</w:t>
      </w:r>
      <w:r>
        <w:rPr>
          <w:rFonts w:ascii="Times New Roman" w:eastAsia="Times New Roman"/>
          <w:w w:val="99"/>
        </w:rPr>
        <w:t>m</w:t>
      </w:r>
      <w:r>
        <w:rPr>
          <w:spacing w:val="-120"/>
        </w:rPr>
        <w:t>）</w:t>
      </w:r>
      <w:r>
        <w:rPr>
          <w:spacing w:val="-4"/>
        </w:rPr>
        <w:t>，故本项</w:t>
      </w:r>
      <w:r>
        <w:rPr/>
        <w:t>目敏感点处公众所受的辐射剂量将小于上述理论计算值。</w:t>
      </w:r>
      <w:r>
        <w:rPr>
          <w:w w:val="50"/>
        </w:rPr>
        <w:t> </w:t>
      </w:r>
    </w:p>
    <w:p>
      <w:pPr>
        <w:pStyle w:val="BodyText"/>
        <w:spacing w:before="1"/>
        <w:ind w:left="754"/>
      </w:pPr>
      <w:r>
        <w:rPr/>
        <w:t>三、三废影响分析</w:t>
      </w:r>
      <w:r>
        <w:rPr>
          <w:w w:val="50"/>
        </w:rPr>
        <w:t> </w:t>
      </w:r>
    </w:p>
    <w:p>
      <w:pPr>
        <w:pStyle w:val="BodyText"/>
        <w:spacing w:line="364" w:lineRule="auto" w:before="161"/>
        <w:ind w:left="272" w:right="276" w:firstLine="480"/>
        <w:jc w:val="both"/>
      </w:pPr>
      <w:r>
        <w:rPr>
          <w:spacing w:val="-4"/>
        </w:rPr>
        <w:t>本项目设备运行过程中产生的污染物主要为 </w:t>
      </w:r>
      <w:r>
        <w:rPr>
          <w:rFonts w:ascii="Times New Roman" w:eastAsia="Times New Roman"/>
        </w:rPr>
        <w:t>X </w:t>
      </w:r>
      <w:r>
        <w:rPr>
          <w:spacing w:val="-10"/>
        </w:rPr>
        <w:t>射线、臭氧、介入治疗室通排风系</w:t>
      </w:r>
      <w:r>
        <w:rPr/>
        <w:t>统运行噪声，以及日常工作过程中产生的办公垃圾、生活垃圾及生活污水。</w:t>
      </w:r>
    </w:p>
    <w:p>
      <w:pPr>
        <w:spacing w:after="0" w:line="364" w:lineRule="auto"/>
        <w:jc w:val="both"/>
        <w:sectPr>
          <w:pgSz w:w="11910" w:h="16840"/>
          <w:pgMar w:header="0" w:footer="881" w:top="1220" w:bottom="1160" w:left="1480" w:right="1020"/>
        </w:sectPr>
      </w:pPr>
    </w:p>
    <w:p>
      <w:pPr>
        <w:pStyle w:val="BodyText"/>
        <w:spacing w:before="100"/>
        <w:ind w:left="754"/>
      </w:pPr>
      <w:r>
        <w:rPr/>
        <w:pict>
          <v:group style="position:absolute;margin-left:81.959999pt;margin-top:62.399937pt;width:454.2pt;height:703pt;mso-position-horizontal-relative:page;mso-position-vertical-relative:page;z-index:-211072" coordorigin="1639,1248" coordsize="9084,14060">
            <v:line style="position:absolute" from="1639,1253" to="10714,1253" stroked="true" strokeweight=".479999pt" strokecolor="#000000">
              <v:stroke dashstyle="solid"/>
            </v:line>
            <v:line style="position:absolute" from="1644,1258" to="1644,15307" stroked="true" strokeweight=".479999pt" strokecolor="#000000">
              <v:stroke dashstyle="solid"/>
            </v:line>
            <v:line style="position:absolute" from="1639,15302" to="10714,15302" stroked="true" strokeweight=".479965pt" strokecolor="#000000">
              <v:stroke dashstyle="solid"/>
            </v:line>
            <v:line style="position:absolute" from="10718,1248" to="10718,15307" stroked="true" strokeweight=".480011pt" strokecolor="#000000">
              <v:stroke dashstyle="solid"/>
            </v:line>
            <w10:wrap type="none"/>
          </v:group>
        </w:pict>
      </w:r>
      <w:r>
        <w:rPr/>
        <w:t>1、大气环境影响分析</w:t>
      </w:r>
      <w:r>
        <w:rPr>
          <w:w w:val="50"/>
        </w:rPr>
        <w:t> </w:t>
      </w:r>
    </w:p>
    <w:p>
      <w:pPr>
        <w:pStyle w:val="BodyText"/>
        <w:spacing w:line="364" w:lineRule="auto" w:before="160"/>
        <w:ind w:left="272" w:right="273" w:firstLine="480"/>
        <w:jc w:val="both"/>
      </w:pPr>
      <w:r>
        <w:rPr>
          <w:rFonts w:ascii="Times New Roman" w:eastAsia="Times New Roman"/>
          <w:position w:val="2"/>
        </w:rPr>
        <w:t>DSA </w:t>
      </w:r>
      <w:r>
        <w:rPr>
          <w:spacing w:val="-3"/>
          <w:position w:val="2"/>
        </w:rPr>
        <w:t>在开机出束期间，产生的 </w:t>
      </w:r>
      <w:r>
        <w:rPr>
          <w:rFonts w:ascii="Times New Roman" w:eastAsia="Times New Roman"/>
          <w:position w:val="2"/>
        </w:rPr>
        <w:t>X </w:t>
      </w:r>
      <w:r>
        <w:rPr>
          <w:spacing w:val="-1"/>
          <w:position w:val="2"/>
        </w:rPr>
        <w:t>射线与空气相互作用产生少量的臭氧(</w:t>
      </w:r>
      <w:r>
        <w:rPr>
          <w:rFonts w:ascii="Times New Roman" w:eastAsia="Times New Roman"/>
          <w:position w:val="2"/>
        </w:rPr>
        <w:t>O</w:t>
      </w:r>
      <w:r>
        <w:rPr>
          <w:rFonts w:ascii="Times New Roman" w:eastAsia="Times New Roman"/>
          <w:sz w:val="16"/>
        </w:rPr>
        <w:t>3</w:t>
      </w:r>
      <w:r>
        <w:rPr>
          <w:spacing w:val="-5"/>
          <w:position w:val="2"/>
        </w:rPr>
        <w:t>)。介</w:t>
      </w:r>
      <w:r>
        <w:rPr>
          <w:spacing w:val="-3"/>
        </w:rPr>
        <w:t>入治疗室内已设置通排风系统，室内气体由通排风系统引自室外排放。产生的臭氧经</w:t>
      </w:r>
      <w:r>
        <w:rPr/>
        <w:t>通排风系统排入环境大气后，经自然分解扩散，对环境产生影响较小。</w:t>
      </w:r>
    </w:p>
    <w:p>
      <w:pPr>
        <w:pStyle w:val="BodyText"/>
        <w:spacing w:before="3"/>
        <w:ind w:left="754"/>
      </w:pPr>
      <w:r>
        <w:rPr/>
        <w:t>2、声环境影响分析</w:t>
      </w:r>
      <w:r>
        <w:rPr>
          <w:w w:val="50"/>
        </w:rPr>
        <w:t> </w:t>
      </w:r>
    </w:p>
    <w:p>
      <w:pPr>
        <w:pStyle w:val="BodyText"/>
        <w:spacing w:line="364" w:lineRule="auto" w:before="160"/>
        <w:ind w:left="272" w:right="273" w:firstLine="480"/>
        <w:jc w:val="both"/>
      </w:pPr>
      <w:r>
        <w:rPr>
          <w:spacing w:val="-3"/>
        </w:rPr>
        <w:t>本项目噪声源为介入治疗室通排风装置，该装置采用低噪声设备且带有消声静压</w:t>
      </w:r>
      <w:r>
        <w:rPr>
          <w:spacing w:val="-6"/>
        </w:rPr>
        <w:t>箱，经建筑物墙体隔声及医院场址内的距离衰减后，运行期间厂界噪声可达到《工业</w:t>
      </w:r>
      <w:r>
        <w:rPr>
          <w:spacing w:val="-10"/>
        </w:rPr>
        <w:t>企业厂界环境噪声排放标准》</w:t>
      </w:r>
      <w:r>
        <w:rPr/>
        <w:t>（</w:t>
      </w:r>
      <w:r>
        <w:rPr>
          <w:rFonts w:ascii="Times New Roman" w:eastAsia="Times New Roman"/>
        </w:rPr>
        <w:t>GB12348-2008</w:t>
      </w:r>
      <w:r>
        <w:rPr/>
        <w:t>）</w:t>
      </w:r>
      <w:r>
        <w:rPr>
          <w:rFonts w:ascii="Times New Roman" w:eastAsia="Times New Roman"/>
        </w:rPr>
        <w:t>2 </w:t>
      </w:r>
      <w:r>
        <w:rPr/>
        <w:t>类标准要求。</w:t>
      </w:r>
    </w:p>
    <w:p>
      <w:pPr>
        <w:pStyle w:val="BodyText"/>
        <w:spacing w:before="2"/>
        <w:ind w:left="754"/>
      </w:pPr>
      <w:r>
        <w:rPr/>
        <w:t>3、水环境影响分析</w:t>
      </w:r>
      <w:r>
        <w:rPr>
          <w:w w:val="50"/>
        </w:rPr>
        <w:t> </w:t>
      </w:r>
    </w:p>
    <w:p>
      <w:pPr>
        <w:pStyle w:val="BodyText"/>
        <w:spacing w:line="364" w:lineRule="auto" w:before="161"/>
        <w:ind w:left="272" w:right="97" w:firstLine="480"/>
      </w:pPr>
      <w:r>
        <w:rPr/>
        <w:t>医院建有污水处理站一座，污水处理工艺采用“一级处理</w:t>
      </w:r>
      <w:r>
        <w:rPr>
          <w:rFonts w:ascii="Times New Roman" w:hAnsi="Times New Roman" w:eastAsia="Times New Roman"/>
        </w:rPr>
        <w:t>+</w:t>
      </w:r>
      <w:r>
        <w:rPr/>
        <w:t>次氯酸钠消毒”工艺。本项目辐射工作人员产生的生活污水依托医院现有的污水处理站处理。</w:t>
      </w:r>
    </w:p>
    <w:p>
      <w:pPr>
        <w:pStyle w:val="BodyText"/>
        <w:spacing w:before="1"/>
        <w:ind w:left="754"/>
      </w:pPr>
      <w:r>
        <w:rPr/>
        <w:t>4、固体废物影响分析</w:t>
      </w:r>
      <w:r>
        <w:rPr>
          <w:w w:val="50"/>
        </w:rPr>
        <w:t> </w:t>
      </w:r>
    </w:p>
    <w:p>
      <w:pPr>
        <w:pStyle w:val="BodyText"/>
        <w:spacing w:line="364" w:lineRule="auto" w:before="160"/>
        <w:ind w:left="272" w:right="252" w:firstLine="480"/>
        <w:jc w:val="both"/>
      </w:pPr>
      <w:r>
        <w:rPr/>
        <w:t>本项目采用先进的数字成像技术，不使用显影液、定影液和胶片，因此不产生废显影液、废定影液和废胶片。本项目固体废物主要为介入手术时产生的医用器具和药棉、纱布、手套、废造影剂及废造影剂瓶等医用辅料，介入手术产生的医疗废物采用专门的收集容器统一收集暂存于污物暂存间，并委托有资质单位定期进行统一收集、清运和处置。</w:t>
      </w:r>
    </w:p>
    <w:p>
      <w:pPr>
        <w:pStyle w:val="BodyText"/>
        <w:spacing w:line="364" w:lineRule="auto" w:before="3"/>
        <w:ind w:left="272" w:right="252" w:firstLine="480"/>
        <w:jc w:val="both"/>
      </w:pPr>
      <w:r>
        <w:rPr/>
        <w:t>本项目工作人员产生的生活垃圾及办公垃圾集中暂存于院区内生活垃圾暂存间， 由市政环卫部门定期统一收集、清运至垃圾处理厂处置。</w:t>
      </w:r>
    </w:p>
    <w:p>
      <w:pPr>
        <w:pStyle w:val="BodyText"/>
        <w:spacing w:before="1"/>
        <w:ind w:left="754"/>
      </w:pPr>
      <w:r>
        <w:rPr/>
        <w:t>四、射线装置报废</w:t>
      </w:r>
      <w:r>
        <w:rPr>
          <w:w w:val="50"/>
        </w:rPr>
        <w:t> </w:t>
      </w:r>
    </w:p>
    <w:p>
      <w:pPr>
        <w:pStyle w:val="BodyText"/>
        <w:spacing w:line="364" w:lineRule="auto" w:before="161"/>
        <w:ind w:left="272" w:right="276" w:firstLine="480"/>
        <w:jc w:val="both"/>
      </w:pPr>
      <w:r>
        <w:rPr>
          <w:spacing w:val="-16"/>
        </w:rPr>
        <w:t>本项目 </w:t>
      </w:r>
      <w:r>
        <w:rPr>
          <w:rFonts w:ascii="Times New Roman" w:eastAsia="Times New Roman"/>
        </w:rPr>
        <w:t>DSA </w:t>
      </w:r>
      <w:r>
        <w:rPr>
          <w:spacing w:val="-11"/>
        </w:rPr>
        <w:t>报废时，必须进行去功能化</w:t>
      </w:r>
      <w:r>
        <w:rPr/>
        <w:t>（</w:t>
      </w:r>
      <w:r>
        <w:rPr>
          <w:spacing w:val="-6"/>
        </w:rPr>
        <w:t>如拆解或者拆卸球管，把球管电线插头</w:t>
      </w:r>
      <w:r>
        <w:rPr/>
        <w:t>或接头剪断</w:t>
      </w:r>
      <w:r>
        <w:rPr>
          <w:spacing w:val="-84"/>
        </w:rPr>
        <w:t>）</w:t>
      </w:r>
      <w:r>
        <w:rPr>
          <w:spacing w:val="-16"/>
        </w:rPr>
        <w:t>，确保装置无法再次通电使用，并按相应要求执行报废程序，将设备处理</w:t>
      </w:r>
      <w:r>
        <w:rPr/>
        <w:t>去向记录备案。</w:t>
      </w:r>
    </w:p>
    <w:p>
      <w:pPr>
        <w:pStyle w:val="BodyText"/>
        <w:spacing w:before="2"/>
        <w:ind w:left="754"/>
      </w:pPr>
      <w:r>
        <w:rPr/>
        <w:t>五、介入治疗对医生和患者的辐射防护要求</w:t>
      </w:r>
      <w:r>
        <w:rPr>
          <w:w w:val="50"/>
        </w:rPr>
        <w:t> </w:t>
      </w:r>
    </w:p>
    <w:p>
      <w:pPr>
        <w:pStyle w:val="BodyText"/>
        <w:spacing w:line="364" w:lineRule="auto" w:before="160"/>
        <w:ind w:left="272" w:right="276" w:firstLine="480"/>
        <w:jc w:val="both"/>
      </w:pPr>
      <w:r>
        <w:rPr>
          <w:spacing w:val="-6"/>
        </w:rPr>
        <w:t>介入治疗是一种解决临床疑难病的新方法，但介入治疗时 </w:t>
      </w:r>
      <w:r>
        <w:rPr>
          <w:rFonts w:ascii="Times New Roman" w:eastAsia="Times New Roman"/>
        </w:rPr>
        <w:t>X </w:t>
      </w:r>
      <w:r>
        <w:rPr>
          <w:spacing w:val="-7"/>
        </w:rPr>
        <w:t>射线曝光量大，曝光</w:t>
      </w:r>
      <w:r>
        <w:rPr>
          <w:spacing w:val="-9"/>
        </w:rPr>
        <w:t>时间长，距球管和散射体近，使介入治疗操作者受到大剂量的 </w:t>
      </w:r>
      <w:r>
        <w:rPr>
          <w:rFonts w:ascii="Times New Roman" w:eastAsia="Times New Roman"/>
        </w:rPr>
        <w:t>X </w:t>
      </w:r>
      <w:r>
        <w:rPr>
          <w:spacing w:val="-6"/>
        </w:rPr>
        <w:t>射线照射。为了减少</w:t>
      </w:r>
      <w:r>
        <w:rPr>
          <w:spacing w:val="-11"/>
        </w:rPr>
        <w:t>介入治疗时 </w:t>
      </w:r>
      <w:r>
        <w:rPr>
          <w:rFonts w:ascii="Times New Roman" w:eastAsia="Times New Roman"/>
        </w:rPr>
        <w:t>X </w:t>
      </w:r>
      <w:r>
        <w:rPr/>
        <w:t>射线对操作者和其他人员的影响，医院应做到以下要求：</w:t>
      </w:r>
    </w:p>
    <w:p>
      <w:pPr>
        <w:pStyle w:val="BodyText"/>
        <w:spacing w:before="2"/>
        <w:ind w:left="754"/>
      </w:pPr>
      <w:r>
        <w:rPr/>
        <w:t>1、介入治疗医生护士自身的辐射防护要求</w:t>
      </w:r>
      <w:r>
        <w:rPr>
          <w:w w:val="50"/>
        </w:rPr>
        <w:t> </w:t>
      </w:r>
    </w:p>
    <w:p>
      <w:pPr>
        <w:pStyle w:val="BodyText"/>
        <w:spacing w:line="364" w:lineRule="auto" w:before="161"/>
        <w:ind w:left="272" w:right="227" w:firstLine="720"/>
      </w:pPr>
      <w:r>
        <w:rPr/>
        <w:t>加强教育和培训工作，提高辐射安全文化素养，全面掌握辐射防护法规与技术知识。</w:t>
      </w:r>
    </w:p>
    <w:p>
      <w:pPr>
        <w:spacing w:after="0" w:line="364" w:lineRule="auto"/>
        <w:sectPr>
          <w:footerReference w:type="default" r:id="rId54"/>
          <w:pgSz w:w="11910" w:h="16840"/>
          <w:pgMar w:footer="881" w:header="0" w:top="1220" w:bottom="1080" w:left="1480" w:right="1020"/>
          <w:pgNumType w:start="5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9"/>
        <w:gridCol w:w="7006"/>
      </w:tblGrid>
      <w:tr>
        <w:trPr>
          <w:trHeight w:val="6083" w:hRule="atLeast"/>
        </w:trPr>
        <w:tc>
          <w:tcPr>
            <w:tcW w:w="9075" w:type="dxa"/>
            <w:gridSpan w:val="2"/>
          </w:tcPr>
          <w:p>
            <w:pPr>
              <w:pStyle w:val="TableParagraph"/>
              <w:spacing w:line="364" w:lineRule="auto" w:before="81"/>
              <w:ind w:left="827" w:right="1514"/>
              <w:jc w:val="both"/>
              <w:rPr>
                <w:sz w:val="24"/>
              </w:rPr>
            </w:pPr>
            <w:r>
              <w:rPr>
                <w:sz w:val="24"/>
              </w:rPr>
              <w:t>结合诊疗项目实际情况，综合运用时间、距离与屏蔽防护措施。在介入手术期间，必须穿戴个人防护用品，并佩带个人剂量计。定期维护 </w:t>
            </w:r>
            <w:r>
              <w:rPr>
                <w:rFonts w:ascii="Times New Roman" w:eastAsia="Times New Roman"/>
                <w:sz w:val="24"/>
              </w:rPr>
              <w:t>DSA</w:t>
            </w:r>
            <w:r>
              <w:rPr>
                <w:sz w:val="24"/>
              </w:rPr>
              <w:t>，制订和执行介入治疗的质量保证计划。</w:t>
            </w:r>
          </w:p>
          <w:p>
            <w:pPr>
              <w:pStyle w:val="TableParagraph"/>
              <w:spacing w:before="2"/>
              <w:ind w:left="590"/>
              <w:jc w:val="left"/>
              <w:rPr>
                <w:sz w:val="24"/>
              </w:rPr>
            </w:pPr>
            <w:r>
              <w:rPr>
                <w:sz w:val="24"/>
              </w:rPr>
              <w:t>2、患者的辐射防护要求</w:t>
            </w:r>
            <w:r>
              <w:rPr>
                <w:w w:val="50"/>
                <w:sz w:val="24"/>
              </w:rPr>
              <w:t> </w:t>
            </w:r>
          </w:p>
          <w:p>
            <w:pPr>
              <w:pStyle w:val="TableParagraph"/>
              <w:spacing w:line="364" w:lineRule="auto" w:before="160"/>
              <w:ind w:left="107" w:right="98" w:firstLine="720"/>
              <w:jc w:val="both"/>
              <w:rPr>
                <w:sz w:val="24"/>
              </w:rPr>
            </w:pPr>
            <w:r>
              <w:rPr>
                <w:spacing w:val="-3"/>
                <w:sz w:val="24"/>
              </w:rPr>
              <w:t>采用带有剂量测量系统的设备或购置测量仪器，在操作中对辐射剂量进行实时</w:t>
            </w:r>
            <w:r>
              <w:rPr>
                <w:spacing w:val="-4"/>
                <w:sz w:val="24"/>
              </w:rPr>
              <w:t>监测；严格执行国家标准 </w:t>
            </w:r>
            <w:r>
              <w:rPr>
                <w:rFonts w:ascii="Times New Roman" w:hAnsi="Times New Roman" w:eastAsia="Times New Roman"/>
                <w:sz w:val="24"/>
              </w:rPr>
              <w:t>GB18871‐2002 </w:t>
            </w:r>
            <w:r>
              <w:rPr>
                <w:spacing w:val="-1"/>
                <w:sz w:val="24"/>
              </w:rPr>
              <w:t>中规定的介入诊疗指导水平，保证患者的入</w:t>
            </w:r>
            <w:r>
              <w:rPr>
                <w:spacing w:val="-7"/>
                <w:sz w:val="24"/>
              </w:rPr>
              <w:t>射体表剂量率不超过 </w:t>
            </w:r>
            <w:r>
              <w:rPr>
                <w:rFonts w:ascii="Times New Roman" w:hAnsi="Times New Roman" w:eastAsia="Times New Roman"/>
                <w:sz w:val="24"/>
              </w:rPr>
              <w:t>100mGy/min</w:t>
            </w:r>
            <w:r>
              <w:rPr>
                <w:sz w:val="24"/>
              </w:rPr>
              <w:t>。</w:t>
            </w:r>
          </w:p>
          <w:p>
            <w:pPr>
              <w:pStyle w:val="TableParagraph"/>
              <w:spacing w:line="364" w:lineRule="auto" w:before="2"/>
              <w:ind w:left="107" w:right="96" w:firstLine="720"/>
              <w:jc w:val="both"/>
              <w:rPr>
                <w:sz w:val="24"/>
              </w:rPr>
            </w:pPr>
            <w:r>
              <w:rPr>
                <w:spacing w:val="-4"/>
                <w:sz w:val="24"/>
              </w:rPr>
              <w:t>选择最优化的检查参数，为保证影像质量可采用高电压、低电流、限制透视检</w:t>
            </w:r>
            <w:r>
              <w:rPr>
                <w:sz w:val="24"/>
              </w:rPr>
              <w:t>查时间等措施。</w:t>
            </w:r>
          </w:p>
          <w:p>
            <w:pPr>
              <w:pStyle w:val="TableParagraph"/>
              <w:spacing w:line="364" w:lineRule="auto" w:before="1"/>
              <w:ind w:left="107" w:right="96" w:firstLine="720"/>
              <w:jc w:val="both"/>
              <w:rPr>
                <w:sz w:val="24"/>
              </w:rPr>
            </w:pPr>
            <w:r>
              <w:rPr>
                <w:spacing w:val="-4"/>
                <w:sz w:val="24"/>
              </w:rPr>
              <w:t>采用剂量控制与分散措施，通过调整扫描架角度，移动扫描床等办法，分散患</w:t>
            </w:r>
            <w:r>
              <w:rPr>
                <w:sz w:val="24"/>
              </w:rPr>
              <w:t>者的皮肤剂量，避免单一皮肤区域接受全部剂量。</w:t>
            </w:r>
          </w:p>
          <w:p>
            <w:pPr>
              <w:pStyle w:val="TableParagraph"/>
              <w:spacing w:before="2"/>
              <w:ind w:left="827"/>
              <w:jc w:val="left"/>
              <w:rPr>
                <w:sz w:val="24"/>
              </w:rPr>
            </w:pPr>
            <w:r>
              <w:rPr>
                <w:sz w:val="24"/>
              </w:rPr>
              <w:t>将 </w:t>
            </w:r>
            <w:r>
              <w:rPr>
                <w:rFonts w:ascii="Times New Roman" w:eastAsia="Times New Roman"/>
                <w:sz w:val="24"/>
              </w:rPr>
              <w:t>X </w:t>
            </w:r>
            <w:r>
              <w:rPr>
                <w:sz w:val="24"/>
              </w:rPr>
              <w:t>线球管尽量远离患者。</w:t>
            </w:r>
          </w:p>
          <w:p>
            <w:pPr>
              <w:pStyle w:val="TableParagraph"/>
              <w:spacing w:before="160"/>
              <w:ind w:left="827"/>
              <w:jc w:val="left"/>
              <w:rPr>
                <w:sz w:val="24"/>
              </w:rPr>
            </w:pPr>
            <w:r>
              <w:rPr>
                <w:sz w:val="24"/>
              </w:rPr>
              <w:t>作好患者非投照部位的保护工作。</w:t>
            </w:r>
          </w:p>
        </w:tc>
      </w:tr>
      <w:tr>
        <w:trPr>
          <w:trHeight w:val="3275" w:hRule="atLeast"/>
        </w:trPr>
        <w:tc>
          <w:tcPr>
            <w:tcW w:w="9075" w:type="dxa"/>
            <w:gridSpan w:val="2"/>
            <w:tcBorders>
              <w:bottom w:val="single" w:sz="12" w:space="0" w:color="000000"/>
            </w:tcBorders>
          </w:tcPr>
          <w:p>
            <w:pPr>
              <w:pStyle w:val="TableParagraph"/>
              <w:spacing w:before="132"/>
              <w:ind w:left="98"/>
              <w:jc w:val="left"/>
              <w:rPr>
                <w:sz w:val="28"/>
              </w:rPr>
            </w:pPr>
            <w:r>
              <w:rPr>
                <w:sz w:val="28"/>
              </w:rPr>
              <w:t>事故影响分析</w:t>
            </w:r>
            <w:r>
              <w:rPr>
                <w:w w:val="50"/>
                <w:sz w:val="28"/>
              </w:rPr>
              <w:t> </w:t>
            </w:r>
          </w:p>
          <w:p>
            <w:pPr>
              <w:pStyle w:val="TableParagraph"/>
              <w:spacing w:before="214"/>
              <w:ind w:left="590"/>
              <w:jc w:val="left"/>
              <w:rPr>
                <w:sz w:val="24"/>
              </w:rPr>
            </w:pPr>
            <w:r>
              <w:rPr>
                <w:sz w:val="24"/>
              </w:rPr>
              <w:t>一、事故分级</w:t>
            </w:r>
            <w:r>
              <w:rPr>
                <w:w w:val="50"/>
                <w:sz w:val="24"/>
              </w:rPr>
              <w:t> </w:t>
            </w:r>
          </w:p>
          <w:p>
            <w:pPr>
              <w:pStyle w:val="TableParagraph"/>
              <w:spacing w:line="364" w:lineRule="auto" w:before="161"/>
              <w:ind w:left="107" w:right="74" w:firstLine="480"/>
              <w:jc w:val="both"/>
              <w:rPr>
                <w:sz w:val="24"/>
              </w:rPr>
            </w:pPr>
            <w:r>
              <w:rPr>
                <w:spacing w:val="-6"/>
                <w:sz w:val="24"/>
              </w:rPr>
              <w:t>根据《放射源同位素与射线装置安全和防护条例》</w:t>
            </w:r>
            <w:r>
              <w:rPr>
                <w:sz w:val="24"/>
              </w:rPr>
              <w:t>（</w:t>
            </w:r>
            <w:r>
              <w:rPr>
                <w:spacing w:val="-3"/>
                <w:sz w:val="24"/>
              </w:rPr>
              <w:t>国务院令第 </w:t>
            </w:r>
            <w:r>
              <w:rPr>
                <w:rFonts w:ascii="Times New Roman" w:eastAsia="Times New Roman"/>
                <w:sz w:val="24"/>
              </w:rPr>
              <w:t>709</w:t>
            </w:r>
            <w:r>
              <w:rPr>
                <w:rFonts w:ascii="Times New Roman" w:eastAsia="Times New Roman"/>
                <w:spacing w:val="47"/>
                <w:sz w:val="24"/>
              </w:rPr>
              <w:t> </w:t>
            </w:r>
            <w:r>
              <w:rPr>
                <w:sz w:val="24"/>
              </w:rPr>
              <w:t>号）第四十</w:t>
            </w:r>
            <w:r>
              <w:rPr>
                <w:spacing w:val="-5"/>
                <w:sz w:val="24"/>
              </w:rPr>
              <w:t>条：根据辐射事故的性质、严重程度、可控性和影响范围等因素，从重到轻将辐射事</w:t>
            </w:r>
            <w:r>
              <w:rPr>
                <w:spacing w:val="-6"/>
                <w:sz w:val="24"/>
              </w:rPr>
              <w:t>故分为特别重大辐射事故、重大辐射事故、较大辐射事故和一般辐射事故四个等级， </w:t>
            </w:r>
            <w:r>
              <w:rPr>
                <w:spacing w:val="-16"/>
                <w:sz w:val="24"/>
              </w:rPr>
              <w:t>详见表 </w:t>
            </w:r>
            <w:r>
              <w:rPr>
                <w:rFonts w:ascii="Times New Roman" w:eastAsia="Times New Roman"/>
                <w:spacing w:val="-3"/>
                <w:sz w:val="24"/>
              </w:rPr>
              <w:t>11-9</w:t>
            </w:r>
            <w:r>
              <w:rPr>
                <w:sz w:val="24"/>
              </w:rPr>
              <w:t>。</w:t>
            </w:r>
          </w:p>
          <w:p>
            <w:pPr>
              <w:pStyle w:val="TableParagraph"/>
              <w:spacing w:line="212" w:lineRule="exact"/>
              <w:ind w:left="3238" w:right="3233"/>
              <w:rPr>
                <w:sz w:val="21"/>
              </w:rPr>
            </w:pPr>
            <w:r>
              <w:rPr>
                <w:spacing w:val="-27"/>
                <w:sz w:val="21"/>
              </w:rPr>
              <w:t>表 </w:t>
            </w:r>
            <w:r>
              <w:rPr>
                <w:rFonts w:ascii="Times New Roman" w:eastAsia="Times New Roman"/>
                <w:sz w:val="21"/>
              </w:rPr>
              <w:t>11-9 </w:t>
            </w:r>
            <w:r>
              <w:rPr>
                <w:spacing w:val="-4"/>
                <w:sz w:val="21"/>
              </w:rPr>
              <w:t>辐射事故等级划分表</w:t>
            </w:r>
          </w:p>
        </w:tc>
      </w:tr>
      <w:tr>
        <w:trPr>
          <w:trHeight w:val="310" w:hRule="atLeast"/>
        </w:trPr>
        <w:tc>
          <w:tcPr>
            <w:tcW w:w="2069" w:type="dxa"/>
            <w:tcBorders>
              <w:top w:val="single" w:sz="12" w:space="0" w:color="000000"/>
              <w:bottom w:val="single" w:sz="12" w:space="0" w:color="000000"/>
            </w:tcBorders>
          </w:tcPr>
          <w:p>
            <w:pPr>
              <w:pStyle w:val="TableParagraph"/>
              <w:spacing w:line="269" w:lineRule="exact" w:before="22"/>
              <w:ind w:left="201" w:right="137"/>
              <w:rPr>
                <w:sz w:val="21"/>
              </w:rPr>
            </w:pPr>
            <w:r>
              <w:rPr>
                <w:sz w:val="21"/>
              </w:rPr>
              <w:t>事故等级</w:t>
            </w:r>
          </w:p>
        </w:tc>
        <w:tc>
          <w:tcPr>
            <w:tcW w:w="7006" w:type="dxa"/>
            <w:tcBorders>
              <w:top w:val="single" w:sz="12" w:space="0" w:color="000000"/>
              <w:bottom w:val="single" w:sz="12" w:space="0" w:color="000000"/>
            </w:tcBorders>
          </w:tcPr>
          <w:p>
            <w:pPr>
              <w:pStyle w:val="TableParagraph"/>
              <w:spacing w:line="269" w:lineRule="exact" w:before="22"/>
              <w:ind w:left="3032" w:right="3083"/>
              <w:rPr>
                <w:sz w:val="21"/>
              </w:rPr>
            </w:pPr>
            <w:r>
              <w:rPr>
                <w:sz w:val="21"/>
              </w:rPr>
              <w:t>事故类型</w:t>
            </w:r>
          </w:p>
        </w:tc>
      </w:tr>
      <w:tr>
        <w:trPr>
          <w:trHeight w:val="625" w:hRule="atLeast"/>
        </w:trPr>
        <w:tc>
          <w:tcPr>
            <w:tcW w:w="2069" w:type="dxa"/>
            <w:tcBorders>
              <w:top w:val="single" w:sz="12" w:space="0" w:color="000000"/>
            </w:tcBorders>
          </w:tcPr>
          <w:p>
            <w:pPr>
              <w:pStyle w:val="TableParagraph"/>
              <w:spacing w:before="180"/>
              <w:ind w:left="202" w:right="137"/>
              <w:rPr>
                <w:sz w:val="21"/>
              </w:rPr>
            </w:pPr>
            <w:r>
              <w:rPr>
                <w:sz w:val="21"/>
              </w:rPr>
              <w:t>特别重大辐射事故</w:t>
            </w:r>
          </w:p>
        </w:tc>
        <w:tc>
          <w:tcPr>
            <w:tcW w:w="7006" w:type="dxa"/>
            <w:tcBorders>
              <w:top w:val="single" w:sz="12" w:space="0" w:color="000000"/>
            </w:tcBorders>
          </w:tcPr>
          <w:p>
            <w:pPr>
              <w:pStyle w:val="TableParagraph"/>
              <w:spacing w:before="24"/>
              <w:ind w:left="105"/>
              <w:jc w:val="left"/>
              <w:rPr>
                <w:sz w:val="21"/>
              </w:rPr>
            </w:pPr>
            <w:r>
              <w:rPr>
                <w:rFonts w:ascii="Times New Roman" w:hAnsi="Times New Roman" w:eastAsia="Times New Roman"/>
                <w:sz w:val="21"/>
              </w:rPr>
              <w:t>Ⅰ</w:t>
            </w:r>
            <w:r>
              <w:rPr>
                <w:sz w:val="21"/>
              </w:rPr>
              <w:t>类、</w:t>
            </w:r>
            <w:r>
              <w:rPr>
                <w:rFonts w:ascii="Times New Roman" w:hAnsi="Times New Roman" w:eastAsia="Times New Roman"/>
                <w:sz w:val="21"/>
              </w:rPr>
              <w:t>Ⅱ</w:t>
            </w:r>
            <w:r>
              <w:rPr>
                <w:sz w:val="21"/>
              </w:rPr>
              <w:t>类放射源丢失、被盗、失控造成大范围严重辐射污染后果，或者放</w:t>
            </w:r>
          </w:p>
          <w:p>
            <w:pPr>
              <w:pStyle w:val="TableParagraph"/>
              <w:spacing w:before="43"/>
              <w:ind w:left="105"/>
              <w:jc w:val="left"/>
              <w:rPr>
                <w:sz w:val="21"/>
              </w:rPr>
            </w:pPr>
            <w:r>
              <w:rPr>
                <w:sz w:val="21"/>
              </w:rPr>
              <w:t>射性同位素和射线装置失控导致 </w:t>
            </w:r>
            <w:r>
              <w:rPr>
                <w:rFonts w:ascii="Times New Roman" w:eastAsia="Times New Roman"/>
                <w:sz w:val="21"/>
              </w:rPr>
              <w:t>3 </w:t>
            </w:r>
            <w:r>
              <w:rPr>
                <w:sz w:val="21"/>
              </w:rPr>
              <w:t>人以上（含 </w:t>
            </w:r>
            <w:r>
              <w:rPr>
                <w:rFonts w:ascii="Times New Roman" w:eastAsia="Times New Roman"/>
                <w:sz w:val="21"/>
              </w:rPr>
              <w:t>3 </w:t>
            </w:r>
            <w:r>
              <w:rPr>
                <w:sz w:val="21"/>
              </w:rPr>
              <w:t>人）急性死亡。</w:t>
            </w:r>
          </w:p>
        </w:tc>
      </w:tr>
      <w:tr>
        <w:trPr>
          <w:trHeight w:val="935" w:hRule="atLeast"/>
        </w:trPr>
        <w:tc>
          <w:tcPr>
            <w:tcW w:w="2069" w:type="dxa"/>
          </w:tcPr>
          <w:p>
            <w:pPr>
              <w:pStyle w:val="TableParagraph"/>
              <w:spacing w:before="1"/>
              <w:jc w:val="left"/>
              <w:rPr>
                <w:sz w:val="26"/>
              </w:rPr>
            </w:pPr>
          </w:p>
          <w:p>
            <w:pPr>
              <w:pStyle w:val="TableParagraph"/>
              <w:ind w:left="202" w:right="135"/>
              <w:rPr>
                <w:sz w:val="21"/>
              </w:rPr>
            </w:pPr>
            <w:r>
              <w:rPr>
                <w:sz w:val="21"/>
              </w:rPr>
              <w:t>重大辐射事故</w:t>
            </w:r>
          </w:p>
        </w:tc>
        <w:tc>
          <w:tcPr>
            <w:tcW w:w="7006" w:type="dxa"/>
          </w:tcPr>
          <w:p>
            <w:pPr>
              <w:pStyle w:val="TableParagraph"/>
              <w:spacing w:before="22"/>
              <w:ind w:left="105"/>
              <w:jc w:val="left"/>
              <w:rPr>
                <w:sz w:val="21"/>
              </w:rPr>
            </w:pPr>
            <w:r>
              <w:rPr>
                <w:rFonts w:ascii="Times New Roman" w:hAnsi="Times New Roman" w:eastAsia="Times New Roman"/>
                <w:sz w:val="21"/>
              </w:rPr>
              <w:t>Ⅰ</w:t>
            </w:r>
            <w:r>
              <w:rPr>
                <w:sz w:val="21"/>
              </w:rPr>
              <w:t>类、</w:t>
            </w:r>
            <w:r>
              <w:rPr>
                <w:rFonts w:ascii="Times New Roman" w:hAnsi="Times New Roman" w:eastAsia="Times New Roman"/>
                <w:sz w:val="21"/>
              </w:rPr>
              <w:t>Ⅱ</w:t>
            </w:r>
            <w:r>
              <w:rPr>
                <w:sz w:val="21"/>
              </w:rPr>
              <w:t>类放射源丢失、被盗、失控，或者放射性同位素和射线装置失控导</w:t>
            </w:r>
          </w:p>
          <w:p>
            <w:pPr>
              <w:pStyle w:val="TableParagraph"/>
              <w:spacing w:line="310" w:lineRule="atLeast" w:before="2"/>
              <w:ind w:left="105" w:right="163"/>
              <w:jc w:val="left"/>
              <w:rPr>
                <w:sz w:val="21"/>
              </w:rPr>
            </w:pPr>
            <w:r>
              <w:rPr>
                <w:spacing w:val="-25"/>
                <w:sz w:val="21"/>
              </w:rPr>
              <w:t>致 </w:t>
            </w:r>
            <w:r>
              <w:rPr>
                <w:rFonts w:ascii="Times New Roman" w:eastAsia="Times New Roman"/>
                <w:sz w:val="21"/>
              </w:rPr>
              <w:t>2 </w:t>
            </w:r>
            <w:r>
              <w:rPr>
                <w:spacing w:val="-3"/>
                <w:sz w:val="21"/>
              </w:rPr>
              <w:t>人以下（</w:t>
            </w:r>
            <w:r>
              <w:rPr>
                <w:spacing w:val="-25"/>
                <w:sz w:val="21"/>
              </w:rPr>
              <w:t>含 </w:t>
            </w:r>
            <w:r>
              <w:rPr>
                <w:rFonts w:ascii="Times New Roman" w:eastAsia="Times New Roman"/>
                <w:sz w:val="21"/>
              </w:rPr>
              <w:t>2 </w:t>
            </w:r>
            <w:r>
              <w:rPr>
                <w:spacing w:val="-3"/>
                <w:sz w:val="21"/>
              </w:rPr>
              <w:t>人</w:t>
            </w:r>
            <w:r>
              <w:rPr>
                <w:sz w:val="21"/>
              </w:rPr>
              <w:t>）</w:t>
            </w:r>
            <w:r>
              <w:rPr>
                <w:spacing w:val="-11"/>
                <w:sz w:val="21"/>
              </w:rPr>
              <w:t>急性死亡或者 </w:t>
            </w:r>
            <w:r>
              <w:rPr>
                <w:rFonts w:ascii="Times New Roman" w:eastAsia="Times New Roman"/>
                <w:sz w:val="21"/>
              </w:rPr>
              <w:t>10 </w:t>
            </w:r>
            <w:r>
              <w:rPr>
                <w:spacing w:val="-2"/>
                <w:sz w:val="21"/>
              </w:rPr>
              <w:t>人以上</w:t>
            </w:r>
            <w:r>
              <w:rPr>
                <w:spacing w:val="-3"/>
                <w:sz w:val="21"/>
              </w:rPr>
              <w:t>（</w:t>
            </w:r>
            <w:r>
              <w:rPr>
                <w:spacing w:val="-25"/>
                <w:sz w:val="21"/>
              </w:rPr>
              <w:t>含 </w:t>
            </w:r>
            <w:r>
              <w:rPr>
                <w:rFonts w:ascii="Times New Roman" w:eastAsia="Times New Roman"/>
                <w:sz w:val="21"/>
              </w:rPr>
              <w:t>10 </w:t>
            </w:r>
            <w:r>
              <w:rPr>
                <w:sz w:val="21"/>
              </w:rPr>
              <w:t>人</w:t>
            </w:r>
            <w:r>
              <w:rPr>
                <w:spacing w:val="-3"/>
                <w:sz w:val="21"/>
              </w:rPr>
              <w:t>）急性重度放射病、局部器官残疾。</w:t>
            </w:r>
          </w:p>
        </w:tc>
      </w:tr>
      <w:tr>
        <w:trPr>
          <w:trHeight w:val="623" w:hRule="atLeast"/>
        </w:trPr>
        <w:tc>
          <w:tcPr>
            <w:tcW w:w="2069" w:type="dxa"/>
          </w:tcPr>
          <w:p>
            <w:pPr>
              <w:pStyle w:val="TableParagraph"/>
              <w:spacing w:before="178"/>
              <w:ind w:left="202" w:right="135"/>
              <w:rPr>
                <w:sz w:val="21"/>
              </w:rPr>
            </w:pPr>
            <w:r>
              <w:rPr>
                <w:sz w:val="21"/>
              </w:rPr>
              <w:t>较大辐射事故</w:t>
            </w:r>
          </w:p>
        </w:tc>
        <w:tc>
          <w:tcPr>
            <w:tcW w:w="7006" w:type="dxa"/>
          </w:tcPr>
          <w:p>
            <w:pPr>
              <w:pStyle w:val="TableParagraph"/>
              <w:spacing w:before="22"/>
              <w:ind w:left="105"/>
              <w:jc w:val="left"/>
              <w:rPr>
                <w:rFonts w:ascii="Times New Roman" w:hAnsi="Times New Roman" w:eastAsia="Times New Roman"/>
                <w:sz w:val="21"/>
              </w:rPr>
            </w:pPr>
            <w:r>
              <w:rPr>
                <w:rFonts w:ascii="Times New Roman" w:hAnsi="Times New Roman" w:eastAsia="Times New Roman"/>
                <w:sz w:val="21"/>
              </w:rPr>
              <w:t>Ⅲ</w:t>
            </w:r>
            <w:r>
              <w:rPr>
                <w:sz w:val="21"/>
              </w:rPr>
              <w:t>类放射源丢失、被盗、失控，或者放射性同位素和射线装置失控导致 </w:t>
            </w:r>
            <w:r>
              <w:rPr>
                <w:rFonts w:ascii="Times New Roman" w:hAnsi="Times New Roman" w:eastAsia="Times New Roman"/>
                <w:sz w:val="21"/>
              </w:rPr>
              <w:t>9</w:t>
            </w:r>
          </w:p>
          <w:p>
            <w:pPr>
              <w:pStyle w:val="TableParagraph"/>
              <w:spacing w:before="43"/>
              <w:ind w:left="105"/>
              <w:jc w:val="left"/>
              <w:rPr>
                <w:sz w:val="21"/>
              </w:rPr>
            </w:pPr>
            <w:r>
              <w:rPr>
                <w:sz w:val="21"/>
              </w:rPr>
              <w:t>人以下（含 </w:t>
            </w:r>
            <w:r>
              <w:rPr>
                <w:rFonts w:ascii="Times New Roman" w:eastAsia="Times New Roman"/>
                <w:sz w:val="21"/>
              </w:rPr>
              <w:t>9 </w:t>
            </w:r>
            <w:r>
              <w:rPr>
                <w:sz w:val="21"/>
              </w:rPr>
              <w:t>人）急性重度放射病、局部器官残疾。</w:t>
            </w:r>
          </w:p>
        </w:tc>
      </w:tr>
      <w:tr>
        <w:trPr>
          <w:trHeight w:val="625" w:hRule="atLeast"/>
        </w:trPr>
        <w:tc>
          <w:tcPr>
            <w:tcW w:w="2069" w:type="dxa"/>
            <w:tcBorders>
              <w:bottom w:val="single" w:sz="12" w:space="0" w:color="000000"/>
            </w:tcBorders>
          </w:tcPr>
          <w:p>
            <w:pPr>
              <w:pStyle w:val="TableParagraph"/>
              <w:spacing w:before="178"/>
              <w:ind w:left="202" w:right="135"/>
              <w:rPr>
                <w:sz w:val="21"/>
              </w:rPr>
            </w:pPr>
            <w:r>
              <w:rPr>
                <w:sz w:val="21"/>
              </w:rPr>
              <w:t>一般辐射事故</w:t>
            </w:r>
          </w:p>
        </w:tc>
        <w:tc>
          <w:tcPr>
            <w:tcW w:w="7006" w:type="dxa"/>
            <w:tcBorders>
              <w:bottom w:val="single" w:sz="12" w:space="0" w:color="000000"/>
            </w:tcBorders>
          </w:tcPr>
          <w:p>
            <w:pPr>
              <w:pStyle w:val="TableParagraph"/>
              <w:spacing w:before="22"/>
              <w:ind w:left="105"/>
              <w:jc w:val="left"/>
              <w:rPr>
                <w:sz w:val="21"/>
              </w:rPr>
            </w:pPr>
            <w:r>
              <w:rPr>
                <w:rFonts w:ascii="Times New Roman" w:hAnsi="Times New Roman" w:eastAsia="Times New Roman"/>
                <w:sz w:val="21"/>
              </w:rPr>
              <w:t>Ⅳ</w:t>
            </w:r>
            <w:r>
              <w:rPr>
                <w:sz w:val="21"/>
              </w:rPr>
              <w:t>类、</w:t>
            </w:r>
            <w:r>
              <w:rPr>
                <w:rFonts w:ascii="Times New Roman" w:hAnsi="Times New Roman" w:eastAsia="Times New Roman"/>
                <w:sz w:val="21"/>
              </w:rPr>
              <w:t>Ⅴ</w:t>
            </w:r>
            <w:r>
              <w:rPr>
                <w:sz w:val="21"/>
              </w:rPr>
              <w:t>类放射源丢失、被盗、失控，或者放射性同位素和射线装置失控</w:t>
            </w:r>
          </w:p>
          <w:p>
            <w:pPr>
              <w:pStyle w:val="TableParagraph"/>
              <w:spacing w:before="43"/>
              <w:ind w:left="105"/>
              <w:jc w:val="left"/>
              <w:rPr>
                <w:sz w:val="21"/>
              </w:rPr>
            </w:pPr>
            <w:r>
              <w:rPr>
                <w:sz w:val="21"/>
              </w:rPr>
              <w:t>导致人员受到超过年剂量限值的照射。</w:t>
            </w:r>
          </w:p>
        </w:tc>
      </w:tr>
      <w:tr>
        <w:trPr>
          <w:trHeight w:val="1403" w:hRule="atLeast"/>
        </w:trPr>
        <w:tc>
          <w:tcPr>
            <w:tcW w:w="9075" w:type="dxa"/>
            <w:gridSpan w:val="2"/>
            <w:tcBorders>
              <w:top w:val="single" w:sz="12" w:space="0" w:color="000000"/>
            </w:tcBorders>
          </w:tcPr>
          <w:p>
            <w:pPr>
              <w:pStyle w:val="TableParagraph"/>
              <w:spacing w:before="81"/>
              <w:ind w:left="590"/>
              <w:jc w:val="left"/>
              <w:rPr>
                <w:sz w:val="24"/>
              </w:rPr>
            </w:pPr>
            <w:r>
              <w:rPr>
                <w:sz w:val="24"/>
              </w:rPr>
              <w:t>二、辐射事故识别</w:t>
            </w:r>
            <w:r>
              <w:rPr>
                <w:w w:val="50"/>
                <w:sz w:val="24"/>
              </w:rPr>
              <w:t> </w:t>
            </w:r>
          </w:p>
          <w:p>
            <w:pPr>
              <w:pStyle w:val="TableParagraph"/>
              <w:spacing w:line="470" w:lineRule="atLeast"/>
              <w:ind w:left="107" w:right="-29" w:firstLine="480"/>
              <w:jc w:val="left"/>
              <w:rPr>
                <w:sz w:val="24"/>
              </w:rPr>
            </w:pPr>
            <w:r>
              <w:rPr>
                <w:sz w:val="24"/>
              </w:rPr>
              <w:t>本项目</w:t>
            </w:r>
            <w:r>
              <w:rPr>
                <w:rFonts w:ascii="Times New Roman" w:hAnsi="Times New Roman" w:eastAsia="Times New Roman"/>
                <w:sz w:val="24"/>
              </w:rPr>
              <w:t>DSA</w:t>
            </w:r>
            <w:r>
              <w:rPr>
                <w:sz w:val="24"/>
              </w:rPr>
              <w:t>属</w:t>
            </w:r>
            <w:r>
              <w:rPr>
                <w:rFonts w:ascii="Times New Roman" w:hAnsi="Times New Roman" w:eastAsia="Times New Roman"/>
                <w:sz w:val="24"/>
              </w:rPr>
              <w:t>Ⅱ</w:t>
            </w:r>
            <w:r>
              <w:rPr>
                <w:spacing w:val="-9"/>
                <w:sz w:val="24"/>
              </w:rPr>
              <w:t>类射线装置，在运行时会产生</w:t>
            </w:r>
            <w:r>
              <w:rPr>
                <w:rFonts w:ascii="Times New Roman" w:hAnsi="Times New Roman" w:eastAsia="Times New Roman"/>
                <w:sz w:val="24"/>
              </w:rPr>
              <w:t>X</w:t>
            </w:r>
            <w:r>
              <w:rPr>
                <w:spacing w:val="-10"/>
                <w:sz w:val="24"/>
              </w:rPr>
              <w:t>射线，项目环境风险因子为</w:t>
            </w:r>
            <w:r>
              <w:rPr>
                <w:rFonts w:ascii="Times New Roman" w:hAnsi="Times New Roman" w:eastAsia="Times New Roman"/>
                <w:sz w:val="24"/>
              </w:rPr>
              <w:t>X</w:t>
            </w:r>
            <w:r>
              <w:rPr>
                <w:sz w:val="24"/>
              </w:rPr>
              <w:t>射线， 根据其工作原理分析，可能发生的事故工况主要有以下几种情况：</w:t>
            </w:r>
          </w:p>
        </w:tc>
      </w:tr>
    </w:tbl>
    <w:p>
      <w:pPr>
        <w:spacing w:after="0" w:line="470" w:lineRule="atLeast"/>
        <w:jc w:val="left"/>
        <w:rPr>
          <w:sz w:val="24"/>
        </w:rPr>
        <w:sectPr>
          <w:pgSz w:w="11910" w:h="16840"/>
          <w:pgMar w:header="0" w:footer="881" w:top="1220" w:bottom="1080" w:left="1480" w:right="1020"/>
        </w:sectPr>
      </w:pPr>
    </w:p>
    <w:p>
      <w:pPr>
        <w:pStyle w:val="BodyText"/>
        <w:spacing w:before="100"/>
        <w:ind w:left="992"/>
      </w:pPr>
      <w:r>
        <w:rPr/>
        <w:pict>
          <v:group style="position:absolute;margin-left:81.959999pt;margin-top:62.399937pt;width:454.2pt;height:703.2pt;mso-position-horizontal-relative:page;mso-position-vertical-relative:page;z-index:-211048" coordorigin="1639,1248" coordsize="9084,14064">
            <v:line style="position:absolute" from="1639,1253" to="10714,1253" stroked="true" strokeweight=".479999pt" strokecolor="#000000">
              <v:stroke dashstyle="solid"/>
            </v:line>
            <v:line style="position:absolute" from="1644,1258" to="1644,15312" stroked="true" strokeweight=".479999pt" strokecolor="#000000">
              <v:stroke dashstyle="solid"/>
            </v:line>
            <v:line style="position:absolute" from="1639,15307" to="10714,15307" stroked="true" strokeweight=".480011pt" strokecolor="#000000">
              <v:stroke dashstyle="solid"/>
            </v:line>
            <v:line style="position:absolute" from="10718,1248" to="10718,15312" stroked="true" strokeweight=".480011pt" strokecolor="#000000">
              <v:stroke dashstyle="solid"/>
            </v:line>
            <w10:wrap type="none"/>
          </v:group>
        </w:pict>
      </w:r>
      <w:r>
        <w:rPr/>
        <w:t>装置在运行时，人员误入或滞留在治疗机房内而造成误照射。</w:t>
      </w:r>
    </w:p>
    <w:p>
      <w:pPr>
        <w:pStyle w:val="BodyText"/>
        <w:spacing w:line="364" w:lineRule="auto" w:before="161"/>
        <w:ind w:left="272" w:right="227" w:firstLine="720"/>
      </w:pPr>
      <w:r>
        <w:rPr/>
        <w:t>医务人员或病人家属还未全部撤离治疗机房，操作间人员启动设备，造成滞留人员的误照射。</w:t>
      </w:r>
    </w:p>
    <w:p>
      <w:pPr>
        <w:pStyle w:val="BodyText"/>
        <w:spacing w:line="364" w:lineRule="auto" w:before="1"/>
        <w:ind w:left="992" w:right="252"/>
      </w:pPr>
      <w:r>
        <w:rPr/>
        <w:t>装置在检修、维护等过程中，检修、维护人员误操作，造成有关人员误照射。医务人员由于缺乏操作经验和防护知识，安全观念淡薄等，违反操作规程和有</w:t>
      </w:r>
    </w:p>
    <w:p>
      <w:pPr>
        <w:pStyle w:val="BodyText"/>
        <w:spacing w:line="364" w:lineRule="auto" w:before="1"/>
        <w:ind w:left="272" w:right="230"/>
      </w:pPr>
      <w:r>
        <w:rPr/>
        <w:t>关规定，在从事介入手术期间未采取穿戴个人防护用品等必要的防护措施，可能导致人员受到超过年剂量限值的照射。</w:t>
      </w:r>
    </w:p>
    <w:p>
      <w:pPr>
        <w:pStyle w:val="BodyText"/>
        <w:spacing w:before="2"/>
        <w:ind w:left="742"/>
      </w:pPr>
      <w:r>
        <w:rPr/>
        <w:t>三、事故工况辐射影响分析</w:t>
      </w:r>
      <w:r>
        <w:rPr>
          <w:w w:val="50"/>
        </w:rPr>
        <w:t> </w:t>
      </w:r>
    </w:p>
    <w:p>
      <w:pPr>
        <w:pStyle w:val="BodyText"/>
        <w:spacing w:before="160"/>
        <w:ind w:left="754"/>
      </w:pPr>
      <w:r>
        <w:rPr/>
        <w:t>1、介入手术过程中，发生介入手术人员超剂量照射</w:t>
      </w:r>
      <w:r>
        <w:rPr>
          <w:w w:val="50"/>
        </w:rPr>
        <w:t> </w:t>
      </w:r>
    </w:p>
    <w:p>
      <w:pPr>
        <w:pStyle w:val="ListParagraph"/>
        <w:numPr>
          <w:ilvl w:val="0"/>
          <w:numId w:val="21"/>
        </w:numPr>
        <w:tabs>
          <w:tab w:pos="1353" w:val="left" w:leader="none"/>
        </w:tabs>
        <w:spacing w:line="240" w:lineRule="auto" w:before="161" w:after="0"/>
        <w:ind w:left="1353" w:right="0" w:hanging="601"/>
        <w:jc w:val="left"/>
        <w:rPr>
          <w:sz w:val="24"/>
        </w:rPr>
      </w:pPr>
      <w:r>
        <w:rPr>
          <w:sz w:val="24"/>
        </w:rPr>
        <w:t>事故情景假设</w:t>
      </w:r>
    </w:p>
    <w:p>
      <w:pPr>
        <w:pStyle w:val="BodyText"/>
        <w:spacing w:before="160"/>
        <w:ind w:left="992"/>
      </w:pPr>
      <w:r>
        <w:rPr/>
        <w:t>在介入手术操作中，</w:t>
      </w:r>
      <w:r>
        <w:rPr>
          <w:rFonts w:ascii="Times New Roman" w:eastAsia="Times New Roman"/>
        </w:rPr>
        <w:t>DSA </w:t>
      </w:r>
      <w:r>
        <w:rPr/>
        <w:t>控制系统失灵；</w:t>
      </w:r>
    </w:p>
    <w:p>
      <w:pPr>
        <w:pStyle w:val="BodyText"/>
        <w:spacing w:line="364" w:lineRule="auto" w:before="161"/>
        <w:ind w:left="272" w:right="202" w:firstLine="720"/>
      </w:pPr>
      <w:r>
        <w:rPr>
          <w:rFonts w:ascii="Times New Roman" w:hAnsi="Times New Roman" w:eastAsia="Times New Roman"/>
        </w:rPr>
        <w:t>DSA </w:t>
      </w:r>
      <w:r>
        <w:rPr/>
        <w:t>的 </w:t>
      </w:r>
      <w:r>
        <w:rPr>
          <w:rFonts w:ascii="Times New Roman" w:hAnsi="Times New Roman" w:eastAsia="Times New Roman"/>
        </w:rPr>
        <w:t>X </w:t>
      </w:r>
      <w:r>
        <w:rPr/>
        <w:t>射线源处于“曝光”状态，介入手术人员在距 </w:t>
      </w:r>
      <w:r>
        <w:rPr>
          <w:rFonts w:ascii="Times New Roman" w:hAnsi="Times New Roman" w:eastAsia="Times New Roman"/>
        </w:rPr>
        <w:t>X </w:t>
      </w:r>
      <w:r>
        <w:rPr/>
        <w:t>射线管非主射束方向进行介入手术操作；</w:t>
      </w:r>
    </w:p>
    <w:p>
      <w:pPr>
        <w:pStyle w:val="BodyText"/>
        <w:spacing w:before="1"/>
        <w:ind w:left="992"/>
      </w:pPr>
      <w:r>
        <w:rPr/>
        <w:t>假定该名手术人员未穿戴铅衣、配套铅手套和铅防护眼镜等个人防护用品。</w:t>
      </w:r>
    </w:p>
    <w:p>
      <w:pPr>
        <w:pStyle w:val="ListParagraph"/>
        <w:numPr>
          <w:ilvl w:val="0"/>
          <w:numId w:val="21"/>
        </w:numPr>
        <w:tabs>
          <w:tab w:pos="1353" w:val="left" w:leader="none"/>
        </w:tabs>
        <w:spacing w:line="240" w:lineRule="auto" w:before="160" w:after="0"/>
        <w:ind w:left="1353" w:right="0" w:hanging="601"/>
        <w:jc w:val="left"/>
        <w:rPr>
          <w:sz w:val="24"/>
        </w:rPr>
      </w:pPr>
      <w:r>
        <w:rPr>
          <w:sz w:val="24"/>
        </w:rPr>
        <w:t>剂量估算</w:t>
      </w:r>
    </w:p>
    <w:p>
      <w:pPr>
        <w:pStyle w:val="BodyText"/>
        <w:spacing w:line="364" w:lineRule="auto" w:before="161"/>
        <w:ind w:left="272" w:right="273" w:firstLine="480"/>
        <w:jc w:val="both"/>
      </w:pPr>
      <w:r>
        <w:rPr>
          <w:spacing w:val="-2"/>
        </w:rPr>
        <w:t>假设考虑该名手术人员在无其它屏蔽的情况下处于 </w:t>
      </w:r>
      <w:r>
        <w:rPr>
          <w:rFonts w:ascii="Times New Roman" w:hAnsi="Times New Roman" w:eastAsia="Times New Roman"/>
        </w:rPr>
        <w:t>X</w:t>
      </w:r>
      <w:r>
        <w:rPr>
          <w:rFonts w:ascii="Times New Roman" w:hAnsi="Times New Roman" w:eastAsia="Times New Roman"/>
          <w:spacing w:val="32"/>
        </w:rPr>
        <w:t> </w:t>
      </w:r>
      <w:r>
        <w:rPr>
          <w:spacing w:val="-3"/>
        </w:rPr>
        <w:t>射线管非主射束方向 </w:t>
      </w:r>
      <w:r>
        <w:rPr>
          <w:rFonts w:ascii="Times New Roman" w:hAnsi="Times New Roman" w:eastAsia="Times New Roman"/>
          <w:spacing w:val="-5"/>
        </w:rPr>
        <w:t>0.5m </w:t>
      </w:r>
      <w:r>
        <w:rPr>
          <w:spacing w:val="-30"/>
        </w:rPr>
        <w:t>或 </w:t>
      </w:r>
      <w:r>
        <w:rPr>
          <w:rFonts w:ascii="Times New Roman" w:hAnsi="Times New Roman" w:eastAsia="Times New Roman"/>
        </w:rPr>
        <w:t>1m</w:t>
      </w:r>
      <w:r>
        <w:rPr>
          <w:rFonts w:ascii="Times New Roman" w:hAnsi="Times New Roman" w:eastAsia="Times New Roman"/>
          <w:spacing w:val="1"/>
        </w:rPr>
        <w:t> </w:t>
      </w:r>
      <w:r>
        <w:rPr>
          <w:spacing w:val="-4"/>
        </w:rPr>
        <w:t>处，介入手术操作时，</w:t>
      </w:r>
      <w:r>
        <w:rPr>
          <w:rFonts w:ascii="Times New Roman" w:hAnsi="Times New Roman" w:eastAsia="Times New Roman"/>
          <w:spacing w:val="-4"/>
        </w:rPr>
        <w:t>DSA</w:t>
      </w:r>
      <w:r>
        <w:rPr>
          <w:rFonts w:ascii="Times New Roman" w:hAnsi="Times New Roman" w:eastAsia="Times New Roman"/>
          <w:spacing w:val="-5"/>
        </w:rPr>
        <w:t> </w:t>
      </w:r>
      <w:r>
        <w:rPr>
          <w:spacing w:val="-2"/>
        </w:rPr>
        <w:t>以透视模式运行。本项目手术床旁及控制室内设置</w:t>
      </w:r>
      <w:r>
        <w:rPr>
          <w:spacing w:val="-6"/>
        </w:rPr>
        <w:t>有“紧急停止”按钮，只要按下此按钮就可以停机，则事故工况下介入手术操作人员所受辐射剂量估算详见表 </w:t>
      </w:r>
      <w:r>
        <w:rPr>
          <w:rFonts w:ascii="Times New Roman" w:hAnsi="Times New Roman" w:eastAsia="Times New Roman"/>
        </w:rPr>
        <w:t>11-10</w:t>
      </w:r>
      <w:r>
        <w:rPr/>
        <w:t>。</w:t>
      </w:r>
    </w:p>
    <w:p>
      <w:pPr>
        <w:spacing w:line="213" w:lineRule="exact" w:before="0" w:after="20"/>
        <w:ind w:left="2273" w:right="0" w:firstLine="0"/>
        <w:jc w:val="left"/>
        <w:rPr>
          <w:sz w:val="21"/>
        </w:rPr>
      </w:pPr>
      <w:r>
        <w:rPr>
          <w:spacing w:val="-27"/>
          <w:sz w:val="21"/>
        </w:rPr>
        <w:t>表 </w:t>
      </w:r>
      <w:r>
        <w:rPr>
          <w:rFonts w:ascii="Times New Roman" w:eastAsia="Times New Roman"/>
          <w:sz w:val="21"/>
        </w:rPr>
        <w:t>11-10</w:t>
      </w:r>
      <w:r>
        <w:rPr>
          <w:rFonts w:ascii="Times New Roman" w:eastAsia="Times New Roman"/>
          <w:spacing w:val="51"/>
          <w:sz w:val="21"/>
        </w:rPr>
        <w:t> </w:t>
      </w:r>
      <w:r>
        <w:rPr>
          <w:spacing w:val="-4"/>
          <w:sz w:val="21"/>
        </w:rPr>
        <w:t>事故工况下介入手术操作人员所受剂量估算</w:t>
      </w:r>
    </w:p>
    <w:tbl>
      <w:tblPr>
        <w:tblW w:w="0" w:type="auto"/>
        <w:jc w:val="left"/>
        <w:tblInd w:w="2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54"/>
        <w:gridCol w:w="3120"/>
        <w:gridCol w:w="2986"/>
      </w:tblGrid>
      <w:tr>
        <w:trPr>
          <w:trHeight w:val="310" w:hRule="atLeast"/>
        </w:trPr>
        <w:tc>
          <w:tcPr>
            <w:tcW w:w="2854" w:type="dxa"/>
            <w:tcBorders>
              <w:left w:val="nil"/>
              <w:right w:val="single" w:sz="4" w:space="0" w:color="000000"/>
            </w:tcBorders>
          </w:tcPr>
          <w:p>
            <w:pPr>
              <w:pStyle w:val="TableParagraph"/>
              <w:spacing w:line="269" w:lineRule="exact" w:before="22"/>
              <w:ind w:left="203"/>
              <w:jc w:val="left"/>
              <w:rPr>
                <w:sz w:val="21"/>
              </w:rPr>
            </w:pPr>
            <w:r>
              <w:rPr>
                <w:sz w:val="21"/>
              </w:rPr>
              <w:t>与射线装置最近距离（</w:t>
            </w:r>
            <w:r>
              <w:rPr>
                <w:rFonts w:ascii="Times New Roman" w:eastAsia="Times New Roman"/>
                <w:sz w:val="21"/>
              </w:rPr>
              <w:t>m</w:t>
            </w:r>
            <w:r>
              <w:rPr>
                <w:sz w:val="21"/>
              </w:rPr>
              <w:t>）</w:t>
            </w:r>
          </w:p>
        </w:tc>
        <w:tc>
          <w:tcPr>
            <w:tcW w:w="3120" w:type="dxa"/>
            <w:tcBorders>
              <w:left w:val="single" w:sz="4" w:space="0" w:color="000000"/>
              <w:right w:val="single" w:sz="4" w:space="0" w:color="000000"/>
            </w:tcBorders>
          </w:tcPr>
          <w:p>
            <w:pPr>
              <w:pStyle w:val="TableParagraph"/>
              <w:spacing w:line="269" w:lineRule="exact" w:before="22"/>
              <w:ind w:left="878" w:right="850"/>
              <w:rPr>
                <w:sz w:val="21"/>
              </w:rPr>
            </w:pPr>
            <w:r>
              <w:rPr>
                <w:sz w:val="21"/>
              </w:rPr>
              <w:t>受照时间（</w:t>
            </w:r>
            <w:r>
              <w:rPr>
                <w:rFonts w:ascii="Times New Roman" w:eastAsia="Times New Roman"/>
                <w:sz w:val="21"/>
              </w:rPr>
              <w:t>s</w:t>
            </w:r>
            <w:r>
              <w:rPr>
                <w:sz w:val="21"/>
              </w:rPr>
              <w:t>）</w:t>
            </w:r>
          </w:p>
        </w:tc>
        <w:tc>
          <w:tcPr>
            <w:tcW w:w="2986" w:type="dxa"/>
            <w:tcBorders>
              <w:left w:val="single" w:sz="4" w:space="0" w:color="000000"/>
              <w:right w:val="nil"/>
            </w:tcBorders>
          </w:tcPr>
          <w:p>
            <w:pPr>
              <w:pStyle w:val="TableParagraph"/>
              <w:spacing w:line="269" w:lineRule="exact" w:before="22"/>
              <w:ind w:left="448" w:right="426"/>
              <w:rPr>
                <w:sz w:val="21"/>
              </w:rPr>
            </w:pPr>
            <w:r>
              <w:rPr>
                <w:sz w:val="21"/>
              </w:rPr>
              <w:t>人员所受剂量（</w:t>
            </w:r>
            <w:r>
              <w:rPr>
                <w:rFonts w:ascii="Times New Roman" w:eastAsia="Times New Roman"/>
                <w:sz w:val="21"/>
              </w:rPr>
              <w:t>mSv</w:t>
            </w:r>
            <w:r>
              <w:rPr>
                <w:sz w:val="21"/>
              </w:rPr>
              <w:t>）</w:t>
            </w:r>
          </w:p>
        </w:tc>
      </w:tr>
      <w:tr>
        <w:trPr>
          <w:trHeight w:val="313" w:hRule="atLeast"/>
        </w:trPr>
        <w:tc>
          <w:tcPr>
            <w:tcW w:w="2854" w:type="dxa"/>
            <w:vMerge w:val="restart"/>
            <w:tcBorders>
              <w:left w:val="nil"/>
              <w:bottom w:val="single" w:sz="4" w:space="0" w:color="000000"/>
              <w:right w:val="single" w:sz="4" w:space="0" w:color="000000"/>
            </w:tcBorders>
          </w:tcPr>
          <w:p>
            <w:pPr>
              <w:pStyle w:val="TableParagraph"/>
              <w:jc w:val="left"/>
              <w:rPr>
                <w:sz w:val="22"/>
              </w:rPr>
            </w:pPr>
          </w:p>
          <w:p>
            <w:pPr>
              <w:pStyle w:val="TableParagraph"/>
              <w:spacing w:before="8"/>
              <w:jc w:val="left"/>
              <w:rPr>
                <w:sz w:val="18"/>
              </w:rPr>
            </w:pPr>
          </w:p>
          <w:p>
            <w:pPr>
              <w:pStyle w:val="TableParagraph"/>
              <w:ind w:left="1290" w:right="1255"/>
              <w:rPr>
                <w:rFonts w:ascii="Times New Roman"/>
                <w:sz w:val="21"/>
              </w:rPr>
            </w:pPr>
            <w:r>
              <w:rPr>
                <w:rFonts w:ascii="Times New Roman"/>
                <w:sz w:val="21"/>
              </w:rPr>
              <w:t>0.5</w:t>
            </w:r>
          </w:p>
        </w:tc>
        <w:tc>
          <w:tcPr>
            <w:tcW w:w="3120" w:type="dxa"/>
            <w:tcBorders>
              <w:left w:val="single" w:sz="4" w:space="0" w:color="000000"/>
              <w:bottom w:val="single" w:sz="4" w:space="0" w:color="000000"/>
              <w:right w:val="single" w:sz="4" w:space="0" w:color="000000"/>
            </w:tcBorders>
          </w:tcPr>
          <w:p>
            <w:pPr>
              <w:pStyle w:val="TableParagraph"/>
              <w:spacing w:before="38"/>
              <w:ind w:left="878" w:right="850"/>
              <w:rPr>
                <w:rFonts w:ascii="Times New Roman"/>
                <w:sz w:val="21"/>
              </w:rPr>
            </w:pPr>
            <w:r>
              <w:rPr>
                <w:rFonts w:ascii="Times New Roman"/>
                <w:sz w:val="21"/>
              </w:rPr>
              <w:t>50</w:t>
            </w:r>
          </w:p>
        </w:tc>
        <w:tc>
          <w:tcPr>
            <w:tcW w:w="2986" w:type="dxa"/>
            <w:tcBorders>
              <w:left w:val="single" w:sz="4" w:space="0" w:color="000000"/>
              <w:bottom w:val="single" w:sz="4" w:space="0" w:color="000000"/>
              <w:right w:val="nil"/>
            </w:tcBorders>
          </w:tcPr>
          <w:p>
            <w:pPr>
              <w:pStyle w:val="TableParagraph"/>
              <w:spacing w:before="38"/>
              <w:ind w:left="448" w:right="425"/>
              <w:rPr>
                <w:rFonts w:ascii="Times New Roman"/>
                <w:sz w:val="21"/>
              </w:rPr>
            </w:pPr>
            <w:r>
              <w:rPr>
                <w:rFonts w:ascii="Times New Roman"/>
                <w:sz w:val="21"/>
              </w:rPr>
              <w:t>1.46</w:t>
            </w:r>
          </w:p>
        </w:tc>
      </w:tr>
      <w:tr>
        <w:trPr>
          <w:trHeight w:val="311" w:hRule="atLeast"/>
        </w:trPr>
        <w:tc>
          <w:tcPr>
            <w:tcW w:w="2854" w:type="dxa"/>
            <w:vMerge/>
            <w:tcBorders>
              <w:top w:val="nil"/>
              <w:left w:val="nil"/>
              <w:bottom w:val="single" w:sz="4" w:space="0" w:color="000000"/>
              <w:right w:val="single" w:sz="4" w:space="0" w:color="000000"/>
            </w:tcBorders>
          </w:tcPr>
          <w:p>
            <w:pPr>
              <w:rPr>
                <w:sz w:val="2"/>
                <w:szCs w:val="2"/>
              </w:rPr>
            </w:pPr>
          </w:p>
        </w:tc>
        <w:tc>
          <w:tcPr>
            <w:tcW w:w="3120" w:type="dxa"/>
            <w:tcBorders>
              <w:top w:val="single" w:sz="4" w:space="0" w:color="000000"/>
              <w:left w:val="single" w:sz="4" w:space="0" w:color="000000"/>
              <w:bottom w:val="single" w:sz="4" w:space="0" w:color="000000"/>
              <w:right w:val="single" w:sz="4" w:space="0" w:color="000000"/>
            </w:tcBorders>
          </w:tcPr>
          <w:p>
            <w:pPr>
              <w:pStyle w:val="TableParagraph"/>
              <w:spacing w:before="36"/>
              <w:ind w:left="878" w:right="850"/>
              <w:rPr>
                <w:rFonts w:ascii="Times New Roman"/>
                <w:sz w:val="21"/>
              </w:rPr>
            </w:pPr>
            <w:r>
              <w:rPr>
                <w:rFonts w:ascii="Times New Roman"/>
                <w:sz w:val="21"/>
              </w:rPr>
              <w:t>100</w:t>
            </w:r>
          </w:p>
        </w:tc>
        <w:tc>
          <w:tcPr>
            <w:tcW w:w="2986" w:type="dxa"/>
            <w:tcBorders>
              <w:top w:val="single" w:sz="4" w:space="0" w:color="000000"/>
              <w:left w:val="single" w:sz="4" w:space="0" w:color="000000"/>
              <w:bottom w:val="single" w:sz="4" w:space="0" w:color="000000"/>
              <w:right w:val="nil"/>
            </w:tcBorders>
          </w:tcPr>
          <w:p>
            <w:pPr>
              <w:pStyle w:val="TableParagraph"/>
              <w:spacing w:before="36"/>
              <w:ind w:left="448" w:right="425"/>
              <w:rPr>
                <w:rFonts w:ascii="Times New Roman"/>
                <w:sz w:val="21"/>
              </w:rPr>
            </w:pPr>
            <w:r>
              <w:rPr>
                <w:rFonts w:ascii="Times New Roman"/>
                <w:sz w:val="21"/>
              </w:rPr>
              <w:t>2.91</w:t>
            </w:r>
          </w:p>
        </w:tc>
      </w:tr>
      <w:tr>
        <w:trPr>
          <w:trHeight w:val="311" w:hRule="atLeast"/>
        </w:trPr>
        <w:tc>
          <w:tcPr>
            <w:tcW w:w="2854" w:type="dxa"/>
            <w:vMerge/>
            <w:tcBorders>
              <w:top w:val="nil"/>
              <w:left w:val="nil"/>
              <w:bottom w:val="single" w:sz="4" w:space="0" w:color="000000"/>
              <w:right w:val="single" w:sz="4" w:space="0" w:color="000000"/>
            </w:tcBorders>
          </w:tcPr>
          <w:p>
            <w:pPr>
              <w:rPr>
                <w:sz w:val="2"/>
                <w:szCs w:val="2"/>
              </w:rPr>
            </w:pPr>
          </w:p>
        </w:tc>
        <w:tc>
          <w:tcPr>
            <w:tcW w:w="3120" w:type="dxa"/>
            <w:tcBorders>
              <w:top w:val="single" w:sz="4" w:space="0" w:color="000000"/>
              <w:left w:val="single" w:sz="4" w:space="0" w:color="000000"/>
              <w:bottom w:val="single" w:sz="4" w:space="0" w:color="000000"/>
              <w:right w:val="single" w:sz="4" w:space="0" w:color="000000"/>
            </w:tcBorders>
          </w:tcPr>
          <w:p>
            <w:pPr>
              <w:pStyle w:val="TableParagraph"/>
              <w:spacing w:before="36"/>
              <w:ind w:left="878" w:right="850"/>
              <w:rPr>
                <w:rFonts w:ascii="Times New Roman"/>
                <w:sz w:val="21"/>
              </w:rPr>
            </w:pPr>
            <w:r>
              <w:rPr>
                <w:rFonts w:ascii="Times New Roman"/>
                <w:sz w:val="21"/>
              </w:rPr>
              <w:t>200</w:t>
            </w:r>
          </w:p>
        </w:tc>
        <w:tc>
          <w:tcPr>
            <w:tcW w:w="2986" w:type="dxa"/>
            <w:tcBorders>
              <w:top w:val="single" w:sz="4" w:space="0" w:color="000000"/>
              <w:left w:val="single" w:sz="4" w:space="0" w:color="000000"/>
              <w:bottom w:val="single" w:sz="4" w:space="0" w:color="000000"/>
              <w:right w:val="nil"/>
            </w:tcBorders>
          </w:tcPr>
          <w:p>
            <w:pPr>
              <w:pStyle w:val="TableParagraph"/>
              <w:spacing w:before="36"/>
              <w:ind w:left="448" w:right="425"/>
              <w:rPr>
                <w:rFonts w:ascii="Times New Roman"/>
                <w:sz w:val="21"/>
              </w:rPr>
            </w:pPr>
            <w:r>
              <w:rPr>
                <w:rFonts w:ascii="Times New Roman"/>
                <w:sz w:val="21"/>
              </w:rPr>
              <w:t>5.82</w:t>
            </w:r>
          </w:p>
        </w:tc>
      </w:tr>
      <w:tr>
        <w:trPr>
          <w:trHeight w:val="311" w:hRule="atLeast"/>
        </w:trPr>
        <w:tc>
          <w:tcPr>
            <w:tcW w:w="2854" w:type="dxa"/>
            <w:vMerge/>
            <w:tcBorders>
              <w:top w:val="nil"/>
              <w:left w:val="nil"/>
              <w:bottom w:val="single" w:sz="4" w:space="0" w:color="000000"/>
              <w:right w:val="single" w:sz="4" w:space="0" w:color="000000"/>
            </w:tcBorders>
          </w:tcPr>
          <w:p>
            <w:pPr>
              <w:rPr>
                <w:sz w:val="2"/>
                <w:szCs w:val="2"/>
              </w:rPr>
            </w:pPr>
          </w:p>
        </w:tc>
        <w:tc>
          <w:tcPr>
            <w:tcW w:w="3120" w:type="dxa"/>
            <w:tcBorders>
              <w:top w:val="single" w:sz="4" w:space="0" w:color="000000"/>
              <w:left w:val="single" w:sz="4" w:space="0" w:color="000000"/>
              <w:bottom w:val="single" w:sz="4" w:space="0" w:color="000000"/>
              <w:right w:val="single" w:sz="4" w:space="0" w:color="000000"/>
            </w:tcBorders>
          </w:tcPr>
          <w:p>
            <w:pPr>
              <w:pStyle w:val="TableParagraph"/>
              <w:spacing w:before="36"/>
              <w:ind w:left="878" w:right="850"/>
              <w:rPr>
                <w:rFonts w:ascii="Times New Roman"/>
                <w:sz w:val="21"/>
              </w:rPr>
            </w:pPr>
            <w:r>
              <w:rPr>
                <w:rFonts w:ascii="Times New Roman"/>
                <w:sz w:val="21"/>
              </w:rPr>
              <w:t>300</w:t>
            </w:r>
          </w:p>
        </w:tc>
        <w:tc>
          <w:tcPr>
            <w:tcW w:w="2986" w:type="dxa"/>
            <w:tcBorders>
              <w:top w:val="single" w:sz="4" w:space="0" w:color="000000"/>
              <w:left w:val="single" w:sz="4" w:space="0" w:color="000000"/>
              <w:bottom w:val="single" w:sz="4" w:space="0" w:color="000000"/>
              <w:right w:val="nil"/>
            </w:tcBorders>
          </w:tcPr>
          <w:p>
            <w:pPr>
              <w:pStyle w:val="TableParagraph"/>
              <w:spacing w:before="36"/>
              <w:ind w:left="448" w:right="423"/>
              <w:rPr>
                <w:rFonts w:ascii="Times New Roman"/>
                <w:sz w:val="21"/>
              </w:rPr>
            </w:pPr>
            <w:r>
              <w:rPr>
                <w:rFonts w:ascii="Times New Roman"/>
                <w:sz w:val="21"/>
              </w:rPr>
              <w:t>11.26</w:t>
            </w:r>
          </w:p>
        </w:tc>
      </w:tr>
      <w:tr>
        <w:trPr>
          <w:trHeight w:val="301" w:hRule="atLeast"/>
        </w:trPr>
        <w:tc>
          <w:tcPr>
            <w:tcW w:w="2854" w:type="dxa"/>
            <w:vMerge w:val="restart"/>
            <w:tcBorders>
              <w:top w:val="single" w:sz="4" w:space="0" w:color="000000"/>
              <w:left w:val="nil"/>
              <w:right w:val="single" w:sz="4" w:space="0" w:color="000000"/>
            </w:tcBorders>
          </w:tcPr>
          <w:p>
            <w:pPr>
              <w:pStyle w:val="TableParagraph"/>
              <w:jc w:val="left"/>
              <w:rPr>
                <w:sz w:val="22"/>
              </w:rPr>
            </w:pPr>
          </w:p>
          <w:p>
            <w:pPr>
              <w:pStyle w:val="TableParagraph"/>
              <w:spacing w:before="8"/>
              <w:jc w:val="left"/>
              <w:rPr>
                <w:sz w:val="18"/>
              </w:rPr>
            </w:pPr>
          </w:p>
          <w:p>
            <w:pPr>
              <w:pStyle w:val="TableParagraph"/>
              <w:spacing w:before="1"/>
              <w:ind w:left="31"/>
              <w:rPr>
                <w:rFonts w:ascii="Times New Roman"/>
                <w:sz w:val="21"/>
              </w:rPr>
            </w:pPr>
            <w:r>
              <w:rPr>
                <w:rFonts w:ascii="Times New Roman"/>
                <w:w w:val="100"/>
                <w:sz w:val="21"/>
              </w:rPr>
              <w:t>1</w:t>
            </w:r>
          </w:p>
        </w:tc>
        <w:tc>
          <w:tcPr>
            <w:tcW w:w="3120" w:type="dxa"/>
            <w:tcBorders>
              <w:top w:val="single" w:sz="4" w:space="0" w:color="000000"/>
              <w:left w:val="single" w:sz="4" w:space="0" w:color="000000"/>
              <w:bottom w:val="single" w:sz="4" w:space="0" w:color="000000"/>
              <w:right w:val="single" w:sz="4" w:space="0" w:color="000000"/>
            </w:tcBorders>
          </w:tcPr>
          <w:p>
            <w:pPr>
              <w:pStyle w:val="TableParagraph"/>
              <w:spacing w:before="36"/>
              <w:ind w:left="878" w:right="850"/>
              <w:rPr>
                <w:rFonts w:ascii="Times New Roman"/>
                <w:sz w:val="21"/>
              </w:rPr>
            </w:pPr>
            <w:r>
              <w:rPr>
                <w:rFonts w:ascii="Times New Roman"/>
                <w:sz w:val="21"/>
              </w:rPr>
              <w:t>50</w:t>
            </w:r>
          </w:p>
        </w:tc>
        <w:tc>
          <w:tcPr>
            <w:tcW w:w="2986" w:type="dxa"/>
            <w:tcBorders>
              <w:top w:val="single" w:sz="4" w:space="0" w:color="000000"/>
              <w:left w:val="single" w:sz="4" w:space="0" w:color="000000"/>
              <w:bottom w:val="single" w:sz="4" w:space="0" w:color="000000"/>
              <w:right w:val="nil"/>
            </w:tcBorders>
          </w:tcPr>
          <w:p>
            <w:pPr>
              <w:pStyle w:val="TableParagraph"/>
              <w:spacing w:before="36"/>
              <w:ind w:left="448" w:right="425"/>
              <w:rPr>
                <w:rFonts w:ascii="Times New Roman"/>
                <w:sz w:val="21"/>
              </w:rPr>
            </w:pPr>
            <w:r>
              <w:rPr>
                <w:rFonts w:ascii="Times New Roman"/>
                <w:sz w:val="21"/>
              </w:rPr>
              <w:t>0.36</w:t>
            </w:r>
          </w:p>
        </w:tc>
      </w:tr>
      <w:tr>
        <w:trPr>
          <w:trHeight w:val="294" w:hRule="atLeast"/>
        </w:trPr>
        <w:tc>
          <w:tcPr>
            <w:tcW w:w="2854" w:type="dxa"/>
            <w:vMerge/>
            <w:tcBorders>
              <w:top w:val="nil"/>
              <w:left w:val="nil"/>
              <w:right w:val="single" w:sz="4" w:space="0" w:color="000000"/>
            </w:tcBorders>
          </w:tcPr>
          <w:p>
            <w:pPr>
              <w:rPr>
                <w:sz w:val="2"/>
                <w:szCs w:val="2"/>
              </w:rPr>
            </w:pPr>
          </w:p>
        </w:tc>
        <w:tc>
          <w:tcPr>
            <w:tcW w:w="3120" w:type="dxa"/>
            <w:tcBorders>
              <w:top w:val="single" w:sz="4" w:space="0" w:color="000000"/>
              <w:left w:val="single" w:sz="4" w:space="0" w:color="000000"/>
              <w:bottom w:val="single" w:sz="4" w:space="0" w:color="000000"/>
              <w:right w:val="single" w:sz="4" w:space="0" w:color="000000"/>
            </w:tcBorders>
          </w:tcPr>
          <w:p>
            <w:pPr>
              <w:pStyle w:val="TableParagraph"/>
              <w:spacing w:before="29"/>
              <w:ind w:left="878" w:right="850"/>
              <w:rPr>
                <w:rFonts w:ascii="Times New Roman"/>
                <w:sz w:val="21"/>
              </w:rPr>
            </w:pPr>
            <w:r>
              <w:rPr>
                <w:rFonts w:ascii="Times New Roman"/>
                <w:sz w:val="21"/>
              </w:rPr>
              <w:t>100</w:t>
            </w:r>
          </w:p>
        </w:tc>
        <w:tc>
          <w:tcPr>
            <w:tcW w:w="2986" w:type="dxa"/>
            <w:tcBorders>
              <w:top w:val="single" w:sz="4" w:space="0" w:color="000000"/>
              <w:left w:val="single" w:sz="4" w:space="0" w:color="000000"/>
              <w:bottom w:val="single" w:sz="4" w:space="0" w:color="000000"/>
              <w:right w:val="nil"/>
            </w:tcBorders>
          </w:tcPr>
          <w:p>
            <w:pPr>
              <w:pStyle w:val="TableParagraph"/>
              <w:spacing w:before="29"/>
              <w:ind w:left="448" w:right="425"/>
              <w:rPr>
                <w:rFonts w:ascii="Times New Roman"/>
                <w:sz w:val="21"/>
              </w:rPr>
            </w:pPr>
            <w:r>
              <w:rPr>
                <w:rFonts w:ascii="Times New Roman"/>
                <w:sz w:val="21"/>
              </w:rPr>
              <w:t>0.73</w:t>
            </w:r>
          </w:p>
        </w:tc>
      </w:tr>
      <w:tr>
        <w:trPr>
          <w:trHeight w:val="291" w:hRule="atLeast"/>
        </w:trPr>
        <w:tc>
          <w:tcPr>
            <w:tcW w:w="2854" w:type="dxa"/>
            <w:vMerge/>
            <w:tcBorders>
              <w:top w:val="nil"/>
              <w:left w:val="nil"/>
              <w:right w:val="single" w:sz="4" w:space="0" w:color="000000"/>
            </w:tcBorders>
          </w:tcPr>
          <w:p>
            <w:pPr>
              <w:rPr>
                <w:sz w:val="2"/>
                <w:szCs w:val="2"/>
              </w:rPr>
            </w:pPr>
          </w:p>
        </w:tc>
        <w:tc>
          <w:tcPr>
            <w:tcW w:w="3120" w:type="dxa"/>
            <w:tcBorders>
              <w:top w:val="single" w:sz="4" w:space="0" w:color="000000"/>
              <w:left w:val="single" w:sz="4" w:space="0" w:color="000000"/>
              <w:bottom w:val="single" w:sz="4" w:space="0" w:color="000000"/>
              <w:right w:val="single" w:sz="4" w:space="0" w:color="000000"/>
            </w:tcBorders>
          </w:tcPr>
          <w:p>
            <w:pPr>
              <w:pStyle w:val="TableParagraph"/>
              <w:spacing w:before="26"/>
              <w:ind w:left="878" w:right="850"/>
              <w:rPr>
                <w:rFonts w:ascii="Times New Roman"/>
                <w:sz w:val="21"/>
              </w:rPr>
            </w:pPr>
            <w:r>
              <w:rPr>
                <w:rFonts w:ascii="Times New Roman"/>
                <w:sz w:val="21"/>
              </w:rPr>
              <w:t>500</w:t>
            </w:r>
          </w:p>
        </w:tc>
        <w:tc>
          <w:tcPr>
            <w:tcW w:w="2986" w:type="dxa"/>
            <w:tcBorders>
              <w:top w:val="single" w:sz="4" w:space="0" w:color="000000"/>
              <w:left w:val="single" w:sz="4" w:space="0" w:color="000000"/>
              <w:bottom w:val="single" w:sz="4" w:space="0" w:color="000000"/>
              <w:right w:val="nil"/>
            </w:tcBorders>
          </w:tcPr>
          <w:p>
            <w:pPr>
              <w:pStyle w:val="TableParagraph"/>
              <w:spacing w:before="26"/>
              <w:ind w:left="448" w:right="425"/>
              <w:rPr>
                <w:rFonts w:ascii="Times New Roman"/>
                <w:sz w:val="21"/>
              </w:rPr>
            </w:pPr>
            <w:r>
              <w:rPr>
                <w:rFonts w:ascii="Times New Roman"/>
                <w:sz w:val="21"/>
              </w:rPr>
              <w:t>3.64</w:t>
            </w:r>
          </w:p>
        </w:tc>
      </w:tr>
      <w:tr>
        <w:trPr>
          <w:trHeight w:val="301" w:hRule="atLeast"/>
        </w:trPr>
        <w:tc>
          <w:tcPr>
            <w:tcW w:w="2854" w:type="dxa"/>
            <w:vMerge/>
            <w:tcBorders>
              <w:top w:val="nil"/>
              <w:left w:val="nil"/>
              <w:right w:val="single" w:sz="4" w:space="0" w:color="000000"/>
            </w:tcBorders>
          </w:tcPr>
          <w:p>
            <w:pPr>
              <w:rPr>
                <w:sz w:val="2"/>
                <w:szCs w:val="2"/>
              </w:rPr>
            </w:pPr>
          </w:p>
        </w:tc>
        <w:tc>
          <w:tcPr>
            <w:tcW w:w="3120" w:type="dxa"/>
            <w:tcBorders>
              <w:top w:val="single" w:sz="4" w:space="0" w:color="000000"/>
              <w:left w:val="single" w:sz="4" w:space="0" w:color="000000"/>
              <w:right w:val="single" w:sz="4" w:space="0" w:color="000000"/>
            </w:tcBorders>
          </w:tcPr>
          <w:p>
            <w:pPr>
              <w:pStyle w:val="TableParagraph"/>
              <w:spacing w:before="26"/>
              <w:ind w:left="878" w:right="850"/>
              <w:rPr>
                <w:rFonts w:ascii="Times New Roman"/>
                <w:sz w:val="21"/>
              </w:rPr>
            </w:pPr>
            <w:r>
              <w:rPr>
                <w:rFonts w:ascii="Times New Roman"/>
                <w:sz w:val="21"/>
              </w:rPr>
              <w:t>700</w:t>
            </w:r>
          </w:p>
        </w:tc>
        <w:tc>
          <w:tcPr>
            <w:tcW w:w="2986" w:type="dxa"/>
            <w:tcBorders>
              <w:top w:val="single" w:sz="4" w:space="0" w:color="000000"/>
              <w:left w:val="single" w:sz="4" w:space="0" w:color="000000"/>
              <w:right w:val="nil"/>
            </w:tcBorders>
          </w:tcPr>
          <w:p>
            <w:pPr>
              <w:pStyle w:val="TableParagraph"/>
              <w:spacing w:before="26"/>
              <w:ind w:left="448" w:right="425"/>
              <w:rPr>
                <w:rFonts w:ascii="Times New Roman"/>
                <w:sz w:val="21"/>
              </w:rPr>
            </w:pPr>
            <w:r>
              <w:rPr>
                <w:rFonts w:ascii="Times New Roman"/>
                <w:sz w:val="21"/>
              </w:rPr>
              <w:t>5.09</w:t>
            </w:r>
          </w:p>
        </w:tc>
      </w:tr>
    </w:tbl>
    <w:p>
      <w:pPr>
        <w:pStyle w:val="ListParagraph"/>
        <w:numPr>
          <w:ilvl w:val="0"/>
          <w:numId w:val="21"/>
        </w:numPr>
        <w:tabs>
          <w:tab w:pos="1353" w:val="left" w:leader="none"/>
        </w:tabs>
        <w:spacing w:line="240" w:lineRule="auto" w:before="81" w:after="0"/>
        <w:ind w:left="1353" w:right="0" w:hanging="601"/>
        <w:jc w:val="left"/>
        <w:rPr>
          <w:sz w:val="24"/>
        </w:rPr>
      </w:pPr>
      <w:r>
        <w:rPr>
          <w:sz w:val="24"/>
        </w:rPr>
        <w:t>事故后果</w:t>
      </w:r>
    </w:p>
    <w:p>
      <w:pPr>
        <w:pStyle w:val="BodyText"/>
        <w:spacing w:line="364" w:lineRule="auto" w:before="161"/>
        <w:ind w:left="272" w:right="276" w:firstLine="480"/>
      </w:pPr>
      <w:r>
        <w:rPr>
          <w:spacing w:val="-7"/>
        </w:rPr>
        <w:t>在上述事故情景假设条件下，受 </w:t>
      </w:r>
      <w:r>
        <w:rPr>
          <w:rFonts w:ascii="Times New Roman" w:eastAsia="Times New Roman"/>
        </w:rPr>
        <w:t>X </w:t>
      </w:r>
      <w:r>
        <w:rPr>
          <w:spacing w:val="-4"/>
        </w:rPr>
        <w:t>射线源误照人员年剂量已超过约束值，属于一</w:t>
      </w:r>
      <w:r>
        <w:rPr/>
        <w:t>般辐射事故。</w:t>
      </w:r>
    </w:p>
    <w:p>
      <w:pPr>
        <w:pStyle w:val="BodyText"/>
        <w:spacing w:line="306" w:lineRule="exact"/>
        <w:ind w:left="754"/>
      </w:pPr>
      <w:r>
        <w:rPr>
          <w:w w:val="50"/>
        </w:rPr>
        <w:t> </w:t>
      </w:r>
    </w:p>
    <w:p>
      <w:pPr>
        <w:spacing w:after="0" w:line="306" w:lineRule="exact"/>
        <w:sectPr>
          <w:pgSz w:w="11910" w:h="16840"/>
          <w:pgMar w:header="0" w:footer="881" w:top="1220" w:bottom="1080" w:left="1480" w:right="1020"/>
        </w:sectPr>
      </w:pPr>
    </w:p>
    <w:p>
      <w:pPr>
        <w:pStyle w:val="BodyText"/>
        <w:spacing w:before="100"/>
        <w:ind w:left="754"/>
      </w:pPr>
      <w:r>
        <w:rPr/>
        <w:pict>
          <v:group style="position:absolute;margin-left:81.959999pt;margin-top:62.399937pt;width:454.2pt;height:706.7pt;mso-position-horizontal-relative:page;mso-position-vertical-relative:page;z-index:-211024" coordorigin="1639,1248" coordsize="9084,14134">
            <v:line style="position:absolute" from="1639,1253" to="10714,1253" stroked="true" strokeweight=".479999pt" strokecolor="#000000">
              <v:stroke dashstyle="solid"/>
            </v:line>
            <v:line style="position:absolute" from="1644,1258" to="1644,15382" stroked="true" strokeweight=".479999pt" strokecolor="#000000">
              <v:stroke dashstyle="solid"/>
            </v:line>
            <v:line style="position:absolute" from="1639,15377" to="10714,15377" stroked="true" strokeweight=".479919pt" strokecolor="#000000">
              <v:stroke dashstyle="solid"/>
            </v:line>
            <v:line style="position:absolute" from="10718,1248" to="10718,15382" stroked="true" strokeweight=".480011pt" strokecolor="#000000">
              <v:stroke dashstyle="solid"/>
            </v:line>
            <w10:wrap type="none"/>
          </v:group>
        </w:pict>
      </w:r>
      <w:r>
        <w:rPr/>
        <w:t>2、维修射线装置时，人员受意外照射</w:t>
      </w:r>
      <w:r>
        <w:rPr>
          <w:w w:val="50"/>
        </w:rPr>
        <w:t> </w:t>
      </w:r>
    </w:p>
    <w:p>
      <w:pPr>
        <w:pStyle w:val="ListParagraph"/>
        <w:numPr>
          <w:ilvl w:val="0"/>
          <w:numId w:val="22"/>
        </w:numPr>
        <w:tabs>
          <w:tab w:pos="1354" w:val="left" w:leader="none"/>
        </w:tabs>
        <w:spacing w:line="240" w:lineRule="auto" w:before="161" w:after="0"/>
        <w:ind w:left="1353" w:right="0" w:hanging="601"/>
        <w:jc w:val="left"/>
        <w:rPr>
          <w:sz w:val="24"/>
        </w:rPr>
      </w:pPr>
      <w:r>
        <w:rPr>
          <w:sz w:val="24"/>
        </w:rPr>
        <w:t>事故情景假设</w:t>
      </w:r>
    </w:p>
    <w:p>
      <w:pPr>
        <w:pStyle w:val="BodyText"/>
        <w:spacing w:before="160"/>
        <w:ind w:left="992"/>
      </w:pPr>
      <w:r>
        <w:rPr/>
        <w:t>设备维护人员在维护 </w:t>
      </w:r>
      <w:r>
        <w:rPr>
          <w:rFonts w:ascii="Times New Roman" w:eastAsia="Times New Roman"/>
        </w:rPr>
        <w:t>DSA </w:t>
      </w:r>
      <w:r>
        <w:rPr/>
        <w:t>射线管或测量探测器时，射线管正处于出束状态；</w:t>
      </w:r>
    </w:p>
    <w:p>
      <w:pPr>
        <w:pStyle w:val="BodyText"/>
        <w:spacing w:before="161"/>
        <w:ind w:left="992"/>
      </w:pPr>
      <w:r>
        <w:rPr>
          <w:rFonts w:ascii="Times New Roman" w:eastAsia="Times New Roman"/>
        </w:rPr>
        <w:t>DSA </w:t>
      </w:r>
      <w:r>
        <w:rPr/>
        <w:t>上的指示灯和声音装置均失效；</w:t>
      </w:r>
    </w:p>
    <w:p>
      <w:pPr>
        <w:pStyle w:val="ListParagraph"/>
        <w:numPr>
          <w:ilvl w:val="0"/>
          <w:numId w:val="22"/>
        </w:numPr>
        <w:tabs>
          <w:tab w:pos="1354" w:val="left" w:leader="none"/>
        </w:tabs>
        <w:spacing w:line="240" w:lineRule="auto" w:before="160" w:after="0"/>
        <w:ind w:left="1353" w:right="0" w:hanging="601"/>
        <w:jc w:val="left"/>
        <w:rPr>
          <w:sz w:val="24"/>
        </w:rPr>
      </w:pPr>
      <w:r>
        <w:rPr>
          <w:sz w:val="24"/>
        </w:rPr>
        <w:t>剂量估算</w:t>
      </w:r>
    </w:p>
    <w:p>
      <w:pPr>
        <w:pStyle w:val="BodyText"/>
        <w:spacing w:line="364" w:lineRule="auto" w:before="161"/>
        <w:ind w:left="272" w:right="276" w:firstLine="480"/>
      </w:pPr>
      <w:r>
        <w:rPr>
          <w:spacing w:val="-3"/>
        </w:rPr>
        <w:t>假设考虑该名维护人员在无其它屏蔽的情况下处于 </w:t>
      </w:r>
      <w:r>
        <w:rPr>
          <w:rFonts w:ascii="Times New Roman" w:eastAsia="Times New Roman"/>
        </w:rPr>
        <w:t>X </w:t>
      </w:r>
      <w:r>
        <w:rPr>
          <w:spacing w:val="-10"/>
        </w:rPr>
        <w:t>射线管主射束方向，假设维</w:t>
      </w:r>
      <w:r>
        <w:rPr/>
        <w:t>修时，</w:t>
      </w:r>
      <w:r>
        <w:rPr>
          <w:rFonts w:ascii="Times New Roman" w:eastAsia="Times New Roman"/>
        </w:rPr>
        <w:t>DSA </w:t>
      </w:r>
      <w:r>
        <w:rPr/>
        <w:t>以透视或拍片模式运行。</w:t>
      </w:r>
    </w:p>
    <w:p>
      <w:pPr>
        <w:pStyle w:val="BodyText"/>
        <w:spacing w:line="364" w:lineRule="auto" w:before="1"/>
        <w:ind w:left="272" w:right="225" w:firstLine="480"/>
        <w:rPr>
          <w:rFonts w:ascii="Times New Roman" w:hAnsi="Times New Roman" w:eastAsia="Times New Roman"/>
        </w:rPr>
      </w:pPr>
      <w:r>
        <w:rPr/>
        <w:t>本项目手术床旁及控制室内设置有“紧急停止”按钮，只要按下此按钮就可以停机，则事故情况下人员在机房内距 </w:t>
      </w:r>
      <w:r>
        <w:rPr>
          <w:rFonts w:ascii="Times New Roman" w:hAnsi="Times New Roman" w:eastAsia="Times New Roman"/>
        </w:rPr>
        <w:t>DSA </w:t>
      </w:r>
      <w:r>
        <w:rPr/>
        <w:t>不同距离处受到的辐射剂量估算详见表 </w:t>
      </w:r>
      <w:r>
        <w:rPr>
          <w:rFonts w:ascii="Times New Roman" w:hAnsi="Times New Roman" w:eastAsia="Times New Roman"/>
        </w:rPr>
        <w:t>11-</w:t>
      </w:r>
    </w:p>
    <w:p>
      <w:pPr>
        <w:pStyle w:val="BodyText"/>
        <w:spacing w:before="1"/>
        <w:ind w:left="272"/>
      </w:pPr>
      <w:r>
        <w:rPr>
          <w:rFonts w:ascii="Times New Roman" w:eastAsia="Times New Roman"/>
        </w:rPr>
        <w:t>11</w:t>
      </w:r>
      <w:r>
        <w:rPr/>
        <w:t>。</w:t>
      </w:r>
    </w:p>
    <w:p>
      <w:pPr>
        <w:spacing w:before="102" w:after="21"/>
        <w:ind w:left="2904" w:right="0" w:firstLine="0"/>
        <w:jc w:val="left"/>
        <w:rPr>
          <w:sz w:val="21"/>
        </w:rPr>
      </w:pPr>
      <w:r>
        <w:rPr>
          <w:spacing w:val="-27"/>
          <w:sz w:val="21"/>
        </w:rPr>
        <w:t>表 </w:t>
      </w:r>
      <w:r>
        <w:rPr>
          <w:rFonts w:ascii="Times New Roman" w:eastAsia="Times New Roman"/>
          <w:sz w:val="21"/>
        </w:rPr>
        <w:t>11-11 </w:t>
      </w:r>
      <w:r>
        <w:rPr>
          <w:spacing w:val="-4"/>
          <w:sz w:val="21"/>
        </w:rPr>
        <w:t>事故工况下检修人员所受剂量估算</w:t>
      </w:r>
    </w:p>
    <w:tbl>
      <w:tblPr>
        <w:tblW w:w="0" w:type="auto"/>
        <w:jc w:val="left"/>
        <w:tblInd w:w="2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04"/>
        <w:gridCol w:w="2455"/>
        <w:gridCol w:w="2045"/>
        <w:gridCol w:w="2455"/>
      </w:tblGrid>
      <w:tr>
        <w:trPr>
          <w:trHeight w:val="301" w:hRule="atLeast"/>
        </w:trPr>
        <w:tc>
          <w:tcPr>
            <w:tcW w:w="2004" w:type="dxa"/>
            <w:vMerge w:val="restart"/>
            <w:tcBorders>
              <w:left w:val="nil"/>
              <w:right w:val="single" w:sz="4" w:space="0" w:color="000000"/>
            </w:tcBorders>
          </w:tcPr>
          <w:p>
            <w:pPr>
              <w:pStyle w:val="TableParagraph"/>
              <w:spacing w:before="36"/>
              <w:ind w:left="283" w:right="249"/>
              <w:rPr>
                <w:sz w:val="21"/>
              </w:rPr>
            </w:pPr>
            <w:r>
              <w:rPr>
                <w:sz w:val="21"/>
              </w:rPr>
              <w:t>与射线装置</w:t>
            </w:r>
          </w:p>
          <w:p>
            <w:pPr>
              <w:pStyle w:val="TableParagraph"/>
              <w:spacing w:before="43"/>
              <w:ind w:left="285" w:right="249"/>
              <w:rPr>
                <w:sz w:val="21"/>
              </w:rPr>
            </w:pPr>
            <w:r>
              <w:rPr>
                <w:sz w:val="21"/>
              </w:rPr>
              <w:t>最近距离（</w:t>
            </w:r>
            <w:r>
              <w:rPr>
                <w:rFonts w:ascii="Times New Roman" w:eastAsia="Times New Roman"/>
                <w:sz w:val="21"/>
              </w:rPr>
              <w:t>m</w:t>
            </w:r>
            <w:r>
              <w:rPr>
                <w:sz w:val="21"/>
              </w:rPr>
              <w:t>）</w:t>
            </w:r>
          </w:p>
        </w:tc>
        <w:tc>
          <w:tcPr>
            <w:tcW w:w="2455" w:type="dxa"/>
            <w:vMerge w:val="restart"/>
            <w:tcBorders>
              <w:left w:val="single" w:sz="4" w:space="0" w:color="000000"/>
              <w:right w:val="single" w:sz="4" w:space="0" w:color="000000"/>
            </w:tcBorders>
          </w:tcPr>
          <w:p>
            <w:pPr>
              <w:pStyle w:val="TableParagraph"/>
              <w:spacing w:before="192"/>
              <w:ind w:left="563"/>
              <w:jc w:val="left"/>
              <w:rPr>
                <w:sz w:val="21"/>
              </w:rPr>
            </w:pPr>
            <w:r>
              <w:rPr>
                <w:sz w:val="21"/>
              </w:rPr>
              <w:t>受照时间（</w:t>
            </w:r>
            <w:r>
              <w:rPr>
                <w:rFonts w:ascii="Times New Roman" w:eastAsia="Times New Roman"/>
                <w:sz w:val="21"/>
              </w:rPr>
              <w:t>s</w:t>
            </w:r>
            <w:r>
              <w:rPr>
                <w:sz w:val="21"/>
              </w:rPr>
              <w:t>）</w:t>
            </w:r>
          </w:p>
        </w:tc>
        <w:tc>
          <w:tcPr>
            <w:tcW w:w="4500" w:type="dxa"/>
            <w:gridSpan w:val="2"/>
            <w:tcBorders>
              <w:left w:val="single" w:sz="4" w:space="0" w:color="000000"/>
              <w:bottom w:val="single" w:sz="4" w:space="0" w:color="000000"/>
              <w:right w:val="nil"/>
            </w:tcBorders>
          </w:tcPr>
          <w:p>
            <w:pPr>
              <w:pStyle w:val="TableParagraph"/>
              <w:spacing w:line="259" w:lineRule="exact" w:before="22"/>
              <w:ind w:left="1223"/>
              <w:jc w:val="left"/>
              <w:rPr>
                <w:sz w:val="21"/>
              </w:rPr>
            </w:pPr>
            <w:r>
              <w:rPr>
                <w:sz w:val="21"/>
              </w:rPr>
              <w:t>人员所受剂量（</w:t>
            </w:r>
            <w:r>
              <w:rPr>
                <w:rFonts w:ascii="Times New Roman" w:eastAsia="Times New Roman"/>
                <w:sz w:val="21"/>
              </w:rPr>
              <w:t>mSv</w:t>
            </w:r>
            <w:r>
              <w:rPr>
                <w:sz w:val="21"/>
              </w:rPr>
              <w:t>）</w:t>
            </w:r>
          </w:p>
        </w:tc>
      </w:tr>
      <w:tr>
        <w:trPr>
          <w:trHeight w:val="322" w:hRule="atLeast"/>
        </w:trPr>
        <w:tc>
          <w:tcPr>
            <w:tcW w:w="2004" w:type="dxa"/>
            <w:vMerge/>
            <w:tcBorders>
              <w:top w:val="nil"/>
              <w:left w:val="nil"/>
              <w:right w:val="single" w:sz="4" w:space="0" w:color="000000"/>
            </w:tcBorders>
          </w:tcPr>
          <w:p>
            <w:pPr>
              <w:rPr>
                <w:sz w:val="2"/>
                <w:szCs w:val="2"/>
              </w:rPr>
            </w:pPr>
          </w:p>
        </w:tc>
        <w:tc>
          <w:tcPr>
            <w:tcW w:w="2455" w:type="dxa"/>
            <w:vMerge/>
            <w:tcBorders>
              <w:top w:val="nil"/>
              <w:left w:val="single" w:sz="4" w:space="0" w:color="000000"/>
              <w:right w:val="single" w:sz="4" w:space="0" w:color="000000"/>
            </w:tcBorders>
          </w:tcPr>
          <w:p>
            <w:pPr>
              <w:rPr>
                <w:sz w:val="2"/>
                <w:szCs w:val="2"/>
              </w:rPr>
            </w:pPr>
          </w:p>
        </w:tc>
        <w:tc>
          <w:tcPr>
            <w:tcW w:w="2045" w:type="dxa"/>
            <w:tcBorders>
              <w:top w:val="single" w:sz="4" w:space="0" w:color="000000"/>
              <w:left w:val="single" w:sz="4" w:space="0" w:color="000000"/>
              <w:right w:val="single" w:sz="4" w:space="0" w:color="000000"/>
            </w:tcBorders>
          </w:tcPr>
          <w:p>
            <w:pPr>
              <w:pStyle w:val="TableParagraph"/>
              <w:spacing w:line="269" w:lineRule="exact" w:before="34"/>
              <w:ind w:left="382" w:right="353"/>
              <w:rPr>
                <w:sz w:val="21"/>
              </w:rPr>
            </w:pPr>
            <w:r>
              <w:rPr>
                <w:sz w:val="21"/>
              </w:rPr>
              <w:t>透视模式运行</w:t>
            </w:r>
          </w:p>
        </w:tc>
        <w:tc>
          <w:tcPr>
            <w:tcW w:w="2455" w:type="dxa"/>
            <w:tcBorders>
              <w:top w:val="single" w:sz="4" w:space="0" w:color="000000"/>
              <w:left w:val="single" w:sz="4" w:space="0" w:color="000000"/>
              <w:right w:val="nil"/>
            </w:tcBorders>
          </w:tcPr>
          <w:p>
            <w:pPr>
              <w:pStyle w:val="TableParagraph"/>
              <w:spacing w:line="269" w:lineRule="exact" w:before="34"/>
              <w:ind w:left="588" w:right="561"/>
              <w:rPr>
                <w:sz w:val="21"/>
              </w:rPr>
            </w:pPr>
            <w:r>
              <w:rPr>
                <w:sz w:val="21"/>
              </w:rPr>
              <w:t>拍片模式运行</w:t>
            </w:r>
          </w:p>
        </w:tc>
      </w:tr>
      <w:tr>
        <w:trPr>
          <w:trHeight w:val="311" w:hRule="atLeast"/>
        </w:trPr>
        <w:tc>
          <w:tcPr>
            <w:tcW w:w="2004" w:type="dxa"/>
            <w:vMerge w:val="restart"/>
            <w:tcBorders>
              <w:left w:val="nil"/>
              <w:bottom w:val="single" w:sz="4" w:space="0" w:color="000000"/>
              <w:right w:val="single" w:sz="4" w:space="0" w:color="000000"/>
            </w:tcBorders>
          </w:tcPr>
          <w:p>
            <w:pPr>
              <w:pStyle w:val="TableParagraph"/>
              <w:jc w:val="left"/>
              <w:rPr>
                <w:sz w:val="22"/>
              </w:rPr>
            </w:pPr>
          </w:p>
          <w:p>
            <w:pPr>
              <w:pStyle w:val="TableParagraph"/>
              <w:spacing w:before="6"/>
              <w:jc w:val="left"/>
              <w:rPr>
                <w:sz w:val="18"/>
              </w:rPr>
            </w:pPr>
          </w:p>
          <w:p>
            <w:pPr>
              <w:pStyle w:val="TableParagraph"/>
              <w:ind w:left="31"/>
              <w:rPr>
                <w:rFonts w:ascii="Times New Roman"/>
                <w:sz w:val="21"/>
              </w:rPr>
            </w:pPr>
            <w:r>
              <w:rPr>
                <w:rFonts w:ascii="Times New Roman"/>
                <w:w w:val="100"/>
                <w:sz w:val="21"/>
              </w:rPr>
              <w:t>1</w:t>
            </w:r>
          </w:p>
        </w:tc>
        <w:tc>
          <w:tcPr>
            <w:tcW w:w="2455" w:type="dxa"/>
            <w:tcBorders>
              <w:left w:val="single" w:sz="4" w:space="0" w:color="000000"/>
              <w:bottom w:val="single" w:sz="4" w:space="0" w:color="000000"/>
              <w:right w:val="single" w:sz="4" w:space="0" w:color="000000"/>
            </w:tcBorders>
          </w:tcPr>
          <w:p>
            <w:pPr>
              <w:pStyle w:val="TableParagraph"/>
              <w:spacing w:before="36"/>
              <w:ind w:left="1084" w:right="1058"/>
              <w:rPr>
                <w:rFonts w:ascii="Times New Roman"/>
                <w:sz w:val="21"/>
              </w:rPr>
            </w:pPr>
            <w:r>
              <w:rPr>
                <w:rFonts w:ascii="Times New Roman"/>
                <w:sz w:val="21"/>
              </w:rPr>
              <w:t>0.1</w:t>
            </w:r>
          </w:p>
        </w:tc>
        <w:tc>
          <w:tcPr>
            <w:tcW w:w="2045" w:type="dxa"/>
            <w:tcBorders>
              <w:left w:val="single" w:sz="4" w:space="0" w:color="000000"/>
              <w:bottom w:val="single" w:sz="4" w:space="0" w:color="000000"/>
              <w:right w:val="single" w:sz="4" w:space="0" w:color="000000"/>
            </w:tcBorders>
          </w:tcPr>
          <w:p>
            <w:pPr>
              <w:pStyle w:val="TableParagraph"/>
              <w:spacing w:before="36"/>
              <w:ind w:left="382" w:right="353"/>
              <w:rPr>
                <w:rFonts w:ascii="Times New Roman"/>
                <w:sz w:val="21"/>
              </w:rPr>
            </w:pPr>
            <w:r>
              <w:rPr>
                <w:rFonts w:ascii="Times New Roman"/>
                <w:sz w:val="21"/>
              </w:rPr>
              <w:t>0.7</w:t>
            </w:r>
          </w:p>
        </w:tc>
        <w:tc>
          <w:tcPr>
            <w:tcW w:w="2455" w:type="dxa"/>
            <w:tcBorders>
              <w:left w:val="single" w:sz="4" w:space="0" w:color="000000"/>
              <w:bottom w:val="single" w:sz="4" w:space="0" w:color="000000"/>
              <w:right w:val="nil"/>
            </w:tcBorders>
          </w:tcPr>
          <w:p>
            <w:pPr>
              <w:pStyle w:val="TableParagraph"/>
              <w:spacing w:before="36"/>
              <w:ind w:left="588" w:right="561"/>
              <w:rPr>
                <w:rFonts w:ascii="Times New Roman"/>
                <w:sz w:val="21"/>
              </w:rPr>
            </w:pPr>
            <w:r>
              <w:rPr>
                <w:rFonts w:ascii="Times New Roman"/>
                <w:sz w:val="21"/>
              </w:rPr>
              <w:t>1.2</w:t>
            </w:r>
          </w:p>
        </w:tc>
      </w:tr>
      <w:tr>
        <w:trPr>
          <w:trHeight w:val="311" w:hRule="atLeast"/>
        </w:trPr>
        <w:tc>
          <w:tcPr>
            <w:tcW w:w="2004" w:type="dxa"/>
            <w:vMerge/>
            <w:tcBorders>
              <w:top w:val="nil"/>
              <w:left w:val="nil"/>
              <w:bottom w:val="single" w:sz="4" w:space="0" w:color="000000"/>
              <w:right w:val="single" w:sz="4" w:space="0" w:color="000000"/>
            </w:tcBorders>
          </w:tcPr>
          <w:p>
            <w:pPr>
              <w:rPr>
                <w:sz w:val="2"/>
                <w:szCs w:val="2"/>
              </w:rPr>
            </w:pP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Pr>
                <w:rFonts w:ascii="Times New Roman"/>
                <w:sz w:val="21"/>
              </w:rPr>
            </w:pPr>
            <w:r>
              <w:rPr>
                <w:rFonts w:ascii="Times New Roman"/>
                <w:w w:val="100"/>
                <w:sz w:val="21"/>
              </w:rPr>
              <w:t>1</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36"/>
              <w:ind w:left="380" w:right="353"/>
              <w:rPr>
                <w:rFonts w:ascii="Times New Roman"/>
                <w:sz w:val="21"/>
              </w:rPr>
            </w:pPr>
            <w:r>
              <w:rPr>
                <w:rFonts w:ascii="Times New Roman"/>
                <w:sz w:val="21"/>
              </w:rPr>
              <w:t>7.3</w:t>
            </w:r>
          </w:p>
        </w:tc>
        <w:tc>
          <w:tcPr>
            <w:tcW w:w="2455" w:type="dxa"/>
            <w:tcBorders>
              <w:top w:val="single" w:sz="4" w:space="0" w:color="000000"/>
              <w:left w:val="single" w:sz="4" w:space="0" w:color="000000"/>
              <w:bottom w:val="single" w:sz="4" w:space="0" w:color="000000"/>
              <w:right w:val="nil"/>
            </w:tcBorders>
          </w:tcPr>
          <w:p>
            <w:pPr>
              <w:pStyle w:val="TableParagraph"/>
              <w:spacing w:before="36"/>
              <w:ind w:left="586" w:right="561"/>
              <w:rPr>
                <w:rFonts w:ascii="Times New Roman"/>
                <w:sz w:val="21"/>
              </w:rPr>
            </w:pPr>
            <w:r>
              <w:rPr>
                <w:rFonts w:ascii="Times New Roman"/>
                <w:sz w:val="21"/>
              </w:rPr>
              <w:t>11.6</w:t>
            </w:r>
          </w:p>
        </w:tc>
      </w:tr>
      <w:tr>
        <w:trPr>
          <w:trHeight w:val="314" w:hRule="atLeast"/>
        </w:trPr>
        <w:tc>
          <w:tcPr>
            <w:tcW w:w="2004" w:type="dxa"/>
            <w:vMerge/>
            <w:tcBorders>
              <w:top w:val="nil"/>
              <w:left w:val="nil"/>
              <w:bottom w:val="single" w:sz="4" w:space="0" w:color="000000"/>
              <w:right w:val="single" w:sz="4" w:space="0" w:color="000000"/>
            </w:tcBorders>
          </w:tcPr>
          <w:p>
            <w:pPr>
              <w:rPr>
                <w:sz w:val="2"/>
                <w:szCs w:val="2"/>
              </w:rPr>
            </w:pP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39"/>
              <w:ind w:left="26"/>
              <w:rPr>
                <w:rFonts w:ascii="Times New Roman"/>
                <w:sz w:val="21"/>
              </w:rPr>
            </w:pPr>
            <w:r>
              <w:rPr>
                <w:rFonts w:ascii="Times New Roman"/>
                <w:w w:val="100"/>
                <w:sz w:val="21"/>
              </w:rPr>
              <w:t>5</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39"/>
              <w:ind w:left="380" w:right="353"/>
              <w:rPr>
                <w:rFonts w:ascii="Times New Roman"/>
                <w:sz w:val="21"/>
              </w:rPr>
            </w:pPr>
            <w:r>
              <w:rPr>
                <w:rFonts w:ascii="Times New Roman"/>
                <w:sz w:val="21"/>
              </w:rPr>
              <w:t>36.4</w:t>
            </w:r>
          </w:p>
        </w:tc>
        <w:tc>
          <w:tcPr>
            <w:tcW w:w="2455" w:type="dxa"/>
            <w:tcBorders>
              <w:top w:val="single" w:sz="4" w:space="0" w:color="000000"/>
              <w:left w:val="single" w:sz="4" w:space="0" w:color="000000"/>
              <w:bottom w:val="single" w:sz="4" w:space="0" w:color="000000"/>
              <w:right w:val="nil"/>
            </w:tcBorders>
          </w:tcPr>
          <w:p>
            <w:pPr>
              <w:pStyle w:val="TableParagraph"/>
              <w:spacing w:before="39"/>
              <w:ind w:left="586" w:right="561"/>
              <w:rPr>
                <w:rFonts w:ascii="Times New Roman"/>
                <w:sz w:val="21"/>
              </w:rPr>
            </w:pPr>
            <w:r>
              <w:rPr>
                <w:rFonts w:ascii="Times New Roman"/>
                <w:sz w:val="21"/>
              </w:rPr>
              <w:t>58.2</w:t>
            </w:r>
          </w:p>
        </w:tc>
      </w:tr>
      <w:tr>
        <w:trPr>
          <w:trHeight w:val="311" w:hRule="atLeast"/>
        </w:trPr>
        <w:tc>
          <w:tcPr>
            <w:tcW w:w="2004" w:type="dxa"/>
            <w:vMerge/>
            <w:tcBorders>
              <w:top w:val="nil"/>
              <w:left w:val="nil"/>
              <w:bottom w:val="single" w:sz="4" w:space="0" w:color="000000"/>
              <w:right w:val="single" w:sz="4" w:space="0" w:color="000000"/>
            </w:tcBorders>
          </w:tcPr>
          <w:p>
            <w:pPr>
              <w:rPr>
                <w:sz w:val="2"/>
                <w:szCs w:val="2"/>
              </w:rPr>
            </w:pP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36"/>
              <w:ind w:left="1084" w:right="1058"/>
              <w:rPr>
                <w:rFonts w:ascii="Times New Roman"/>
                <w:sz w:val="21"/>
              </w:rPr>
            </w:pPr>
            <w:r>
              <w:rPr>
                <w:rFonts w:ascii="Times New Roman"/>
                <w:sz w:val="21"/>
              </w:rPr>
              <w:t>10</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36"/>
              <w:ind w:left="380" w:right="353"/>
              <w:rPr>
                <w:rFonts w:ascii="Times New Roman"/>
                <w:sz w:val="21"/>
              </w:rPr>
            </w:pPr>
            <w:r>
              <w:rPr>
                <w:rFonts w:ascii="Times New Roman"/>
                <w:sz w:val="21"/>
              </w:rPr>
              <w:t>72.8</w:t>
            </w:r>
          </w:p>
        </w:tc>
        <w:tc>
          <w:tcPr>
            <w:tcW w:w="2455" w:type="dxa"/>
            <w:tcBorders>
              <w:top w:val="single" w:sz="4" w:space="0" w:color="000000"/>
              <w:left w:val="single" w:sz="4" w:space="0" w:color="000000"/>
              <w:bottom w:val="single" w:sz="4" w:space="0" w:color="000000"/>
              <w:right w:val="nil"/>
            </w:tcBorders>
          </w:tcPr>
          <w:p>
            <w:pPr>
              <w:pStyle w:val="TableParagraph"/>
              <w:spacing w:before="36"/>
              <w:ind w:left="584" w:right="561"/>
              <w:rPr>
                <w:rFonts w:ascii="Times New Roman"/>
                <w:sz w:val="21"/>
              </w:rPr>
            </w:pPr>
            <w:r>
              <w:rPr>
                <w:rFonts w:ascii="Times New Roman"/>
                <w:sz w:val="21"/>
              </w:rPr>
              <w:t>116.4</w:t>
            </w:r>
          </w:p>
        </w:tc>
      </w:tr>
      <w:tr>
        <w:trPr>
          <w:trHeight w:val="311" w:hRule="atLeast"/>
        </w:trPr>
        <w:tc>
          <w:tcPr>
            <w:tcW w:w="2004" w:type="dxa"/>
            <w:vMerge w:val="restart"/>
            <w:tcBorders>
              <w:top w:val="single" w:sz="4" w:space="0" w:color="000000"/>
              <w:left w:val="nil"/>
              <w:bottom w:val="single" w:sz="4" w:space="0" w:color="000000"/>
              <w:right w:val="single" w:sz="4" w:space="0" w:color="000000"/>
            </w:tcBorders>
          </w:tcPr>
          <w:p>
            <w:pPr>
              <w:pStyle w:val="TableParagraph"/>
              <w:jc w:val="left"/>
              <w:rPr>
                <w:sz w:val="22"/>
              </w:rPr>
            </w:pPr>
          </w:p>
          <w:p>
            <w:pPr>
              <w:pStyle w:val="TableParagraph"/>
              <w:spacing w:before="6"/>
              <w:jc w:val="left"/>
              <w:rPr>
                <w:sz w:val="18"/>
              </w:rPr>
            </w:pPr>
          </w:p>
          <w:p>
            <w:pPr>
              <w:pStyle w:val="TableParagraph"/>
              <w:ind w:left="31"/>
              <w:rPr>
                <w:rFonts w:ascii="Times New Roman"/>
                <w:sz w:val="21"/>
              </w:rPr>
            </w:pPr>
            <w:r>
              <w:rPr>
                <w:rFonts w:ascii="Times New Roman"/>
                <w:w w:val="100"/>
                <w:sz w:val="21"/>
              </w:rPr>
              <w:t>2</w:t>
            </w: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36"/>
              <w:ind w:left="1084" w:right="1058"/>
              <w:rPr>
                <w:rFonts w:ascii="Times New Roman"/>
                <w:sz w:val="21"/>
              </w:rPr>
            </w:pPr>
            <w:r>
              <w:rPr>
                <w:rFonts w:ascii="Times New Roman"/>
                <w:sz w:val="21"/>
              </w:rPr>
              <w:t>0.1</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36"/>
              <w:ind w:left="382" w:right="353"/>
              <w:rPr>
                <w:rFonts w:ascii="Times New Roman"/>
                <w:sz w:val="21"/>
              </w:rPr>
            </w:pPr>
            <w:r>
              <w:rPr>
                <w:rFonts w:ascii="Times New Roman"/>
                <w:sz w:val="21"/>
              </w:rPr>
              <w:t>0.2</w:t>
            </w:r>
          </w:p>
        </w:tc>
        <w:tc>
          <w:tcPr>
            <w:tcW w:w="2455" w:type="dxa"/>
            <w:tcBorders>
              <w:top w:val="single" w:sz="4" w:space="0" w:color="000000"/>
              <w:left w:val="single" w:sz="4" w:space="0" w:color="000000"/>
              <w:bottom w:val="single" w:sz="4" w:space="0" w:color="000000"/>
              <w:right w:val="nil"/>
            </w:tcBorders>
          </w:tcPr>
          <w:p>
            <w:pPr>
              <w:pStyle w:val="TableParagraph"/>
              <w:spacing w:before="36"/>
              <w:ind w:left="588" w:right="561"/>
              <w:rPr>
                <w:rFonts w:ascii="Times New Roman"/>
                <w:sz w:val="21"/>
              </w:rPr>
            </w:pPr>
            <w:r>
              <w:rPr>
                <w:rFonts w:ascii="Times New Roman"/>
                <w:sz w:val="21"/>
              </w:rPr>
              <w:t>0.3</w:t>
            </w:r>
          </w:p>
        </w:tc>
      </w:tr>
      <w:tr>
        <w:trPr>
          <w:trHeight w:val="311" w:hRule="atLeast"/>
        </w:trPr>
        <w:tc>
          <w:tcPr>
            <w:tcW w:w="2004" w:type="dxa"/>
            <w:vMerge/>
            <w:tcBorders>
              <w:top w:val="nil"/>
              <w:left w:val="nil"/>
              <w:bottom w:val="single" w:sz="4" w:space="0" w:color="000000"/>
              <w:right w:val="single" w:sz="4" w:space="0" w:color="000000"/>
            </w:tcBorders>
          </w:tcPr>
          <w:p>
            <w:pPr>
              <w:rPr>
                <w:sz w:val="2"/>
                <w:szCs w:val="2"/>
              </w:rPr>
            </w:pP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Pr>
                <w:rFonts w:ascii="Times New Roman"/>
                <w:sz w:val="21"/>
              </w:rPr>
            </w:pPr>
            <w:r>
              <w:rPr>
                <w:rFonts w:ascii="Times New Roman"/>
                <w:w w:val="100"/>
                <w:sz w:val="21"/>
              </w:rPr>
              <w:t>1</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36"/>
              <w:ind w:left="380" w:right="353"/>
              <w:rPr>
                <w:rFonts w:ascii="Times New Roman"/>
                <w:sz w:val="21"/>
              </w:rPr>
            </w:pPr>
            <w:r>
              <w:rPr>
                <w:rFonts w:ascii="Times New Roman"/>
                <w:sz w:val="21"/>
              </w:rPr>
              <w:t>1.8</w:t>
            </w:r>
          </w:p>
        </w:tc>
        <w:tc>
          <w:tcPr>
            <w:tcW w:w="2455" w:type="dxa"/>
            <w:tcBorders>
              <w:top w:val="single" w:sz="4" w:space="0" w:color="000000"/>
              <w:left w:val="single" w:sz="4" w:space="0" w:color="000000"/>
              <w:bottom w:val="single" w:sz="4" w:space="0" w:color="000000"/>
              <w:right w:val="nil"/>
            </w:tcBorders>
          </w:tcPr>
          <w:p>
            <w:pPr>
              <w:pStyle w:val="TableParagraph"/>
              <w:spacing w:before="36"/>
              <w:ind w:left="586" w:right="561"/>
              <w:rPr>
                <w:rFonts w:ascii="Times New Roman"/>
                <w:sz w:val="21"/>
              </w:rPr>
            </w:pPr>
            <w:r>
              <w:rPr>
                <w:rFonts w:ascii="Times New Roman"/>
                <w:sz w:val="21"/>
              </w:rPr>
              <w:t>2.9</w:t>
            </w:r>
          </w:p>
        </w:tc>
      </w:tr>
      <w:tr>
        <w:trPr>
          <w:trHeight w:val="311" w:hRule="atLeast"/>
        </w:trPr>
        <w:tc>
          <w:tcPr>
            <w:tcW w:w="2004" w:type="dxa"/>
            <w:vMerge/>
            <w:tcBorders>
              <w:top w:val="nil"/>
              <w:left w:val="nil"/>
              <w:bottom w:val="single" w:sz="4" w:space="0" w:color="000000"/>
              <w:right w:val="single" w:sz="4" w:space="0" w:color="000000"/>
            </w:tcBorders>
          </w:tcPr>
          <w:p>
            <w:pPr>
              <w:rPr>
                <w:sz w:val="2"/>
                <w:szCs w:val="2"/>
              </w:rPr>
            </w:pP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Pr>
                <w:rFonts w:ascii="Times New Roman"/>
                <w:sz w:val="21"/>
              </w:rPr>
            </w:pPr>
            <w:r>
              <w:rPr>
                <w:rFonts w:ascii="Times New Roman"/>
                <w:w w:val="100"/>
                <w:sz w:val="21"/>
              </w:rPr>
              <w:t>5</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36"/>
              <w:ind w:left="380" w:right="353"/>
              <w:rPr>
                <w:rFonts w:ascii="Times New Roman"/>
                <w:sz w:val="21"/>
              </w:rPr>
            </w:pPr>
            <w:r>
              <w:rPr>
                <w:rFonts w:ascii="Times New Roman"/>
                <w:sz w:val="21"/>
              </w:rPr>
              <w:t>9.1</w:t>
            </w:r>
          </w:p>
        </w:tc>
        <w:tc>
          <w:tcPr>
            <w:tcW w:w="2455" w:type="dxa"/>
            <w:tcBorders>
              <w:top w:val="single" w:sz="4" w:space="0" w:color="000000"/>
              <w:left w:val="single" w:sz="4" w:space="0" w:color="000000"/>
              <w:bottom w:val="single" w:sz="4" w:space="0" w:color="000000"/>
              <w:right w:val="nil"/>
            </w:tcBorders>
          </w:tcPr>
          <w:p>
            <w:pPr>
              <w:pStyle w:val="TableParagraph"/>
              <w:spacing w:before="36"/>
              <w:ind w:left="586" w:right="561"/>
              <w:rPr>
                <w:rFonts w:ascii="Times New Roman"/>
                <w:sz w:val="21"/>
              </w:rPr>
            </w:pPr>
            <w:r>
              <w:rPr>
                <w:rFonts w:ascii="Times New Roman"/>
                <w:sz w:val="21"/>
              </w:rPr>
              <w:t>14.6</w:t>
            </w:r>
          </w:p>
        </w:tc>
      </w:tr>
      <w:tr>
        <w:trPr>
          <w:trHeight w:val="311" w:hRule="atLeast"/>
        </w:trPr>
        <w:tc>
          <w:tcPr>
            <w:tcW w:w="2004" w:type="dxa"/>
            <w:vMerge/>
            <w:tcBorders>
              <w:top w:val="nil"/>
              <w:left w:val="nil"/>
              <w:bottom w:val="single" w:sz="4" w:space="0" w:color="000000"/>
              <w:right w:val="single" w:sz="4" w:space="0" w:color="000000"/>
            </w:tcBorders>
          </w:tcPr>
          <w:p>
            <w:pPr>
              <w:rPr>
                <w:sz w:val="2"/>
                <w:szCs w:val="2"/>
              </w:rPr>
            </w:pP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36"/>
              <w:ind w:left="1084" w:right="1058"/>
              <w:rPr>
                <w:rFonts w:ascii="Times New Roman"/>
                <w:sz w:val="21"/>
              </w:rPr>
            </w:pPr>
            <w:r>
              <w:rPr>
                <w:rFonts w:ascii="Times New Roman"/>
                <w:sz w:val="21"/>
              </w:rPr>
              <w:t>10</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36"/>
              <w:ind w:left="380" w:right="353"/>
              <w:rPr>
                <w:rFonts w:ascii="Times New Roman"/>
                <w:sz w:val="21"/>
              </w:rPr>
            </w:pPr>
            <w:r>
              <w:rPr>
                <w:rFonts w:ascii="Times New Roman"/>
                <w:sz w:val="21"/>
              </w:rPr>
              <w:t>18.2</w:t>
            </w:r>
          </w:p>
        </w:tc>
        <w:tc>
          <w:tcPr>
            <w:tcW w:w="2455" w:type="dxa"/>
            <w:tcBorders>
              <w:top w:val="single" w:sz="4" w:space="0" w:color="000000"/>
              <w:left w:val="single" w:sz="4" w:space="0" w:color="000000"/>
              <w:bottom w:val="single" w:sz="4" w:space="0" w:color="000000"/>
              <w:right w:val="nil"/>
            </w:tcBorders>
          </w:tcPr>
          <w:p>
            <w:pPr>
              <w:pStyle w:val="TableParagraph"/>
              <w:spacing w:before="36"/>
              <w:ind w:left="586" w:right="561"/>
              <w:rPr>
                <w:rFonts w:ascii="Times New Roman"/>
                <w:sz w:val="21"/>
              </w:rPr>
            </w:pPr>
            <w:r>
              <w:rPr>
                <w:rFonts w:ascii="Times New Roman"/>
                <w:sz w:val="21"/>
              </w:rPr>
              <w:t>29.1</w:t>
            </w:r>
          </w:p>
        </w:tc>
      </w:tr>
      <w:tr>
        <w:trPr>
          <w:trHeight w:val="303" w:hRule="atLeast"/>
        </w:trPr>
        <w:tc>
          <w:tcPr>
            <w:tcW w:w="2004" w:type="dxa"/>
            <w:vMerge w:val="restart"/>
            <w:tcBorders>
              <w:top w:val="single" w:sz="4" w:space="0" w:color="000000"/>
              <w:left w:val="nil"/>
              <w:right w:val="single" w:sz="4" w:space="0" w:color="000000"/>
            </w:tcBorders>
          </w:tcPr>
          <w:p>
            <w:pPr>
              <w:pStyle w:val="TableParagraph"/>
              <w:jc w:val="left"/>
              <w:rPr>
                <w:sz w:val="22"/>
              </w:rPr>
            </w:pPr>
          </w:p>
          <w:p>
            <w:pPr>
              <w:pStyle w:val="TableParagraph"/>
              <w:spacing w:before="8"/>
              <w:jc w:val="left"/>
              <w:rPr>
                <w:sz w:val="18"/>
              </w:rPr>
            </w:pPr>
          </w:p>
          <w:p>
            <w:pPr>
              <w:pStyle w:val="TableParagraph"/>
              <w:spacing w:before="1"/>
              <w:ind w:left="31"/>
              <w:rPr>
                <w:rFonts w:ascii="Times New Roman"/>
                <w:sz w:val="21"/>
              </w:rPr>
            </w:pPr>
            <w:r>
              <w:rPr>
                <w:rFonts w:ascii="Times New Roman"/>
                <w:w w:val="100"/>
                <w:sz w:val="21"/>
              </w:rPr>
              <w:t>3</w:t>
            </w: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39"/>
              <w:ind w:left="1084" w:right="1058"/>
              <w:rPr>
                <w:rFonts w:ascii="Times New Roman"/>
                <w:sz w:val="21"/>
              </w:rPr>
            </w:pPr>
            <w:r>
              <w:rPr>
                <w:rFonts w:ascii="Times New Roman"/>
                <w:sz w:val="21"/>
              </w:rPr>
              <w:t>0.1</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39"/>
              <w:ind w:left="382" w:right="353"/>
              <w:rPr>
                <w:rFonts w:ascii="Times New Roman"/>
                <w:sz w:val="21"/>
              </w:rPr>
            </w:pPr>
            <w:r>
              <w:rPr>
                <w:rFonts w:ascii="Times New Roman"/>
                <w:sz w:val="21"/>
              </w:rPr>
              <w:t>0.1</w:t>
            </w:r>
          </w:p>
        </w:tc>
        <w:tc>
          <w:tcPr>
            <w:tcW w:w="2455" w:type="dxa"/>
            <w:tcBorders>
              <w:top w:val="single" w:sz="4" w:space="0" w:color="000000"/>
              <w:left w:val="single" w:sz="4" w:space="0" w:color="000000"/>
              <w:bottom w:val="single" w:sz="4" w:space="0" w:color="000000"/>
              <w:right w:val="nil"/>
            </w:tcBorders>
          </w:tcPr>
          <w:p>
            <w:pPr>
              <w:pStyle w:val="TableParagraph"/>
              <w:spacing w:before="39"/>
              <w:ind w:left="588" w:right="561"/>
              <w:rPr>
                <w:rFonts w:ascii="Times New Roman"/>
                <w:sz w:val="21"/>
              </w:rPr>
            </w:pPr>
            <w:r>
              <w:rPr>
                <w:rFonts w:ascii="Times New Roman"/>
                <w:sz w:val="21"/>
              </w:rPr>
              <w:t>0.1</w:t>
            </w:r>
          </w:p>
        </w:tc>
      </w:tr>
      <w:tr>
        <w:trPr>
          <w:trHeight w:val="291" w:hRule="atLeast"/>
        </w:trPr>
        <w:tc>
          <w:tcPr>
            <w:tcW w:w="2004" w:type="dxa"/>
            <w:vMerge/>
            <w:tcBorders>
              <w:top w:val="nil"/>
              <w:left w:val="nil"/>
              <w:right w:val="single" w:sz="4" w:space="0" w:color="000000"/>
            </w:tcBorders>
          </w:tcPr>
          <w:p>
            <w:pPr>
              <w:rPr>
                <w:sz w:val="2"/>
                <w:szCs w:val="2"/>
              </w:rPr>
            </w:pP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26"/>
              <w:ind w:left="26"/>
              <w:rPr>
                <w:rFonts w:ascii="Times New Roman"/>
                <w:sz w:val="21"/>
              </w:rPr>
            </w:pPr>
            <w:r>
              <w:rPr>
                <w:rFonts w:ascii="Times New Roman"/>
                <w:w w:val="100"/>
                <w:sz w:val="21"/>
              </w:rPr>
              <w:t>1</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26"/>
              <w:ind w:left="380" w:right="353"/>
              <w:rPr>
                <w:rFonts w:ascii="Times New Roman"/>
                <w:sz w:val="21"/>
              </w:rPr>
            </w:pPr>
            <w:r>
              <w:rPr>
                <w:rFonts w:ascii="Times New Roman"/>
                <w:sz w:val="21"/>
              </w:rPr>
              <w:t>0.8</w:t>
            </w:r>
          </w:p>
        </w:tc>
        <w:tc>
          <w:tcPr>
            <w:tcW w:w="2455" w:type="dxa"/>
            <w:tcBorders>
              <w:top w:val="single" w:sz="4" w:space="0" w:color="000000"/>
              <w:left w:val="single" w:sz="4" w:space="0" w:color="000000"/>
              <w:bottom w:val="single" w:sz="4" w:space="0" w:color="000000"/>
              <w:right w:val="nil"/>
            </w:tcBorders>
          </w:tcPr>
          <w:p>
            <w:pPr>
              <w:pStyle w:val="TableParagraph"/>
              <w:spacing w:before="26"/>
              <w:ind w:left="586" w:right="561"/>
              <w:rPr>
                <w:rFonts w:ascii="Times New Roman"/>
                <w:sz w:val="21"/>
              </w:rPr>
            </w:pPr>
            <w:r>
              <w:rPr>
                <w:rFonts w:ascii="Times New Roman"/>
                <w:sz w:val="21"/>
              </w:rPr>
              <w:t>1.3</w:t>
            </w:r>
          </w:p>
        </w:tc>
      </w:tr>
      <w:tr>
        <w:trPr>
          <w:trHeight w:val="291" w:hRule="atLeast"/>
        </w:trPr>
        <w:tc>
          <w:tcPr>
            <w:tcW w:w="2004" w:type="dxa"/>
            <w:vMerge/>
            <w:tcBorders>
              <w:top w:val="nil"/>
              <w:left w:val="nil"/>
              <w:right w:val="single" w:sz="4" w:space="0" w:color="000000"/>
            </w:tcBorders>
          </w:tcPr>
          <w:p>
            <w:pPr>
              <w:rPr>
                <w:sz w:val="2"/>
                <w:szCs w:val="2"/>
              </w:rPr>
            </w:pPr>
          </w:p>
        </w:tc>
        <w:tc>
          <w:tcPr>
            <w:tcW w:w="2455" w:type="dxa"/>
            <w:tcBorders>
              <w:top w:val="single" w:sz="4" w:space="0" w:color="000000"/>
              <w:left w:val="single" w:sz="4" w:space="0" w:color="000000"/>
              <w:bottom w:val="single" w:sz="4" w:space="0" w:color="000000"/>
              <w:right w:val="single" w:sz="4" w:space="0" w:color="000000"/>
            </w:tcBorders>
          </w:tcPr>
          <w:p>
            <w:pPr>
              <w:pStyle w:val="TableParagraph"/>
              <w:spacing w:before="26"/>
              <w:ind w:left="26"/>
              <w:rPr>
                <w:rFonts w:ascii="Times New Roman"/>
                <w:sz w:val="21"/>
              </w:rPr>
            </w:pPr>
            <w:r>
              <w:rPr>
                <w:rFonts w:ascii="Times New Roman"/>
                <w:w w:val="100"/>
                <w:sz w:val="21"/>
              </w:rPr>
              <w:t>5</w:t>
            </w:r>
          </w:p>
        </w:tc>
        <w:tc>
          <w:tcPr>
            <w:tcW w:w="2045" w:type="dxa"/>
            <w:tcBorders>
              <w:top w:val="single" w:sz="4" w:space="0" w:color="000000"/>
              <w:left w:val="single" w:sz="4" w:space="0" w:color="000000"/>
              <w:bottom w:val="single" w:sz="4" w:space="0" w:color="000000"/>
              <w:right w:val="single" w:sz="4" w:space="0" w:color="000000"/>
            </w:tcBorders>
          </w:tcPr>
          <w:p>
            <w:pPr>
              <w:pStyle w:val="TableParagraph"/>
              <w:spacing w:before="26"/>
              <w:ind w:left="380" w:right="353"/>
              <w:rPr>
                <w:rFonts w:ascii="Times New Roman"/>
                <w:sz w:val="21"/>
              </w:rPr>
            </w:pPr>
            <w:r>
              <w:rPr>
                <w:rFonts w:ascii="Times New Roman"/>
                <w:sz w:val="21"/>
              </w:rPr>
              <w:t>4.0</w:t>
            </w:r>
          </w:p>
        </w:tc>
        <w:tc>
          <w:tcPr>
            <w:tcW w:w="2455" w:type="dxa"/>
            <w:tcBorders>
              <w:top w:val="single" w:sz="4" w:space="0" w:color="000000"/>
              <w:left w:val="single" w:sz="4" w:space="0" w:color="000000"/>
              <w:bottom w:val="single" w:sz="4" w:space="0" w:color="000000"/>
              <w:right w:val="nil"/>
            </w:tcBorders>
          </w:tcPr>
          <w:p>
            <w:pPr>
              <w:pStyle w:val="TableParagraph"/>
              <w:spacing w:before="26"/>
              <w:ind w:left="586" w:right="561"/>
              <w:rPr>
                <w:rFonts w:ascii="Times New Roman"/>
                <w:sz w:val="21"/>
              </w:rPr>
            </w:pPr>
            <w:r>
              <w:rPr>
                <w:rFonts w:ascii="Times New Roman"/>
                <w:sz w:val="21"/>
              </w:rPr>
              <w:t>6.5</w:t>
            </w:r>
          </w:p>
        </w:tc>
      </w:tr>
      <w:tr>
        <w:trPr>
          <w:trHeight w:val="303" w:hRule="atLeast"/>
        </w:trPr>
        <w:tc>
          <w:tcPr>
            <w:tcW w:w="2004" w:type="dxa"/>
            <w:vMerge/>
            <w:tcBorders>
              <w:top w:val="nil"/>
              <w:left w:val="nil"/>
              <w:right w:val="single" w:sz="4" w:space="0" w:color="000000"/>
            </w:tcBorders>
          </w:tcPr>
          <w:p>
            <w:pPr>
              <w:rPr>
                <w:sz w:val="2"/>
                <w:szCs w:val="2"/>
              </w:rPr>
            </w:pPr>
          </w:p>
        </w:tc>
        <w:tc>
          <w:tcPr>
            <w:tcW w:w="2455" w:type="dxa"/>
            <w:tcBorders>
              <w:top w:val="single" w:sz="4" w:space="0" w:color="000000"/>
              <w:left w:val="single" w:sz="4" w:space="0" w:color="000000"/>
              <w:right w:val="single" w:sz="4" w:space="0" w:color="000000"/>
            </w:tcBorders>
          </w:tcPr>
          <w:p>
            <w:pPr>
              <w:pStyle w:val="TableParagraph"/>
              <w:spacing w:before="26"/>
              <w:ind w:left="1084" w:right="1058"/>
              <w:rPr>
                <w:rFonts w:ascii="Times New Roman"/>
                <w:sz w:val="21"/>
              </w:rPr>
            </w:pPr>
            <w:r>
              <w:rPr>
                <w:rFonts w:ascii="Times New Roman"/>
                <w:sz w:val="21"/>
              </w:rPr>
              <w:t>10</w:t>
            </w:r>
          </w:p>
        </w:tc>
        <w:tc>
          <w:tcPr>
            <w:tcW w:w="2045" w:type="dxa"/>
            <w:tcBorders>
              <w:top w:val="single" w:sz="4" w:space="0" w:color="000000"/>
              <w:left w:val="single" w:sz="4" w:space="0" w:color="000000"/>
              <w:right w:val="single" w:sz="4" w:space="0" w:color="000000"/>
            </w:tcBorders>
          </w:tcPr>
          <w:p>
            <w:pPr>
              <w:pStyle w:val="TableParagraph"/>
              <w:spacing w:before="26"/>
              <w:ind w:left="380" w:right="353"/>
              <w:rPr>
                <w:rFonts w:ascii="Times New Roman"/>
                <w:sz w:val="21"/>
              </w:rPr>
            </w:pPr>
            <w:r>
              <w:rPr>
                <w:rFonts w:ascii="Times New Roman"/>
                <w:sz w:val="21"/>
              </w:rPr>
              <w:t>8.1</w:t>
            </w:r>
          </w:p>
        </w:tc>
        <w:tc>
          <w:tcPr>
            <w:tcW w:w="2455" w:type="dxa"/>
            <w:tcBorders>
              <w:top w:val="single" w:sz="4" w:space="0" w:color="000000"/>
              <w:left w:val="single" w:sz="4" w:space="0" w:color="000000"/>
              <w:right w:val="nil"/>
            </w:tcBorders>
          </w:tcPr>
          <w:p>
            <w:pPr>
              <w:pStyle w:val="TableParagraph"/>
              <w:spacing w:before="26"/>
              <w:ind w:left="586" w:right="561"/>
              <w:rPr>
                <w:rFonts w:ascii="Times New Roman"/>
                <w:sz w:val="21"/>
              </w:rPr>
            </w:pPr>
            <w:r>
              <w:rPr>
                <w:rFonts w:ascii="Times New Roman"/>
                <w:sz w:val="21"/>
              </w:rPr>
              <w:t>12.9</w:t>
            </w:r>
          </w:p>
        </w:tc>
      </w:tr>
    </w:tbl>
    <w:p>
      <w:pPr>
        <w:pStyle w:val="ListParagraph"/>
        <w:numPr>
          <w:ilvl w:val="0"/>
          <w:numId w:val="22"/>
        </w:numPr>
        <w:tabs>
          <w:tab w:pos="1358" w:val="left" w:leader="none"/>
        </w:tabs>
        <w:spacing w:line="240" w:lineRule="auto" w:before="81" w:after="0"/>
        <w:ind w:left="1357" w:right="0" w:hanging="603"/>
        <w:jc w:val="left"/>
        <w:rPr>
          <w:sz w:val="24"/>
        </w:rPr>
      </w:pPr>
      <w:r>
        <w:rPr>
          <w:sz w:val="24"/>
        </w:rPr>
        <w:t>事故后果</w:t>
      </w:r>
      <w:r>
        <w:rPr>
          <w:w w:val="50"/>
          <w:sz w:val="24"/>
        </w:rPr>
        <w:t> </w:t>
      </w:r>
      <w:r>
        <w:rPr>
          <w:spacing w:val="-60"/>
          <w:sz w:val="24"/>
        </w:rPr>
        <w:t> </w:t>
      </w:r>
      <w:r>
        <w:rPr>
          <w:w w:val="50"/>
          <w:sz w:val="24"/>
        </w:rPr>
        <w:t> </w:t>
      </w:r>
    </w:p>
    <w:p>
      <w:pPr>
        <w:pStyle w:val="BodyText"/>
        <w:spacing w:line="364" w:lineRule="auto" w:before="161"/>
        <w:ind w:left="272" w:right="273" w:firstLine="480"/>
      </w:pPr>
      <w:r>
        <w:rPr/>
        <w:t>在上述事故情景假设条件下，受</w:t>
      </w:r>
      <w:r>
        <w:rPr>
          <w:rFonts w:ascii="Times New Roman" w:eastAsia="Times New Roman"/>
        </w:rPr>
        <w:t>X</w:t>
      </w:r>
      <w:r>
        <w:rPr/>
        <w:t>射线源误照人员年剂量已超过约束值，属于一般辐射事故。</w:t>
      </w:r>
      <w:r>
        <w:rPr>
          <w:w w:val="50"/>
        </w:rPr>
        <w:t> </w:t>
      </w:r>
    </w:p>
    <w:p>
      <w:pPr>
        <w:pStyle w:val="BodyText"/>
        <w:spacing w:before="1"/>
        <w:ind w:left="754"/>
      </w:pPr>
      <w:r>
        <w:rPr/>
        <w:t>4、事故工况辐射影响分析</w:t>
      </w:r>
      <w:r>
        <w:rPr>
          <w:w w:val="50"/>
        </w:rPr>
        <w:t> </w:t>
      </w:r>
    </w:p>
    <w:p>
      <w:pPr>
        <w:pStyle w:val="BodyText"/>
        <w:spacing w:line="364" w:lineRule="auto" w:before="160"/>
        <w:ind w:left="272" w:right="273" w:firstLine="480"/>
        <w:jc w:val="both"/>
      </w:pPr>
      <w:r>
        <w:rPr/>
        <w:t>根据</w:t>
      </w:r>
      <w:r>
        <w:rPr>
          <w:rFonts w:ascii="Times New Roman" w:hAnsi="Times New Roman" w:eastAsia="Times New Roman"/>
        </w:rPr>
        <w:t>X</w:t>
      </w:r>
      <w:r>
        <w:rPr>
          <w:spacing w:val="-6"/>
        </w:rPr>
        <w:t>射线机的工作原理可知，当设备关机时不会产生</w:t>
      </w:r>
      <w:r>
        <w:rPr>
          <w:rFonts w:ascii="Times New Roman" w:hAnsi="Times New Roman" w:eastAsia="Times New Roman"/>
        </w:rPr>
        <w:t>X</w:t>
      </w:r>
      <w:r>
        <w:rPr>
          <w:spacing w:val="-10"/>
        </w:rPr>
        <w:t>射线，不存在影响辐射环</w:t>
      </w:r>
      <w:r>
        <w:rPr/>
        <w:t>境质量的事故，只有当设备开机时才会产生</w:t>
      </w:r>
      <w:r>
        <w:rPr>
          <w:rFonts w:ascii="Times New Roman" w:hAnsi="Times New Roman" w:eastAsia="Times New Roman"/>
        </w:rPr>
        <w:t>X</w:t>
      </w:r>
      <w:r>
        <w:rPr/>
        <w:t>射线等危害因素。本项目数字减影血管造影机属于</w:t>
      </w:r>
      <w:r>
        <w:rPr>
          <w:rFonts w:ascii="Times New Roman" w:hAnsi="Times New Roman" w:eastAsia="Times New Roman"/>
        </w:rPr>
        <w:t>Ⅱ</w:t>
      </w:r>
      <w:r>
        <w:rPr>
          <w:spacing w:val="-5"/>
        </w:rPr>
        <w:t>类射线装置，其</w:t>
      </w:r>
      <w:r>
        <w:rPr>
          <w:rFonts w:ascii="Times New Roman" w:hAnsi="Times New Roman" w:eastAsia="Times New Roman"/>
        </w:rPr>
        <w:t>X</w:t>
      </w:r>
      <w:r>
        <w:rPr>
          <w:spacing w:val="-9"/>
        </w:rPr>
        <w:t>射线能量不大，曝光时间都比较短，事故情况下，人员</w:t>
      </w:r>
      <w:r>
        <w:rPr/>
        <w:t>误入或误照射情况下，可能导致人员受到超过年剂量限值的照射。</w:t>
      </w:r>
    </w:p>
    <w:p>
      <w:pPr>
        <w:pStyle w:val="BodyText"/>
        <w:spacing w:before="3"/>
        <w:ind w:left="752"/>
      </w:pPr>
      <w:r>
        <w:rPr>
          <w:spacing w:val="-1"/>
        </w:rPr>
        <w:t>上述事故其危害结果及其所引发的放射性事故等级见表</w:t>
      </w:r>
      <w:r>
        <w:rPr>
          <w:rFonts w:ascii="Times New Roman" w:eastAsia="Times New Roman"/>
        </w:rPr>
        <w:t>11-12</w:t>
      </w:r>
      <w:r>
        <w:rPr/>
        <w:t>。</w:t>
      </w:r>
    </w:p>
    <w:p>
      <w:pPr>
        <w:spacing w:after="0"/>
        <w:sectPr>
          <w:pgSz w:w="11910" w:h="16840"/>
          <w:pgMar w:header="0" w:footer="881" w:top="1220" w:bottom="116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42"/>
        <w:gridCol w:w="1138"/>
        <w:gridCol w:w="1282"/>
        <w:gridCol w:w="3699"/>
        <w:gridCol w:w="1316"/>
      </w:tblGrid>
      <w:tr>
        <w:trPr>
          <w:trHeight w:val="311" w:hRule="atLeast"/>
        </w:trPr>
        <w:tc>
          <w:tcPr>
            <w:tcW w:w="9077" w:type="dxa"/>
            <w:gridSpan w:val="5"/>
            <w:tcBorders>
              <w:bottom w:val="single" w:sz="12" w:space="0" w:color="000000"/>
            </w:tcBorders>
          </w:tcPr>
          <w:p>
            <w:pPr>
              <w:pStyle w:val="TableParagraph"/>
              <w:spacing w:line="269" w:lineRule="exact" w:before="22"/>
              <w:ind w:left="1828"/>
              <w:jc w:val="left"/>
              <w:rPr>
                <w:sz w:val="21"/>
              </w:rPr>
            </w:pPr>
            <w:r>
              <w:rPr>
                <w:sz w:val="21"/>
              </w:rPr>
              <w:t>表 </w:t>
            </w:r>
            <w:r>
              <w:rPr>
                <w:rFonts w:ascii="Times New Roman" w:eastAsia="Times New Roman"/>
                <w:sz w:val="21"/>
              </w:rPr>
              <w:t>11-12 </w:t>
            </w:r>
            <w:r>
              <w:rPr>
                <w:sz w:val="21"/>
              </w:rPr>
              <w:t>项目环境风险因子、危险因素、危害结果及事故分级表</w:t>
            </w:r>
          </w:p>
        </w:tc>
      </w:tr>
      <w:tr>
        <w:trPr>
          <w:trHeight w:val="622" w:hRule="atLeast"/>
        </w:trPr>
        <w:tc>
          <w:tcPr>
            <w:tcW w:w="1642" w:type="dxa"/>
            <w:tcBorders>
              <w:top w:val="single" w:sz="12" w:space="0" w:color="000000"/>
              <w:bottom w:val="single" w:sz="12" w:space="0" w:color="000000"/>
            </w:tcBorders>
          </w:tcPr>
          <w:p>
            <w:pPr>
              <w:pStyle w:val="TableParagraph"/>
              <w:spacing w:before="178"/>
              <w:ind w:left="199" w:right="132"/>
              <w:rPr>
                <w:sz w:val="21"/>
              </w:rPr>
            </w:pPr>
            <w:r>
              <w:rPr>
                <w:sz w:val="21"/>
              </w:rPr>
              <w:t>项目装置名称</w:t>
            </w:r>
          </w:p>
        </w:tc>
        <w:tc>
          <w:tcPr>
            <w:tcW w:w="1138" w:type="dxa"/>
            <w:tcBorders>
              <w:top w:val="single" w:sz="12" w:space="0" w:color="000000"/>
              <w:bottom w:val="single" w:sz="12" w:space="0" w:color="000000"/>
            </w:tcBorders>
          </w:tcPr>
          <w:p>
            <w:pPr>
              <w:pStyle w:val="TableParagraph"/>
              <w:spacing w:before="22"/>
              <w:ind w:left="145"/>
              <w:jc w:val="left"/>
              <w:rPr>
                <w:sz w:val="21"/>
              </w:rPr>
            </w:pPr>
            <w:r>
              <w:rPr>
                <w:spacing w:val="-1"/>
                <w:sz w:val="21"/>
              </w:rPr>
              <w:t>主要环境</w:t>
            </w:r>
          </w:p>
          <w:p>
            <w:pPr>
              <w:pStyle w:val="TableParagraph"/>
              <w:spacing w:line="269" w:lineRule="exact" w:before="43"/>
              <w:ind w:left="145"/>
              <w:jc w:val="left"/>
              <w:rPr>
                <w:sz w:val="21"/>
              </w:rPr>
            </w:pPr>
            <w:r>
              <w:rPr>
                <w:spacing w:val="-1"/>
                <w:sz w:val="21"/>
              </w:rPr>
              <w:t>风险因子</w:t>
            </w:r>
          </w:p>
        </w:tc>
        <w:tc>
          <w:tcPr>
            <w:tcW w:w="1282" w:type="dxa"/>
            <w:tcBorders>
              <w:top w:val="single" w:sz="12" w:space="0" w:color="000000"/>
              <w:bottom w:val="single" w:sz="12" w:space="0" w:color="000000"/>
            </w:tcBorders>
          </w:tcPr>
          <w:p>
            <w:pPr>
              <w:pStyle w:val="TableParagraph"/>
              <w:spacing w:before="178"/>
              <w:ind w:left="96" w:right="86"/>
              <w:rPr>
                <w:sz w:val="21"/>
              </w:rPr>
            </w:pPr>
            <w:r>
              <w:rPr>
                <w:sz w:val="21"/>
              </w:rPr>
              <w:t>危险因素</w:t>
            </w:r>
          </w:p>
        </w:tc>
        <w:tc>
          <w:tcPr>
            <w:tcW w:w="3699" w:type="dxa"/>
            <w:tcBorders>
              <w:top w:val="single" w:sz="12" w:space="0" w:color="000000"/>
              <w:bottom w:val="single" w:sz="12" w:space="0" w:color="000000"/>
            </w:tcBorders>
          </w:tcPr>
          <w:p>
            <w:pPr>
              <w:pStyle w:val="TableParagraph"/>
              <w:spacing w:before="178"/>
              <w:ind w:left="146" w:right="140"/>
              <w:rPr>
                <w:sz w:val="21"/>
              </w:rPr>
            </w:pPr>
            <w:r>
              <w:rPr>
                <w:sz w:val="21"/>
              </w:rPr>
              <w:t>危害结果</w:t>
            </w:r>
          </w:p>
        </w:tc>
        <w:tc>
          <w:tcPr>
            <w:tcW w:w="1316" w:type="dxa"/>
            <w:tcBorders>
              <w:top w:val="single" w:sz="12" w:space="0" w:color="000000"/>
              <w:bottom w:val="single" w:sz="12" w:space="0" w:color="000000"/>
            </w:tcBorders>
          </w:tcPr>
          <w:p>
            <w:pPr>
              <w:pStyle w:val="TableParagraph"/>
              <w:spacing w:before="178"/>
              <w:ind w:left="206"/>
              <w:jc w:val="left"/>
              <w:rPr>
                <w:sz w:val="21"/>
              </w:rPr>
            </w:pPr>
            <w:r>
              <w:rPr>
                <w:sz w:val="21"/>
              </w:rPr>
              <w:t>事故等级</w:t>
            </w:r>
          </w:p>
        </w:tc>
      </w:tr>
      <w:tr>
        <w:trPr>
          <w:trHeight w:val="625" w:hRule="atLeast"/>
        </w:trPr>
        <w:tc>
          <w:tcPr>
            <w:tcW w:w="1642" w:type="dxa"/>
            <w:tcBorders>
              <w:top w:val="single" w:sz="12" w:space="0" w:color="000000"/>
              <w:bottom w:val="single" w:sz="12" w:space="0" w:color="000000"/>
            </w:tcBorders>
          </w:tcPr>
          <w:p>
            <w:pPr>
              <w:pStyle w:val="TableParagraph"/>
              <w:spacing w:before="194"/>
              <w:ind w:left="199" w:right="125"/>
              <w:rPr>
                <w:rFonts w:ascii="Times New Roman"/>
                <w:sz w:val="21"/>
              </w:rPr>
            </w:pPr>
            <w:r>
              <w:rPr>
                <w:rFonts w:ascii="Times New Roman"/>
                <w:sz w:val="21"/>
              </w:rPr>
              <w:t>DSA</w:t>
            </w:r>
          </w:p>
        </w:tc>
        <w:tc>
          <w:tcPr>
            <w:tcW w:w="1138" w:type="dxa"/>
            <w:tcBorders>
              <w:top w:val="single" w:sz="12" w:space="0" w:color="000000"/>
              <w:bottom w:val="single" w:sz="12" w:space="0" w:color="000000"/>
            </w:tcBorders>
          </w:tcPr>
          <w:p>
            <w:pPr>
              <w:pStyle w:val="TableParagraph"/>
              <w:spacing w:before="180"/>
              <w:ind w:left="253"/>
              <w:jc w:val="left"/>
              <w:rPr>
                <w:sz w:val="21"/>
              </w:rPr>
            </w:pPr>
            <w:r>
              <w:rPr>
                <w:rFonts w:ascii="Times New Roman" w:hAnsi="Times New Roman" w:eastAsia="Times New Roman"/>
                <w:sz w:val="21"/>
              </w:rPr>
              <w:t>Х </w:t>
            </w:r>
            <w:r>
              <w:rPr>
                <w:sz w:val="21"/>
              </w:rPr>
              <w:t>射线</w:t>
            </w:r>
          </w:p>
        </w:tc>
        <w:tc>
          <w:tcPr>
            <w:tcW w:w="1282" w:type="dxa"/>
            <w:tcBorders>
              <w:top w:val="single" w:sz="12" w:space="0" w:color="000000"/>
              <w:bottom w:val="single" w:sz="12" w:space="0" w:color="000000"/>
            </w:tcBorders>
          </w:tcPr>
          <w:p>
            <w:pPr>
              <w:pStyle w:val="TableParagraph"/>
              <w:spacing w:before="180"/>
              <w:ind w:left="96" w:right="86"/>
              <w:rPr>
                <w:sz w:val="21"/>
              </w:rPr>
            </w:pPr>
            <w:r>
              <w:rPr>
                <w:sz w:val="21"/>
              </w:rPr>
              <w:t>超剂量照射</w:t>
            </w:r>
          </w:p>
        </w:tc>
        <w:tc>
          <w:tcPr>
            <w:tcW w:w="3699" w:type="dxa"/>
            <w:tcBorders>
              <w:top w:val="single" w:sz="12" w:space="0" w:color="000000"/>
              <w:bottom w:val="single" w:sz="12" w:space="0" w:color="000000"/>
            </w:tcBorders>
          </w:tcPr>
          <w:p>
            <w:pPr>
              <w:pStyle w:val="TableParagraph"/>
              <w:spacing w:before="24"/>
              <w:ind w:left="146" w:right="143"/>
              <w:rPr>
                <w:sz w:val="21"/>
              </w:rPr>
            </w:pPr>
            <w:r>
              <w:rPr>
                <w:sz w:val="21"/>
              </w:rPr>
              <w:t>射线装置失控导致人员受到超过年剂</w:t>
            </w:r>
          </w:p>
          <w:p>
            <w:pPr>
              <w:pStyle w:val="TableParagraph"/>
              <w:spacing w:line="269" w:lineRule="exact" w:before="43"/>
              <w:ind w:left="146" w:right="142"/>
              <w:rPr>
                <w:sz w:val="21"/>
              </w:rPr>
            </w:pPr>
            <w:r>
              <w:rPr>
                <w:sz w:val="21"/>
              </w:rPr>
              <w:t>量限值的照射</w:t>
            </w:r>
          </w:p>
        </w:tc>
        <w:tc>
          <w:tcPr>
            <w:tcW w:w="1316" w:type="dxa"/>
            <w:tcBorders>
              <w:top w:val="single" w:sz="12" w:space="0" w:color="000000"/>
              <w:bottom w:val="single" w:sz="12" w:space="0" w:color="000000"/>
            </w:tcBorders>
          </w:tcPr>
          <w:p>
            <w:pPr>
              <w:pStyle w:val="TableParagraph"/>
              <w:spacing w:before="24"/>
              <w:ind w:left="189" w:right="236"/>
              <w:rPr>
                <w:sz w:val="21"/>
              </w:rPr>
            </w:pPr>
            <w:r>
              <w:rPr>
                <w:sz w:val="21"/>
              </w:rPr>
              <w:t>一般辐射</w:t>
            </w:r>
          </w:p>
          <w:p>
            <w:pPr>
              <w:pStyle w:val="TableParagraph"/>
              <w:spacing w:line="269" w:lineRule="exact" w:before="43"/>
              <w:ind w:left="186" w:right="236"/>
              <w:rPr>
                <w:sz w:val="21"/>
              </w:rPr>
            </w:pPr>
            <w:r>
              <w:rPr>
                <w:sz w:val="21"/>
              </w:rPr>
              <w:t>事故</w:t>
            </w:r>
          </w:p>
        </w:tc>
      </w:tr>
      <w:tr>
        <w:trPr>
          <w:trHeight w:val="12635" w:hRule="atLeast"/>
        </w:trPr>
        <w:tc>
          <w:tcPr>
            <w:tcW w:w="9077" w:type="dxa"/>
            <w:gridSpan w:val="5"/>
            <w:tcBorders>
              <w:top w:val="single" w:sz="12" w:space="0" w:color="000000"/>
            </w:tcBorders>
          </w:tcPr>
          <w:p>
            <w:pPr>
              <w:pStyle w:val="TableParagraph"/>
              <w:spacing w:line="364" w:lineRule="auto" w:before="81"/>
              <w:ind w:left="578" w:right="2477" w:firstLine="9"/>
              <w:jc w:val="left"/>
              <w:rPr>
                <w:sz w:val="24"/>
              </w:rPr>
            </w:pPr>
            <w:r>
              <w:rPr>
                <w:sz w:val="24"/>
              </w:rPr>
              <w:t>根据分析，本项目</w:t>
            </w:r>
            <w:r>
              <w:rPr>
                <w:rFonts w:ascii="Times New Roman" w:eastAsia="Times New Roman"/>
                <w:sz w:val="24"/>
              </w:rPr>
              <w:t>DSA</w:t>
            </w:r>
            <w:r>
              <w:rPr>
                <w:sz w:val="24"/>
              </w:rPr>
              <w:t>可能发生的事故为一般辐射事故。三、事故防范措施</w:t>
            </w:r>
            <w:r>
              <w:rPr>
                <w:w w:val="50"/>
                <w:sz w:val="24"/>
              </w:rPr>
              <w:t> </w:t>
            </w:r>
          </w:p>
          <w:p>
            <w:pPr>
              <w:pStyle w:val="TableParagraph"/>
              <w:spacing w:before="1"/>
              <w:ind w:left="587"/>
              <w:jc w:val="left"/>
              <w:rPr>
                <w:sz w:val="24"/>
              </w:rPr>
            </w:pPr>
            <w:r>
              <w:rPr>
                <w:sz w:val="24"/>
              </w:rPr>
              <w:t>为了防止事故的发生，要求医院应严格执行以下风险预防措施：</w:t>
            </w:r>
          </w:p>
          <w:p>
            <w:pPr>
              <w:pStyle w:val="TableParagraph"/>
              <w:spacing w:line="364" w:lineRule="auto" w:before="160"/>
              <w:ind w:left="107" w:right="-29" w:firstLine="720"/>
              <w:jc w:val="left"/>
              <w:rPr>
                <w:sz w:val="24"/>
              </w:rPr>
            </w:pPr>
            <w:r>
              <w:rPr>
                <w:sz w:val="24"/>
              </w:rPr>
              <w:t>制定</w:t>
            </w:r>
            <w:r>
              <w:rPr>
                <w:rFonts w:ascii="Times New Roman" w:hAnsi="Times New Roman" w:eastAsia="Times New Roman"/>
                <w:sz w:val="24"/>
              </w:rPr>
              <w:t>DSA</w:t>
            </w:r>
            <w:r>
              <w:rPr>
                <w:spacing w:val="-10"/>
                <w:sz w:val="24"/>
              </w:rPr>
              <w:t>操作规程和安全规章制度，并严格落实操作规程等制度的“制度上墙” </w:t>
            </w:r>
            <w:r>
              <w:rPr>
                <w:spacing w:val="-8"/>
                <w:sz w:val="24"/>
              </w:rPr>
              <w:t>要求</w:t>
            </w:r>
            <w:r>
              <w:rPr>
                <w:sz w:val="24"/>
              </w:rPr>
              <w:t>（即将操作规程张贴在操作人员可看到的显眼位置</w:t>
            </w:r>
            <w:r>
              <w:rPr>
                <w:spacing w:val="-5"/>
                <w:sz w:val="24"/>
              </w:rPr>
              <w:t>）</w:t>
            </w:r>
            <w:r>
              <w:rPr>
                <w:spacing w:val="-4"/>
                <w:sz w:val="24"/>
              </w:rPr>
              <w:t>。在放射诊断操作时，至少有</w:t>
            </w:r>
            <w:r>
              <w:rPr>
                <w:rFonts w:ascii="Times New Roman" w:hAnsi="Times New Roman" w:eastAsia="Times New Roman"/>
                <w:spacing w:val="-4"/>
                <w:sz w:val="24"/>
              </w:rPr>
              <w:t>2</w:t>
            </w:r>
            <w:r>
              <w:rPr>
                <w:spacing w:val="-4"/>
                <w:sz w:val="24"/>
              </w:rPr>
              <w:t>名操作人员同时在场，操作人员须按照操作规程进行操作，并做好个人的防护。</w:t>
            </w:r>
          </w:p>
          <w:p>
            <w:pPr>
              <w:pStyle w:val="TableParagraph"/>
              <w:spacing w:line="364" w:lineRule="auto" w:before="2"/>
              <w:ind w:left="107" w:right="98" w:firstLine="720"/>
              <w:jc w:val="both"/>
              <w:rPr>
                <w:sz w:val="24"/>
              </w:rPr>
            </w:pPr>
            <w:r>
              <w:rPr>
                <w:sz w:val="24"/>
              </w:rPr>
              <w:t>不得擅自改变</w:t>
            </w:r>
            <w:r>
              <w:rPr>
                <w:rFonts w:ascii="Times New Roman" w:eastAsia="Times New Roman"/>
                <w:sz w:val="24"/>
              </w:rPr>
              <w:t>DSA</w:t>
            </w:r>
            <w:r>
              <w:rPr>
                <w:spacing w:val="-4"/>
                <w:sz w:val="24"/>
              </w:rPr>
              <w:t>的屏蔽结构；每月检查门机连锁装置，确保安全联锁装置正</w:t>
            </w:r>
            <w:r>
              <w:rPr>
                <w:spacing w:val="-2"/>
                <w:sz w:val="24"/>
              </w:rPr>
              <w:t>常运行；每月对</w:t>
            </w:r>
            <w:r>
              <w:rPr>
                <w:rFonts w:ascii="Times New Roman" w:eastAsia="Times New Roman"/>
                <w:sz w:val="24"/>
              </w:rPr>
              <w:t>DSA</w:t>
            </w:r>
            <w:r>
              <w:rPr>
                <w:spacing w:val="-3"/>
                <w:sz w:val="24"/>
              </w:rPr>
              <w:t>的安全装置进行维护、保养，对可能引起操作失灵的关键零配件</w:t>
            </w:r>
            <w:r>
              <w:rPr>
                <w:sz w:val="24"/>
              </w:rPr>
              <w:t>需及时更换。</w:t>
            </w:r>
          </w:p>
          <w:p>
            <w:pPr>
              <w:pStyle w:val="TableParagraph"/>
              <w:spacing w:line="364" w:lineRule="auto" w:before="2"/>
              <w:ind w:left="107" w:right="49" w:firstLine="720"/>
              <w:jc w:val="left"/>
              <w:rPr>
                <w:sz w:val="24"/>
              </w:rPr>
            </w:pPr>
            <w:r>
              <w:rPr>
                <w:sz w:val="24"/>
              </w:rPr>
              <w:t>定期对</w:t>
            </w:r>
            <w:r>
              <w:rPr>
                <w:rFonts w:ascii="Times New Roman" w:eastAsia="Times New Roman"/>
                <w:sz w:val="24"/>
              </w:rPr>
              <w:t>DSA</w:t>
            </w:r>
            <w:r>
              <w:rPr>
                <w:sz w:val="24"/>
              </w:rPr>
              <w:t>采取的安全防护措施、设施的安全防护效果进行检测或检查，核实各项管理制度的执行情况，对发现的安全隐患立即进行整改，避免事故的发生。</w:t>
            </w:r>
          </w:p>
          <w:p>
            <w:pPr>
              <w:pStyle w:val="TableParagraph"/>
              <w:spacing w:line="364" w:lineRule="auto" w:before="1"/>
              <w:ind w:left="107" w:right="76" w:firstLine="720"/>
              <w:jc w:val="left"/>
              <w:rPr>
                <w:sz w:val="24"/>
              </w:rPr>
            </w:pPr>
            <w:r>
              <w:rPr>
                <w:sz w:val="24"/>
              </w:rPr>
              <w:t>加强控制区和监督区管理，在射线装置运行期间，加强对监督区公众的管理， 限制公众在监督区长期滞留。</w:t>
            </w:r>
          </w:p>
          <w:p>
            <w:pPr>
              <w:pStyle w:val="TableParagraph"/>
              <w:spacing w:line="364" w:lineRule="auto" w:before="1"/>
              <w:ind w:left="107" w:right="62" w:firstLine="720"/>
              <w:jc w:val="left"/>
              <w:rPr>
                <w:sz w:val="24"/>
              </w:rPr>
            </w:pPr>
            <w:r>
              <w:rPr>
                <w:sz w:val="24"/>
              </w:rPr>
              <w:t>制定事故应急预案、完善组织、落实经费、准备物资、加强演练、时刻准备应对可能发生的各种事故和突发事件。</w:t>
            </w:r>
          </w:p>
          <w:p>
            <w:pPr>
              <w:pStyle w:val="TableParagraph"/>
              <w:spacing w:line="364" w:lineRule="auto" w:before="2"/>
              <w:ind w:left="107" w:right="50" w:firstLine="480"/>
              <w:jc w:val="left"/>
              <w:rPr>
                <w:sz w:val="24"/>
              </w:rPr>
            </w:pPr>
            <w:r>
              <w:rPr>
                <w:sz w:val="24"/>
              </w:rPr>
              <w:t>以上各种事故的防范与对策措施，可减少或避免放射性事故的发生率，从而保证项目正常运营，也保障工作人员、公众的健康与安全。</w:t>
            </w:r>
          </w:p>
          <w:p>
            <w:pPr>
              <w:pStyle w:val="TableParagraph"/>
              <w:spacing w:before="1"/>
              <w:ind w:left="590"/>
              <w:jc w:val="left"/>
              <w:rPr>
                <w:sz w:val="24"/>
              </w:rPr>
            </w:pPr>
            <w:r>
              <w:rPr>
                <w:sz w:val="24"/>
              </w:rPr>
              <w:t>四、应急措施</w:t>
            </w:r>
            <w:r>
              <w:rPr>
                <w:w w:val="50"/>
                <w:sz w:val="24"/>
              </w:rPr>
              <w:t> </w:t>
            </w:r>
          </w:p>
          <w:p>
            <w:pPr>
              <w:pStyle w:val="TableParagraph"/>
              <w:spacing w:before="160"/>
              <w:ind w:left="587"/>
              <w:jc w:val="left"/>
              <w:rPr>
                <w:sz w:val="24"/>
              </w:rPr>
            </w:pPr>
            <w:r>
              <w:rPr>
                <w:sz w:val="24"/>
              </w:rPr>
              <w:t>假若本项目发生了辐射事故，医院应迅速、有效的采取以下应急措施：</w:t>
            </w:r>
          </w:p>
          <w:p>
            <w:pPr>
              <w:pStyle w:val="TableParagraph"/>
              <w:numPr>
                <w:ilvl w:val="0"/>
                <w:numId w:val="23"/>
              </w:numPr>
              <w:tabs>
                <w:tab w:pos="1189" w:val="left" w:leader="none"/>
              </w:tabs>
              <w:spacing w:line="364" w:lineRule="auto" w:before="161" w:after="0"/>
              <w:ind w:left="107" w:right="98" w:firstLine="480"/>
              <w:jc w:val="both"/>
              <w:rPr>
                <w:sz w:val="24"/>
              </w:rPr>
            </w:pPr>
            <w:r>
              <w:rPr>
                <w:spacing w:val="-5"/>
                <w:sz w:val="24"/>
              </w:rPr>
              <w:t>一旦发生人员误照射等辐射事故时，操作人员应立即利用最近的紧急停机</w:t>
            </w:r>
            <w:r>
              <w:rPr>
                <w:spacing w:val="-6"/>
                <w:sz w:val="24"/>
              </w:rPr>
              <w:t>开关切断设备电源。同时，事故第一发现者应及时向医院的辐射安全事故应急处理小组及上级领导报告。辐射安全事故应急处理小组在接到事故报告后，应以最快的速度</w:t>
            </w:r>
            <w:r>
              <w:rPr>
                <w:spacing w:val="-7"/>
                <w:sz w:val="24"/>
              </w:rPr>
              <w:t>组织应急救援工作，迅速封闭事故现场，禁止无关人员进入该区域，严禁任何人擅自</w:t>
            </w:r>
            <w:r>
              <w:rPr>
                <w:spacing w:val="-4"/>
                <w:sz w:val="24"/>
              </w:rPr>
              <w:t>移动和取走现场物件</w:t>
            </w:r>
            <w:r>
              <w:rPr>
                <w:sz w:val="24"/>
              </w:rPr>
              <w:t>（紧急救援需要除外）。</w:t>
            </w:r>
          </w:p>
          <w:p>
            <w:pPr>
              <w:pStyle w:val="TableParagraph"/>
              <w:numPr>
                <w:ilvl w:val="0"/>
                <w:numId w:val="23"/>
              </w:numPr>
              <w:tabs>
                <w:tab w:pos="1189" w:val="left" w:leader="none"/>
              </w:tabs>
              <w:spacing w:line="364" w:lineRule="auto" w:before="3" w:after="0"/>
              <w:ind w:left="107" w:right="100" w:firstLine="480"/>
              <w:jc w:val="left"/>
              <w:rPr>
                <w:sz w:val="24"/>
              </w:rPr>
            </w:pPr>
            <w:r>
              <w:rPr>
                <w:spacing w:val="-6"/>
                <w:sz w:val="24"/>
              </w:rPr>
              <w:t>对可能受到超剂量照射的人员，尽快安排其接受检查和救治，并在第一时</w:t>
            </w:r>
            <w:r>
              <w:rPr>
                <w:spacing w:val="-4"/>
                <w:sz w:val="24"/>
              </w:rPr>
              <w:t>间将事故情况通报当地生态环境主管部门、卫生等主管部门。</w:t>
            </w:r>
          </w:p>
          <w:p>
            <w:pPr>
              <w:pStyle w:val="TableParagraph"/>
              <w:numPr>
                <w:ilvl w:val="0"/>
                <w:numId w:val="23"/>
              </w:numPr>
              <w:tabs>
                <w:tab w:pos="1189" w:val="left" w:leader="none"/>
              </w:tabs>
              <w:spacing w:line="240" w:lineRule="auto" w:before="1" w:after="0"/>
              <w:ind w:left="1188" w:right="0" w:hanging="601"/>
              <w:jc w:val="left"/>
              <w:rPr>
                <w:sz w:val="24"/>
              </w:rPr>
            </w:pPr>
            <w:r>
              <w:rPr>
                <w:spacing w:val="-6"/>
                <w:sz w:val="24"/>
              </w:rPr>
              <w:t>迅速查明和分析发生事故的原因，制订事故处理方案，尽快排除故障。若不</w:t>
            </w:r>
          </w:p>
        </w:tc>
      </w:tr>
    </w:tbl>
    <w:p>
      <w:pPr>
        <w:spacing w:after="0" w:line="240" w:lineRule="auto"/>
        <w:jc w:val="left"/>
        <w:rPr>
          <w:sz w:val="24"/>
        </w:rPr>
        <w:sectPr>
          <w:pgSz w:w="11910" w:h="16840"/>
          <w:pgMar w:header="0" w:footer="881" w:top="1220" w:bottom="1080" w:left="1480" w:right="1020"/>
        </w:sectPr>
      </w:pPr>
    </w:p>
    <w:p>
      <w:pPr>
        <w:pStyle w:val="BodyText"/>
        <w:spacing w:line="364" w:lineRule="auto" w:before="100"/>
        <w:ind w:left="272" w:right="227"/>
      </w:pPr>
      <w:r>
        <w:rPr/>
        <w:pict>
          <v:group style="position:absolute;margin-left:81.959999pt;margin-top:62.399937pt;width:454.2pt;height:703pt;mso-position-horizontal-relative:page;mso-position-vertical-relative:page;z-index:-211000" coordorigin="1639,1248" coordsize="9084,14060">
            <v:line style="position:absolute" from="1639,1253" to="10714,1253" stroked="true" strokeweight=".479999pt" strokecolor="#000000">
              <v:stroke dashstyle="solid"/>
            </v:line>
            <v:line style="position:absolute" from="1644,1258" to="1644,15307" stroked="true" strokeweight=".479999pt" strokecolor="#000000">
              <v:stroke dashstyle="solid"/>
            </v:line>
            <v:line style="position:absolute" from="1639,15302" to="10714,15302" stroked="true" strokeweight=".479965pt" strokecolor="#000000">
              <v:stroke dashstyle="solid"/>
            </v:line>
            <v:line style="position:absolute" from="10718,1248" to="10718,15307" stroked="true" strokeweight=".480011pt" strokecolor="#000000">
              <v:stroke dashstyle="solid"/>
            </v:line>
            <w10:wrap type="none"/>
          </v:group>
        </w:pict>
      </w:r>
      <w:r>
        <w:rPr/>
        <w:t>能自行排除故障，则应上报当地生态环境主管部门并通知进行现场警戒和守卫，及时组织专业技术人员排除事故。</w:t>
      </w:r>
    </w:p>
    <w:p>
      <w:pPr>
        <w:pStyle w:val="ListParagraph"/>
        <w:numPr>
          <w:ilvl w:val="0"/>
          <w:numId w:val="22"/>
        </w:numPr>
        <w:tabs>
          <w:tab w:pos="1354" w:val="left" w:leader="none"/>
        </w:tabs>
        <w:spacing w:line="240" w:lineRule="auto" w:before="2" w:after="0"/>
        <w:ind w:left="1353" w:right="0" w:hanging="601"/>
        <w:jc w:val="left"/>
        <w:rPr>
          <w:sz w:val="24"/>
        </w:rPr>
      </w:pPr>
      <w:r>
        <w:rPr>
          <w:sz w:val="24"/>
        </w:rPr>
        <w:t>事故的善后处理，总结事故原因，吸取教训，采取补救措施。</w:t>
      </w:r>
    </w:p>
    <w:p>
      <w:pPr>
        <w:pStyle w:val="BodyText"/>
        <w:spacing w:line="364" w:lineRule="auto" w:before="160"/>
        <w:ind w:left="272" w:right="273" w:firstLine="480"/>
        <w:jc w:val="both"/>
      </w:pPr>
      <w:r>
        <w:rPr>
          <w:spacing w:val="-4"/>
        </w:rPr>
        <w:t>一旦发生辐射事故，医院应立即启动应急预案，采取有效的事故处理措施，防止</w:t>
      </w:r>
      <w:r>
        <w:rPr>
          <w:spacing w:val="-6"/>
        </w:rPr>
        <w:t>事故恶化。事故发生后的</w:t>
      </w:r>
      <w:r>
        <w:rPr>
          <w:rFonts w:ascii="Times New Roman" w:eastAsia="Times New Roman"/>
        </w:rPr>
        <w:t>2</w:t>
      </w:r>
      <w:r>
        <w:rPr>
          <w:spacing w:val="-11"/>
        </w:rPr>
        <w:t>小时内填写《辐射事故初始报告表》，向当地生态环境主管</w:t>
      </w:r>
      <w:r>
        <w:rPr>
          <w:spacing w:val="-4"/>
        </w:rPr>
        <w:t>部门和公安部门报告。造成或可能造成超剂量照射的，还应同时向当地卫生健康行政</w:t>
      </w:r>
      <w:r>
        <w:rPr/>
        <w:t>部门报告。</w:t>
      </w:r>
    </w:p>
    <w:p>
      <w:pPr>
        <w:spacing w:after="0" w:line="364" w:lineRule="auto"/>
        <w:jc w:val="both"/>
        <w:sectPr>
          <w:pgSz w:w="11910" w:h="16840"/>
          <w:pgMar w:header="0" w:footer="881" w:top="1220" w:bottom="1080" w:left="1480" w:right="1020"/>
        </w:sectPr>
      </w:pPr>
    </w:p>
    <w:p>
      <w:pPr>
        <w:pStyle w:val="Heading1"/>
        <w:jc w:val="both"/>
      </w:pPr>
      <w:r>
        <w:rPr/>
        <w:pict>
          <v:group style="position:absolute;margin-left:81.959999pt;margin-top:93.599945pt;width:454.1pt;height:664pt;mso-position-horizontal-relative:page;mso-position-vertical-relative:page;z-index:-210976" coordorigin="1639,1872" coordsize="9082,13280">
            <v:line style="position:absolute" from="1639,1877" to="10711,1877" stroked="true" strokeweight=".479999pt" strokecolor="#000000">
              <v:stroke dashstyle="solid"/>
            </v:line>
            <v:line style="position:absolute" from="1644,1882" to="1644,15151" stroked="true" strokeweight=".479999pt" strokecolor="#000000">
              <v:stroke dashstyle="solid"/>
            </v:line>
            <v:line style="position:absolute" from="1639,15146" to="10711,15146" stroked="true" strokeweight=".480011pt" strokecolor="#000000">
              <v:stroke dashstyle="solid"/>
            </v:line>
            <v:line style="position:absolute" from="10716,1872" to="10716,15151" stroked="true" strokeweight=".479966pt" strokecolor="#000000">
              <v:stroke dashstyle="solid"/>
            </v:line>
            <w10:wrap type="none"/>
          </v:group>
        </w:pict>
      </w:r>
      <w:r>
        <w:rPr/>
        <w:t>表 12 辐射安全管理</w:t>
      </w:r>
      <w:r>
        <w:rPr>
          <w:w w:val="50"/>
        </w:rPr>
        <w:t> </w:t>
      </w:r>
    </w:p>
    <w:p>
      <w:pPr>
        <w:spacing w:before="275"/>
        <w:ind w:left="262" w:right="0" w:firstLine="0"/>
        <w:jc w:val="both"/>
        <w:rPr>
          <w:sz w:val="28"/>
        </w:rPr>
      </w:pPr>
      <w:r>
        <w:rPr>
          <w:sz w:val="28"/>
        </w:rPr>
        <w:t>辐射安全与环境保护管理机构的设置</w:t>
      </w:r>
      <w:r>
        <w:rPr>
          <w:w w:val="50"/>
          <w:sz w:val="28"/>
        </w:rPr>
        <w:t> </w:t>
      </w:r>
    </w:p>
    <w:p>
      <w:pPr>
        <w:pStyle w:val="BodyText"/>
        <w:spacing w:before="214"/>
        <w:ind w:left="754"/>
      </w:pPr>
      <w:r>
        <w:rPr/>
        <w:t>一、辐射安全与环境保护管理机构的设置</w:t>
      </w:r>
      <w:r>
        <w:rPr>
          <w:w w:val="50"/>
        </w:rPr>
        <w:t> </w:t>
      </w:r>
    </w:p>
    <w:p>
      <w:pPr>
        <w:pStyle w:val="BodyText"/>
        <w:spacing w:before="160"/>
        <w:ind w:left="754"/>
      </w:pPr>
      <w:r>
        <w:rPr/>
        <w:t>（一）组织机构</w:t>
      </w:r>
      <w:r>
        <w:rPr>
          <w:w w:val="50"/>
        </w:rPr>
        <w:t> </w:t>
      </w:r>
    </w:p>
    <w:p>
      <w:pPr>
        <w:pStyle w:val="BodyText"/>
        <w:spacing w:line="364" w:lineRule="auto" w:before="161"/>
        <w:ind w:left="272" w:right="276" w:firstLine="480"/>
      </w:pPr>
      <w:r>
        <w:rPr>
          <w:spacing w:val="-2"/>
        </w:rPr>
        <w:t>三台县中医院成立有辐射安全和环境保护管理领导小组</w:t>
      </w:r>
      <w:r>
        <w:rPr/>
        <w:t>（</w:t>
      </w:r>
      <w:r>
        <w:rPr>
          <w:spacing w:val="-16"/>
        </w:rPr>
        <w:t>见附件 </w:t>
      </w:r>
      <w:r>
        <w:rPr>
          <w:rFonts w:ascii="Times New Roman" w:eastAsia="Times New Roman"/>
        </w:rPr>
        <w:t>4</w:t>
      </w:r>
      <w:r>
        <w:rPr>
          <w:spacing w:val="-120"/>
        </w:rPr>
        <w:t>）</w:t>
      </w:r>
      <w:r>
        <w:rPr>
          <w:spacing w:val="-11"/>
        </w:rPr>
        <w:t>，其中组长为</w:t>
      </w:r>
      <w:r>
        <w:rPr/>
        <w:t>卢文华；副组长为邓光明，成员为陈虎、刘科、秦辉东等。</w:t>
      </w:r>
    </w:p>
    <w:p>
      <w:pPr>
        <w:pStyle w:val="BodyText"/>
        <w:spacing w:before="1"/>
        <w:ind w:left="754"/>
      </w:pPr>
      <w:r>
        <w:rPr/>
        <w:t>（二）职责</w:t>
      </w:r>
      <w:r>
        <w:rPr>
          <w:w w:val="50"/>
        </w:rPr>
        <w:t> </w:t>
      </w:r>
    </w:p>
    <w:p>
      <w:pPr>
        <w:pStyle w:val="BodyText"/>
        <w:spacing w:before="161"/>
        <w:ind w:left="752"/>
      </w:pPr>
      <w:r>
        <w:rPr/>
        <w:t>医院辐射安全与环境保护管理领导小组职责如下：</w:t>
      </w:r>
    </w:p>
    <w:p>
      <w:pPr>
        <w:pStyle w:val="ListParagraph"/>
        <w:numPr>
          <w:ilvl w:val="0"/>
          <w:numId w:val="24"/>
        </w:numPr>
        <w:tabs>
          <w:tab w:pos="1353" w:val="left" w:leader="none"/>
        </w:tabs>
        <w:spacing w:line="364" w:lineRule="auto" w:before="160" w:after="0"/>
        <w:ind w:left="272" w:right="276" w:firstLine="480"/>
        <w:jc w:val="left"/>
        <w:rPr>
          <w:sz w:val="24"/>
        </w:rPr>
      </w:pPr>
      <w:r>
        <w:rPr>
          <w:spacing w:val="-8"/>
          <w:sz w:val="24"/>
        </w:rPr>
        <w:t>负责对全院放射、放疗防护工作的监督与检查，并经常检查各项规章制度</w:t>
      </w:r>
      <w:r>
        <w:rPr>
          <w:spacing w:val="-5"/>
          <w:sz w:val="24"/>
        </w:rPr>
        <w:t>和防护措施的落实情况。</w:t>
      </w:r>
    </w:p>
    <w:p>
      <w:pPr>
        <w:pStyle w:val="ListParagraph"/>
        <w:numPr>
          <w:ilvl w:val="0"/>
          <w:numId w:val="24"/>
        </w:numPr>
        <w:tabs>
          <w:tab w:pos="1353" w:val="left" w:leader="none"/>
        </w:tabs>
        <w:spacing w:line="240" w:lineRule="auto" w:before="1" w:after="0"/>
        <w:ind w:left="1353" w:right="0" w:hanging="601"/>
        <w:jc w:val="left"/>
        <w:rPr>
          <w:sz w:val="24"/>
        </w:rPr>
      </w:pPr>
      <w:r>
        <w:rPr>
          <w:sz w:val="24"/>
        </w:rPr>
        <w:t>组织实施相关人员放射防护法律法规培训和业务学习。</w:t>
      </w:r>
    </w:p>
    <w:p>
      <w:pPr>
        <w:pStyle w:val="ListParagraph"/>
        <w:numPr>
          <w:ilvl w:val="0"/>
          <w:numId w:val="24"/>
        </w:numPr>
        <w:tabs>
          <w:tab w:pos="1353" w:val="left" w:leader="none"/>
        </w:tabs>
        <w:spacing w:line="240" w:lineRule="auto" w:before="161" w:after="0"/>
        <w:ind w:left="1353" w:right="0" w:hanging="601"/>
        <w:jc w:val="left"/>
        <w:rPr>
          <w:sz w:val="24"/>
        </w:rPr>
      </w:pPr>
      <w:r>
        <w:rPr>
          <w:sz w:val="24"/>
        </w:rPr>
        <w:t>组织放射防护知识的宣传，并对有关人员进行防护知识教育。</w:t>
      </w:r>
    </w:p>
    <w:p>
      <w:pPr>
        <w:pStyle w:val="ListParagraph"/>
        <w:numPr>
          <w:ilvl w:val="0"/>
          <w:numId w:val="24"/>
        </w:numPr>
        <w:tabs>
          <w:tab w:pos="1360" w:val="left" w:leader="none"/>
        </w:tabs>
        <w:spacing w:line="364" w:lineRule="auto" w:before="160" w:after="0"/>
        <w:ind w:left="272" w:right="276" w:firstLine="480"/>
        <w:jc w:val="left"/>
        <w:rPr>
          <w:sz w:val="24"/>
        </w:rPr>
      </w:pPr>
      <w:r>
        <w:rPr>
          <w:sz w:val="24"/>
        </w:rPr>
        <w:t>会同上级有关部门按规定调查和处理放射事故，并对有关人员提出处理意见。</w:t>
      </w:r>
    </w:p>
    <w:p>
      <w:pPr>
        <w:pStyle w:val="ListParagraph"/>
        <w:numPr>
          <w:ilvl w:val="0"/>
          <w:numId w:val="24"/>
        </w:numPr>
        <w:tabs>
          <w:tab w:pos="1360" w:val="left" w:leader="none"/>
        </w:tabs>
        <w:spacing w:line="364" w:lineRule="auto" w:before="2" w:after="0"/>
        <w:ind w:left="272" w:right="276" w:firstLine="480"/>
        <w:jc w:val="left"/>
        <w:rPr>
          <w:sz w:val="24"/>
        </w:rPr>
      </w:pPr>
      <w:r>
        <w:rPr>
          <w:sz w:val="24"/>
        </w:rPr>
        <w:t>负责组织本院放射相关人员按照规定进行健康体检和放射剂量监测及辐射安全和防护知识培训。</w:t>
      </w:r>
    </w:p>
    <w:p>
      <w:pPr>
        <w:pStyle w:val="ListParagraph"/>
        <w:numPr>
          <w:ilvl w:val="0"/>
          <w:numId w:val="24"/>
        </w:numPr>
        <w:tabs>
          <w:tab w:pos="1353" w:val="left" w:leader="none"/>
        </w:tabs>
        <w:spacing w:line="364" w:lineRule="auto" w:before="1" w:after="0"/>
        <w:ind w:left="754" w:right="3732" w:hanging="2"/>
        <w:jc w:val="left"/>
        <w:rPr>
          <w:sz w:val="24"/>
        </w:rPr>
      </w:pPr>
      <w:r>
        <w:rPr>
          <w:spacing w:val="-1"/>
          <w:sz w:val="24"/>
        </w:rPr>
        <w:t>负责设备设施与环境的监测评价与管理。</w:t>
      </w:r>
      <w:r>
        <w:rPr>
          <w:sz w:val="24"/>
        </w:rPr>
        <w:t>二、辐射工作岗位人员配置和能力分析</w:t>
      </w:r>
    </w:p>
    <w:p>
      <w:pPr>
        <w:pStyle w:val="BodyText"/>
        <w:spacing w:line="364" w:lineRule="auto" w:before="1"/>
        <w:ind w:left="272" w:right="273" w:firstLine="480"/>
        <w:jc w:val="both"/>
      </w:pPr>
      <w:r>
        <w:rPr>
          <w:spacing w:val="-5"/>
        </w:rPr>
        <w:t>医院目前共有辐射工作人员 </w:t>
      </w:r>
      <w:r>
        <w:rPr>
          <w:rFonts w:ascii="Times New Roman" w:hAnsi="Times New Roman" w:eastAsia="Times New Roman"/>
        </w:rPr>
        <w:t>48 </w:t>
      </w:r>
      <w:r>
        <w:rPr>
          <w:spacing w:val="-17"/>
        </w:rPr>
        <w:t>名，仅有 </w:t>
      </w:r>
      <w:r>
        <w:rPr>
          <w:rFonts w:ascii="Times New Roman" w:hAnsi="Times New Roman" w:eastAsia="Times New Roman"/>
        </w:rPr>
        <w:t>18 </w:t>
      </w:r>
      <w:r>
        <w:rPr>
          <w:spacing w:val="-1"/>
        </w:rPr>
        <w:t>名辐射工作人员已参加辐射安全与防</w:t>
      </w:r>
      <w:r>
        <w:rPr>
          <w:spacing w:val="-2"/>
        </w:rPr>
        <w:t>护培训并均已取得辐射安全培训合格证书并持证上岗。医院应尽快安排未取得辐射安</w:t>
      </w:r>
      <w:r>
        <w:rPr>
          <w:spacing w:val="3"/>
        </w:rPr>
        <w:t>全培训合格证书的辐射工作人员在生态环境部“核技术利用辐射安全与防护培训平台”报名参加辐射安全与防护相关知识的学习并参加考核，考核合格后方可上岗。</w:t>
      </w:r>
    </w:p>
    <w:p>
      <w:pPr>
        <w:pStyle w:val="BodyText"/>
        <w:spacing w:line="364" w:lineRule="auto" w:before="2"/>
        <w:ind w:left="272" w:right="156" w:firstLine="480"/>
      </w:pPr>
      <w:r>
        <w:rPr>
          <w:spacing w:val="-5"/>
        </w:rPr>
        <w:t>本项目拟配置辐射工作人员 </w:t>
      </w:r>
      <w:r>
        <w:rPr>
          <w:rFonts w:ascii="Times New Roman" w:eastAsia="Times New Roman"/>
        </w:rPr>
        <w:t>5 </w:t>
      </w:r>
      <w:r>
        <w:rPr>
          <w:spacing w:val="-4"/>
        </w:rPr>
        <w:t>人，均为医院现有辐射工作人员，本项目辐射工作</w:t>
      </w:r>
      <w:r>
        <w:rPr>
          <w:spacing w:val="-15"/>
        </w:rPr>
        <w:t>人员均定岗定责。根据《关于核技术利用辐射安全与防护培训和考核有关事项的公告》</w:t>
      </w:r>
    </w:p>
    <w:p>
      <w:pPr>
        <w:pStyle w:val="BodyText"/>
        <w:spacing w:line="364" w:lineRule="auto" w:before="2"/>
        <w:ind w:left="272" w:right="276"/>
        <w:jc w:val="both"/>
      </w:pPr>
      <w:r>
        <w:rPr/>
        <w:t>（</w:t>
      </w:r>
      <w:r>
        <w:rPr>
          <w:spacing w:val="-13"/>
        </w:rPr>
        <w:t>生态环境部，公告 </w:t>
      </w:r>
      <w:r>
        <w:rPr>
          <w:rFonts w:ascii="Times New Roman" w:hAnsi="Times New Roman" w:eastAsia="Times New Roman"/>
        </w:rPr>
        <w:t>2019</w:t>
      </w:r>
      <w:r>
        <w:rPr>
          <w:rFonts w:ascii="Times New Roman" w:hAnsi="Times New Roman" w:eastAsia="Times New Roman"/>
          <w:spacing w:val="-1"/>
        </w:rPr>
        <w:t> </w:t>
      </w:r>
      <w:r>
        <w:rPr>
          <w:spacing w:val="-21"/>
        </w:rPr>
        <w:t>年第 </w:t>
      </w:r>
      <w:r>
        <w:rPr>
          <w:rFonts w:ascii="Times New Roman" w:hAnsi="Times New Roman" w:eastAsia="Times New Roman"/>
        </w:rPr>
        <w:t>57 </w:t>
      </w:r>
      <w:r>
        <w:rPr/>
        <w:t>号</w:t>
      </w:r>
      <w:r>
        <w:rPr>
          <w:spacing w:val="-84"/>
        </w:rPr>
        <w:t>）</w:t>
      </w:r>
      <w:r>
        <w:rPr>
          <w:spacing w:val="-13"/>
        </w:rPr>
        <w:t>，本项目新增辐射工作人员须在生态环境部“核</w:t>
      </w:r>
      <w:r>
        <w:rPr>
          <w:spacing w:val="-3"/>
        </w:rPr>
        <w:t>技术利用辐射安全与防护培训平台”报名参加辐射安全与防护相关知识的学习并参加</w:t>
      </w:r>
      <w:r>
        <w:rPr>
          <w:spacing w:val="-5"/>
        </w:rPr>
        <w:t>考核，考核合格后方可上岗。辐射安全培训合格证书到期的人员仍需通过生态环境部</w:t>
      </w:r>
    </w:p>
    <w:p>
      <w:pPr>
        <w:pStyle w:val="BodyText"/>
        <w:spacing w:line="364" w:lineRule="auto" w:before="1"/>
        <w:ind w:left="272" w:right="276"/>
        <w:jc w:val="both"/>
      </w:pPr>
      <w:r>
        <w:rPr>
          <w:spacing w:val="-3"/>
        </w:rPr>
        <w:t>“核技术利用辐射安全与防护培训平台”进行再学习考核，医院应当建立并保存辐射</w:t>
      </w:r>
      <w:r>
        <w:rPr/>
        <w:t>工作人员的培训档案。</w:t>
      </w:r>
    </w:p>
    <w:p>
      <w:pPr>
        <w:spacing w:after="0" w:line="364" w:lineRule="auto"/>
        <w:jc w:val="both"/>
        <w:sectPr>
          <w:pgSz w:w="11910" w:h="16840"/>
          <w:pgMar w:header="0" w:footer="881" w:top="1320" w:bottom="116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1"/>
        <w:gridCol w:w="3672"/>
        <w:gridCol w:w="4819"/>
      </w:tblGrid>
      <w:tr>
        <w:trPr>
          <w:trHeight w:val="4679" w:hRule="atLeast"/>
        </w:trPr>
        <w:tc>
          <w:tcPr>
            <w:tcW w:w="9072" w:type="dxa"/>
            <w:gridSpan w:val="3"/>
          </w:tcPr>
          <w:p>
            <w:pPr>
              <w:pStyle w:val="TableParagraph"/>
              <w:spacing w:line="364" w:lineRule="auto" w:before="81"/>
              <w:ind w:left="107" w:right="95" w:firstLine="480"/>
              <w:jc w:val="both"/>
              <w:rPr>
                <w:sz w:val="24"/>
              </w:rPr>
            </w:pPr>
            <w:r>
              <w:rPr>
                <w:spacing w:val="-4"/>
                <w:sz w:val="24"/>
              </w:rPr>
              <w:t>在辐射工作人员上岗前，医院应组织其进行岗前职业健康检查，并建立个人健康</w:t>
            </w:r>
            <w:r>
              <w:rPr>
                <w:spacing w:val="-6"/>
                <w:sz w:val="24"/>
              </w:rPr>
              <w:t>档案，符合辐射工作人员健康标准的，方可参加相应的放射工作。在此基础上，环评</w:t>
            </w:r>
            <w:r>
              <w:rPr>
                <w:sz w:val="24"/>
              </w:rPr>
              <w:t>认为，本项目辐射工作人员的配置可满足要求的。</w:t>
            </w:r>
          </w:p>
          <w:p>
            <w:pPr>
              <w:pStyle w:val="TableParagraph"/>
              <w:spacing w:before="2"/>
              <w:ind w:left="590"/>
              <w:jc w:val="left"/>
              <w:rPr>
                <w:sz w:val="24"/>
              </w:rPr>
            </w:pPr>
            <w:r>
              <w:rPr>
                <w:w w:val="115"/>
                <w:sz w:val="24"/>
              </w:rPr>
              <w:t>三、DSA 管理</w:t>
            </w:r>
            <w:r>
              <w:rPr>
                <w:w w:val="50"/>
                <w:sz w:val="24"/>
              </w:rPr>
              <w:t> </w:t>
            </w:r>
          </w:p>
          <w:p>
            <w:pPr>
              <w:pStyle w:val="TableParagraph"/>
              <w:spacing w:line="364" w:lineRule="auto" w:before="160"/>
              <w:ind w:left="107" w:right="95" w:firstLine="480"/>
              <w:jc w:val="both"/>
              <w:rPr>
                <w:sz w:val="24"/>
              </w:rPr>
            </w:pPr>
            <w:r>
              <w:rPr>
                <w:spacing w:val="-1"/>
                <w:sz w:val="24"/>
              </w:rPr>
              <w:t>本项目建成投运后，辐射安全管控措施包括：定期对本项目 </w:t>
            </w:r>
            <w:r>
              <w:rPr>
                <w:rFonts w:ascii="Times New Roman" w:eastAsia="Times New Roman"/>
                <w:sz w:val="24"/>
              </w:rPr>
              <w:t>DSA </w:t>
            </w:r>
            <w:r>
              <w:rPr>
                <w:spacing w:val="-3"/>
                <w:sz w:val="24"/>
              </w:rPr>
              <w:t>门机联锁等安全装置的有效性等进行检查，对辐射工作人员剂量进行归档管理，组织辐射工作人员</w:t>
            </w:r>
            <w:r>
              <w:rPr>
                <w:sz w:val="24"/>
              </w:rPr>
              <w:t>辐射防护上岗培训，监督辐射工作人员执行相关操作规程等。</w:t>
            </w:r>
          </w:p>
          <w:p>
            <w:pPr>
              <w:pStyle w:val="TableParagraph"/>
              <w:spacing w:before="2"/>
              <w:ind w:left="107" w:firstLine="480"/>
              <w:jc w:val="left"/>
              <w:rPr>
                <w:sz w:val="24"/>
              </w:rPr>
            </w:pPr>
            <w:r>
              <w:rPr>
                <w:spacing w:val="-16"/>
                <w:sz w:val="24"/>
              </w:rPr>
              <w:t>本项目 </w:t>
            </w:r>
            <w:r>
              <w:rPr>
                <w:rFonts w:ascii="Times New Roman" w:eastAsia="Times New Roman"/>
                <w:sz w:val="24"/>
              </w:rPr>
              <w:t>DSA </w:t>
            </w:r>
            <w:r>
              <w:rPr>
                <w:spacing w:val="-11"/>
                <w:sz w:val="24"/>
              </w:rPr>
              <w:t>报废时，必须进行去功能化</w:t>
            </w:r>
            <w:r>
              <w:rPr>
                <w:sz w:val="24"/>
              </w:rPr>
              <w:t>（</w:t>
            </w:r>
            <w:r>
              <w:rPr>
                <w:spacing w:val="-5"/>
                <w:sz w:val="24"/>
              </w:rPr>
              <w:t>如拆解或者拆卸球管，把球管电线插头</w:t>
            </w:r>
          </w:p>
          <w:p>
            <w:pPr>
              <w:pStyle w:val="TableParagraph"/>
              <w:spacing w:line="460" w:lineRule="atLeast" w:before="8"/>
              <w:ind w:left="107" w:right="95"/>
              <w:jc w:val="left"/>
              <w:rPr>
                <w:sz w:val="24"/>
              </w:rPr>
            </w:pPr>
            <w:r>
              <w:rPr>
                <w:sz w:val="24"/>
              </w:rPr>
              <w:t>或接头剪断</w:t>
            </w:r>
            <w:r>
              <w:rPr>
                <w:spacing w:val="-84"/>
                <w:sz w:val="24"/>
              </w:rPr>
              <w:t>）</w:t>
            </w:r>
            <w:r>
              <w:rPr>
                <w:spacing w:val="-16"/>
                <w:sz w:val="24"/>
              </w:rPr>
              <w:t>，确保装置无法再次通电使用，并按相应要求执行报废程序，将设备处理</w:t>
            </w:r>
            <w:r>
              <w:rPr>
                <w:sz w:val="24"/>
              </w:rPr>
              <w:t>去向记录备案。</w:t>
            </w:r>
          </w:p>
        </w:tc>
      </w:tr>
      <w:tr>
        <w:trPr>
          <w:trHeight w:val="2807" w:hRule="atLeast"/>
        </w:trPr>
        <w:tc>
          <w:tcPr>
            <w:tcW w:w="9072" w:type="dxa"/>
            <w:gridSpan w:val="3"/>
            <w:tcBorders>
              <w:bottom w:val="single" w:sz="12" w:space="0" w:color="000000"/>
            </w:tcBorders>
          </w:tcPr>
          <w:p>
            <w:pPr>
              <w:pStyle w:val="TableParagraph"/>
              <w:spacing w:before="132"/>
              <w:ind w:left="98"/>
              <w:jc w:val="left"/>
              <w:rPr>
                <w:sz w:val="28"/>
              </w:rPr>
            </w:pPr>
            <w:r>
              <w:rPr>
                <w:sz w:val="28"/>
              </w:rPr>
              <w:t>辐射安全管理规章制度</w:t>
            </w:r>
            <w:r>
              <w:rPr>
                <w:w w:val="50"/>
                <w:sz w:val="28"/>
              </w:rPr>
              <w:t> </w:t>
            </w:r>
          </w:p>
          <w:p>
            <w:pPr>
              <w:pStyle w:val="TableParagraph"/>
              <w:spacing w:before="214"/>
              <w:ind w:left="590"/>
              <w:jc w:val="left"/>
              <w:rPr>
                <w:sz w:val="24"/>
              </w:rPr>
            </w:pPr>
            <w:r>
              <w:rPr>
                <w:sz w:val="24"/>
              </w:rPr>
              <w:t>一、规章制度</w:t>
            </w:r>
            <w:r>
              <w:rPr>
                <w:w w:val="50"/>
                <w:sz w:val="24"/>
              </w:rPr>
              <w:t> </w:t>
            </w:r>
          </w:p>
          <w:p>
            <w:pPr>
              <w:pStyle w:val="TableParagraph"/>
              <w:spacing w:line="364" w:lineRule="auto" w:before="161"/>
              <w:ind w:left="107" w:right="71" w:firstLine="480"/>
              <w:jc w:val="both"/>
              <w:rPr>
                <w:sz w:val="24"/>
              </w:rPr>
            </w:pPr>
            <w:r>
              <w:rPr>
                <w:sz w:val="24"/>
              </w:rPr>
              <w:t>根据《四川省核技术利用辐射安全与防护监督检查大纲》（川环函﹝</w:t>
            </w:r>
            <w:r>
              <w:rPr>
                <w:rFonts w:ascii="Times New Roman" w:eastAsia="Times New Roman"/>
                <w:sz w:val="24"/>
              </w:rPr>
              <w:t>2016</w:t>
            </w:r>
            <w:r>
              <w:rPr>
                <w:sz w:val="24"/>
              </w:rPr>
              <w:t>﹞</w:t>
            </w:r>
            <w:r>
              <w:rPr>
                <w:rFonts w:ascii="Times New Roman" w:eastAsia="Times New Roman"/>
                <w:sz w:val="24"/>
              </w:rPr>
              <w:t>1400 </w:t>
            </w:r>
            <w:r>
              <w:rPr>
                <w:sz w:val="24"/>
              </w:rPr>
              <w:t>号）的相关要求中的相关规定，将建设单位现有的规章制度落实情况进行对比说明， 见表 </w:t>
            </w:r>
            <w:r>
              <w:rPr>
                <w:rFonts w:ascii="Times New Roman" w:eastAsia="Times New Roman"/>
                <w:sz w:val="24"/>
              </w:rPr>
              <w:t>12-1</w:t>
            </w:r>
            <w:r>
              <w:rPr>
                <w:sz w:val="24"/>
              </w:rPr>
              <w:t>。</w:t>
            </w:r>
          </w:p>
          <w:p>
            <w:pPr>
              <w:pStyle w:val="TableParagraph"/>
              <w:tabs>
                <w:tab w:pos="3285" w:val="left" w:leader="none"/>
              </w:tabs>
              <w:spacing w:line="212" w:lineRule="exact"/>
              <w:ind w:left="2426"/>
              <w:jc w:val="left"/>
              <w:rPr>
                <w:sz w:val="21"/>
              </w:rPr>
            </w:pPr>
            <w:r>
              <w:rPr>
                <w:sz w:val="21"/>
              </w:rPr>
              <w:t>表</w:t>
            </w:r>
            <w:r>
              <w:rPr>
                <w:spacing w:val="-53"/>
                <w:sz w:val="21"/>
              </w:rPr>
              <w:t> </w:t>
            </w:r>
            <w:r>
              <w:rPr>
                <w:rFonts w:ascii="Times New Roman" w:eastAsia="Times New Roman"/>
                <w:sz w:val="21"/>
              </w:rPr>
              <w:t>12-1</w:t>
              <w:tab/>
            </w:r>
            <w:r>
              <w:rPr>
                <w:spacing w:val="-3"/>
                <w:sz w:val="21"/>
              </w:rPr>
              <w:t>项</w:t>
            </w:r>
            <w:r>
              <w:rPr>
                <w:sz w:val="21"/>
              </w:rPr>
              <w:t>目</w:t>
            </w:r>
            <w:r>
              <w:rPr>
                <w:spacing w:val="-3"/>
                <w:sz w:val="21"/>
              </w:rPr>
              <w:t>单</w:t>
            </w:r>
            <w:r>
              <w:rPr>
                <w:sz w:val="21"/>
              </w:rPr>
              <w:t>位</w:t>
            </w:r>
            <w:r>
              <w:rPr>
                <w:spacing w:val="-3"/>
                <w:sz w:val="21"/>
              </w:rPr>
              <w:t>辐</w:t>
            </w:r>
            <w:r>
              <w:rPr>
                <w:sz w:val="21"/>
              </w:rPr>
              <w:t>射</w:t>
            </w:r>
            <w:r>
              <w:rPr>
                <w:spacing w:val="-5"/>
                <w:sz w:val="21"/>
              </w:rPr>
              <w:t>安</w:t>
            </w:r>
            <w:r>
              <w:rPr>
                <w:sz w:val="21"/>
              </w:rPr>
              <w:t>全管</w:t>
            </w:r>
            <w:r>
              <w:rPr>
                <w:spacing w:val="-3"/>
                <w:sz w:val="21"/>
              </w:rPr>
              <w:t>理</w:t>
            </w:r>
            <w:r>
              <w:rPr>
                <w:sz w:val="21"/>
              </w:rPr>
              <w:t>制</w:t>
            </w:r>
            <w:r>
              <w:rPr>
                <w:spacing w:val="-3"/>
                <w:sz w:val="21"/>
              </w:rPr>
              <w:t>度</w:t>
            </w:r>
            <w:r>
              <w:rPr>
                <w:sz w:val="21"/>
              </w:rPr>
              <w:t>制</w:t>
            </w:r>
            <w:r>
              <w:rPr>
                <w:spacing w:val="-3"/>
                <w:sz w:val="21"/>
              </w:rPr>
              <w:t>定</w:t>
            </w:r>
            <w:r>
              <w:rPr>
                <w:sz w:val="21"/>
              </w:rPr>
              <w:t>要求</w:t>
            </w:r>
          </w:p>
        </w:tc>
      </w:tr>
      <w:tr>
        <w:trPr>
          <w:trHeight w:val="339" w:hRule="atLeast"/>
        </w:trPr>
        <w:tc>
          <w:tcPr>
            <w:tcW w:w="581" w:type="dxa"/>
            <w:tcBorders>
              <w:top w:val="single" w:sz="12" w:space="0" w:color="000000"/>
              <w:bottom w:val="single" w:sz="12" w:space="0" w:color="000000"/>
            </w:tcBorders>
          </w:tcPr>
          <w:p>
            <w:pPr>
              <w:pStyle w:val="TableParagraph"/>
              <w:spacing w:before="36"/>
              <w:ind w:left="89" w:right="22"/>
              <w:rPr>
                <w:sz w:val="21"/>
              </w:rPr>
            </w:pPr>
            <w:r>
              <w:rPr>
                <w:sz w:val="21"/>
              </w:rPr>
              <w:t>序号</w:t>
            </w:r>
          </w:p>
        </w:tc>
        <w:tc>
          <w:tcPr>
            <w:tcW w:w="3672" w:type="dxa"/>
            <w:tcBorders>
              <w:top w:val="single" w:sz="12" w:space="0" w:color="000000"/>
              <w:bottom w:val="single" w:sz="12" w:space="0" w:color="000000"/>
            </w:tcBorders>
          </w:tcPr>
          <w:p>
            <w:pPr>
              <w:pStyle w:val="TableParagraph"/>
              <w:spacing w:before="36"/>
              <w:ind w:left="31" w:right="20"/>
              <w:rPr>
                <w:sz w:val="21"/>
              </w:rPr>
            </w:pPr>
            <w:r>
              <w:rPr>
                <w:sz w:val="21"/>
              </w:rPr>
              <w:t>制度名称</w:t>
            </w:r>
          </w:p>
        </w:tc>
        <w:tc>
          <w:tcPr>
            <w:tcW w:w="4819" w:type="dxa"/>
            <w:tcBorders>
              <w:top w:val="single" w:sz="12" w:space="0" w:color="000000"/>
              <w:bottom w:val="single" w:sz="12" w:space="0" w:color="000000"/>
            </w:tcBorders>
          </w:tcPr>
          <w:p>
            <w:pPr>
              <w:pStyle w:val="TableParagraph"/>
              <w:spacing w:before="36"/>
              <w:ind w:left="69" w:right="110"/>
              <w:rPr>
                <w:sz w:val="21"/>
              </w:rPr>
            </w:pPr>
            <w:r>
              <w:rPr>
                <w:sz w:val="21"/>
              </w:rPr>
              <w:t>备 注</w:t>
            </w:r>
          </w:p>
        </w:tc>
      </w:tr>
      <w:tr>
        <w:trPr>
          <w:trHeight w:val="340" w:hRule="atLeast"/>
        </w:trPr>
        <w:tc>
          <w:tcPr>
            <w:tcW w:w="581" w:type="dxa"/>
            <w:tcBorders>
              <w:top w:val="single" w:sz="12" w:space="0" w:color="000000"/>
            </w:tcBorders>
          </w:tcPr>
          <w:p>
            <w:pPr>
              <w:pStyle w:val="TableParagraph"/>
              <w:spacing w:before="50"/>
              <w:ind w:left="62"/>
              <w:rPr>
                <w:rFonts w:ascii="Times New Roman"/>
                <w:sz w:val="21"/>
              </w:rPr>
            </w:pPr>
            <w:r>
              <w:rPr>
                <w:rFonts w:ascii="Times New Roman"/>
                <w:w w:val="100"/>
                <w:sz w:val="21"/>
              </w:rPr>
              <w:t>1</w:t>
            </w:r>
          </w:p>
        </w:tc>
        <w:tc>
          <w:tcPr>
            <w:tcW w:w="3672" w:type="dxa"/>
            <w:tcBorders>
              <w:top w:val="single" w:sz="12" w:space="0" w:color="000000"/>
            </w:tcBorders>
          </w:tcPr>
          <w:p>
            <w:pPr>
              <w:pStyle w:val="TableParagraph"/>
              <w:spacing w:before="36"/>
              <w:ind w:left="31" w:right="20"/>
              <w:rPr>
                <w:sz w:val="21"/>
              </w:rPr>
            </w:pPr>
            <w:r>
              <w:rPr>
                <w:sz w:val="21"/>
              </w:rPr>
              <w:t>辐射工作场所安全管理要求</w:t>
            </w:r>
          </w:p>
        </w:tc>
        <w:tc>
          <w:tcPr>
            <w:tcW w:w="4819" w:type="dxa"/>
            <w:tcBorders>
              <w:top w:val="single" w:sz="12" w:space="0" w:color="000000"/>
            </w:tcBorders>
          </w:tcPr>
          <w:p>
            <w:pPr>
              <w:pStyle w:val="TableParagraph"/>
              <w:spacing w:before="36"/>
              <w:ind w:left="69" w:right="110"/>
              <w:rPr>
                <w:sz w:val="21"/>
              </w:rPr>
            </w:pPr>
            <w:r>
              <w:rPr>
                <w:sz w:val="21"/>
              </w:rPr>
              <w:t>已制定，并悬挂于辐射工作场所墙上</w:t>
            </w:r>
          </w:p>
        </w:tc>
      </w:tr>
      <w:tr>
        <w:trPr>
          <w:trHeight w:val="340" w:hRule="atLeast"/>
        </w:trPr>
        <w:tc>
          <w:tcPr>
            <w:tcW w:w="581" w:type="dxa"/>
          </w:tcPr>
          <w:p>
            <w:pPr>
              <w:pStyle w:val="TableParagraph"/>
              <w:spacing w:before="51"/>
              <w:ind w:left="62"/>
              <w:rPr>
                <w:rFonts w:ascii="Times New Roman"/>
                <w:sz w:val="21"/>
              </w:rPr>
            </w:pPr>
            <w:r>
              <w:rPr>
                <w:rFonts w:ascii="Times New Roman"/>
                <w:w w:val="100"/>
                <w:sz w:val="21"/>
              </w:rPr>
              <w:t>2</w:t>
            </w:r>
          </w:p>
        </w:tc>
        <w:tc>
          <w:tcPr>
            <w:tcW w:w="3672" w:type="dxa"/>
          </w:tcPr>
          <w:p>
            <w:pPr>
              <w:pStyle w:val="TableParagraph"/>
              <w:spacing w:before="37"/>
              <w:ind w:left="31" w:right="20"/>
              <w:rPr>
                <w:sz w:val="21"/>
              </w:rPr>
            </w:pPr>
            <w:r>
              <w:rPr>
                <w:sz w:val="21"/>
              </w:rPr>
              <w:t>辐射工作人员健康及个人剂量管理制度</w:t>
            </w:r>
          </w:p>
        </w:tc>
        <w:tc>
          <w:tcPr>
            <w:tcW w:w="4819" w:type="dxa"/>
          </w:tcPr>
          <w:p>
            <w:pPr>
              <w:pStyle w:val="TableParagraph"/>
              <w:spacing w:before="37"/>
              <w:ind w:left="69" w:right="109"/>
              <w:rPr>
                <w:sz w:val="21"/>
              </w:rPr>
            </w:pPr>
            <w:r>
              <w:rPr>
                <w:sz w:val="21"/>
              </w:rPr>
              <w:t>已制定，需完善</w:t>
            </w:r>
          </w:p>
        </w:tc>
      </w:tr>
      <w:tr>
        <w:trPr>
          <w:trHeight w:val="340" w:hRule="atLeast"/>
        </w:trPr>
        <w:tc>
          <w:tcPr>
            <w:tcW w:w="581" w:type="dxa"/>
          </w:tcPr>
          <w:p>
            <w:pPr>
              <w:pStyle w:val="TableParagraph"/>
              <w:spacing w:before="51"/>
              <w:ind w:left="62"/>
              <w:rPr>
                <w:rFonts w:ascii="Times New Roman"/>
                <w:sz w:val="21"/>
              </w:rPr>
            </w:pPr>
            <w:r>
              <w:rPr>
                <w:rFonts w:ascii="Times New Roman"/>
                <w:w w:val="100"/>
                <w:sz w:val="21"/>
              </w:rPr>
              <w:t>3</w:t>
            </w:r>
          </w:p>
        </w:tc>
        <w:tc>
          <w:tcPr>
            <w:tcW w:w="3672" w:type="dxa"/>
          </w:tcPr>
          <w:p>
            <w:pPr>
              <w:pStyle w:val="TableParagraph"/>
              <w:spacing w:before="37"/>
              <w:ind w:left="31" w:right="18"/>
              <w:rPr>
                <w:sz w:val="21"/>
              </w:rPr>
            </w:pPr>
            <w:r>
              <w:rPr>
                <w:sz w:val="21"/>
              </w:rPr>
              <w:t>辐射工作设备操作规程</w:t>
            </w:r>
          </w:p>
        </w:tc>
        <w:tc>
          <w:tcPr>
            <w:tcW w:w="4819" w:type="dxa"/>
          </w:tcPr>
          <w:p>
            <w:pPr>
              <w:pStyle w:val="TableParagraph"/>
              <w:spacing w:before="37"/>
              <w:ind w:left="69" w:right="110"/>
              <w:rPr>
                <w:sz w:val="21"/>
              </w:rPr>
            </w:pPr>
            <w:r>
              <w:rPr>
                <w:sz w:val="21"/>
              </w:rPr>
              <w:t>已制定，并悬挂于辐射工作场所墙上</w:t>
            </w:r>
          </w:p>
        </w:tc>
      </w:tr>
      <w:tr>
        <w:trPr>
          <w:trHeight w:val="340" w:hRule="atLeast"/>
        </w:trPr>
        <w:tc>
          <w:tcPr>
            <w:tcW w:w="581" w:type="dxa"/>
          </w:tcPr>
          <w:p>
            <w:pPr>
              <w:pStyle w:val="TableParagraph"/>
              <w:spacing w:before="51"/>
              <w:ind w:left="62"/>
              <w:rPr>
                <w:rFonts w:ascii="Times New Roman"/>
                <w:sz w:val="21"/>
              </w:rPr>
            </w:pPr>
            <w:r>
              <w:rPr>
                <w:rFonts w:ascii="Times New Roman"/>
                <w:w w:val="100"/>
                <w:sz w:val="21"/>
              </w:rPr>
              <w:t>4</w:t>
            </w:r>
          </w:p>
        </w:tc>
        <w:tc>
          <w:tcPr>
            <w:tcW w:w="3672" w:type="dxa"/>
          </w:tcPr>
          <w:p>
            <w:pPr>
              <w:pStyle w:val="TableParagraph"/>
              <w:spacing w:before="37"/>
              <w:ind w:left="31" w:right="18"/>
              <w:rPr>
                <w:sz w:val="21"/>
              </w:rPr>
            </w:pPr>
            <w:r>
              <w:rPr>
                <w:sz w:val="21"/>
              </w:rPr>
              <w:t>辐射工作人员岗位职责</w:t>
            </w:r>
          </w:p>
        </w:tc>
        <w:tc>
          <w:tcPr>
            <w:tcW w:w="4819" w:type="dxa"/>
          </w:tcPr>
          <w:p>
            <w:pPr>
              <w:pStyle w:val="TableParagraph"/>
              <w:spacing w:before="37"/>
              <w:ind w:left="69" w:right="110"/>
              <w:rPr>
                <w:sz w:val="21"/>
              </w:rPr>
            </w:pPr>
            <w:r>
              <w:rPr>
                <w:sz w:val="21"/>
              </w:rPr>
              <w:t>已制定，并悬挂于辐射工作场所墙上</w:t>
            </w:r>
          </w:p>
        </w:tc>
      </w:tr>
      <w:tr>
        <w:trPr>
          <w:trHeight w:val="340" w:hRule="atLeast"/>
        </w:trPr>
        <w:tc>
          <w:tcPr>
            <w:tcW w:w="581" w:type="dxa"/>
          </w:tcPr>
          <w:p>
            <w:pPr>
              <w:pStyle w:val="TableParagraph"/>
              <w:spacing w:before="51"/>
              <w:ind w:left="62"/>
              <w:rPr>
                <w:rFonts w:ascii="Times New Roman"/>
                <w:sz w:val="21"/>
              </w:rPr>
            </w:pPr>
            <w:r>
              <w:rPr>
                <w:rFonts w:ascii="Times New Roman"/>
                <w:w w:val="100"/>
                <w:sz w:val="21"/>
              </w:rPr>
              <w:t>5</w:t>
            </w:r>
          </w:p>
        </w:tc>
        <w:tc>
          <w:tcPr>
            <w:tcW w:w="3672" w:type="dxa"/>
          </w:tcPr>
          <w:p>
            <w:pPr>
              <w:pStyle w:val="TableParagraph"/>
              <w:spacing w:before="37"/>
              <w:ind w:left="31" w:right="20"/>
              <w:rPr>
                <w:sz w:val="21"/>
              </w:rPr>
            </w:pPr>
            <w:r>
              <w:rPr>
                <w:sz w:val="21"/>
              </w:rPr>
              <w:t>监测仪表使用与校验管理制度</w:t>
            </w:r>
          </w:p>
        </w:tc>
        <w:tc>
          <w:tcPr>
            <w:tcW w:w="4819" w:type="dxa"/>
          </w:tcPr>
          <w:p>
            <w:pPr>
              <w:pStyle w:val="TableParagraph"/>
              <w:spacing w:before="37"/>
              <w:ind w:left="69" w:right="109"/>
              <w:rPr>
                <w:sz w:val="21"/>
              </w:rPr>
            </w:pPr>
            <w:r>
              <w:rPr>
                <w:sz w:val="21"/>
              </w:rPr>
              <w:t>已制定，需完善</w:t>
            </w:r>
          </w:p>
        </w:tc>
      </w:tr>
      <w:tr>
        <w:trPr>
          <w:trHeight w:val="337" w:hRule="atLeast"/>
        </w:trPr>
        <w:tc>
          <w:tcPr>
            <w:tcW w:w="581" w:type="dxa"/>
          </w:tcPr>
          <w:p>
            <w:pPr>
              <w:pStyle w:val="TableParagraph"/>
              <w:spacing w:before="51"/>
              <w:ind w:left="62"/>
              <w:rPr>
                <w:rFonts w:ascii="Times New Roman"/>
                <w:sz w:val="21"/>
              </w:rPr>
            </w:pPr>
            <w:r>
              <w:rPr>
                <w:rFonts w:ascii="Times New Roman"/>
                <w:w w:val="100"/>
                <w:sz w:val="21"/>
              </w:rPr>
              <w:t>6</w:t>
            </w:r>
          </w:p>
        </w:tc>
        <w:tc>
          <w:tcPr>
            <w:tcW w:w="3672" w:type="dxa"/>
          </w:tcPr>
          <w:p>
            <w:pPr>
              <w:pStyle w:val="TableParagraph"/>
              <w:spacing w:before="37"/>
              <w:ind w:left="31" w:right="18"/>
              <w:rPr>
                <w:sz w:val="21"/>
              </w:rPr>
            </w:pPr>
            <w:r>
              <w:rPr>
                <w:sz w:val="21"/>
              </w:rPr>
              <w:t>射线装置台账管理制度</w:t>
            </w:r>
          </w:p>
        </w:tc>
        <w:tc>
          <w:tcPr>
            <w:tcW w:w="4819" w:type="dxa"/>
          </w:tcPr>
          <w:p>
            <w:pPr>
              <w:pStyle w:val="TableParagraph"/>
              <w:spacing w:before="37"/>
              <w:ind w:left="69" w:right="109"/>
              <w:rPr>
                <w:sz w:val="21"/>
              </w:rPr>
            </w:pPr>
            <w:r>
              <w:rPr>
                <w:sz w:val="21"/>
              </w:rPr>
              <w:t>已制定，需完善</w:t>
            </w:r>
          </w:p>
        </w:tc>
      </w:tr>
      <w:tr>
        <w:trPr>
          <w:trHeight w:val="340" w:hRule="atLeast"/>
        </w:trPr>
        <w:tc>
          <w:tcPr>
            <w:tcW w:w="581" w:type="dxa"/>
          </w:tcPr>
          <w:p>
            <w:pPr>
              <w:pStyle w:val="TableParagraph"/>
              <w:spacing w:before="51"/>
              <w:ind w:left="62"/>
              <w:rPr>
                <w:rFonts w:ascii="Times New Roman"/>
                <w:sz w:val="21"/>
              </w:rPr>
            </w:pPr>
            <w:r>
              <w:rPr>
                <w:rFonts w:ascii="Times New Roman"/>
                <w:w w:val="100"/>
                <w:sz w:val="21"/>
              </w:rPr>
              <w:t>7</w:t>
            </w:r>
          </w:p>
        </w:tc>
        <w:tc>
          <w:tcPr>
            <w:tcW w:w="3672" w:type="dxa"/>
          </w:tcPr>
          <w:p>
            <w:pPr>
              <w:pStyle w:val="TableParagraph"/>
              <w:spacing w:before="37"/>
              <w:ind w:left="31" w:right="17"/>
              <w:rPr>
                <w:sz w:val="21"/>
              </w:rPr>
            </w:pPr>
            <w:r>
              <w:rPr>
                <w:sz w:val="21"/>
              </w:rPr>
              <w:t>分区管理制度</w:t>
            </w:r>
          </w:p>
        </w:tc>
        <w:tc>
          <w:tcPr>
            <w:tcW w:w="4819" w:type="dxa"/>
          </w:tcPr>
          <w:p>
            <w:pPr>
              <w:pStyle w:val="TableParagraph"/>
              <w:spacing w:before="37"/>
              <w:ind w:left="69" w:right="109"/>
              <w:rPr>
                <w:sz w:val="21"/>
              </w:rPr>
            </w:pPr>
            <w:r>
              <w:rPr>
                <w:sz w:val="21"/>
              </w:rPr>
              <w:t>已制定，需完善</w:t>
            </w:r>
          </w:p>
        </w:tc>
      </w:tr>
      <w:tr>
        <w:trPr>
          <w:trHeight w:val="340" w:hRule="atLeast"/>
        </w:trPr>
        <w:tc>
          <w:tcPr>
            <w:tcW w:w="581" w:type="dxa"/>
          </w:tcPr>
          <w:p>
            <w:pPr>
              <w:pStyle w:val="TableParagraph"/>
              <w:spacing w:before="51"/>
              <w:ind w:left="62"/>
              <w:rPr>
                <w:rFonts w:ascii="Times New Roman"/>
                <w:sz w:val="21"/>
              </w:rPr>
            </w:pPr>
            <w:r>
              <w:rPr>
                <w:rFonts w:ascii="Times New Roman"/>
                <w:w w:val="100"/>
                <w:sz w:val="21"/>
              </w:rPr>
              <w:t>8</w:t>
            </w:r>
          </w:p>
        </w:tc>
        <w:tc>
          <w:tcPr>
            <w:tcW w:w="3672" w:type="dxa"/>
          </w:tcPr>
          <w:p>
            <w:pPr>
              <w:pStyle w:val="TableParagraph"/>
              <w:spacing w:before="37"/>
              <w:ind w:left="31" w:right="20"/>
              <w:rPr>
                <w:sz w:val="21"/>
              </w:rPr>
            </w:pPr>
            <w:r>
              <w:rPr>
                <w:sz w:val="21"/>
              </w:rPr>
              <w:t>设备运行记录及档案保存制度</w:t>
            </w:r>
          </w:p>
        </w:tc>
        <w:tc>
          <w:tcPr>
            <w:tcW w:w="4819" w:type="dxa"/>
          </w:tcPr>
          <w:p>
            <w:pPr>
              <w:pStyle w:val="TableParagraph"/>
              <w:spacing w:before="37"/>
              <w:ind w:left="69" w:right="109"/>
              <w:rPr>
                <w:sz w:val="21"/>
              </w:rPr>
            </w:pPr>
            <w:r>
              <w:rPr>
                <w:sz w:val="21"/>
              </w:rPr>
              <w:t>已制定，需完善</w:t>
            </w:r>
          </w:p>
        </w:tc>
      </w:tr>
      <w:tr>
        <w:trPr>
          <w:trHeight w:val="340" w:hRule="atLeast"/>
        </w:trPr>
        <w:tc>
          <w:tcPr>
            <w:tcW w:w="581" w:type="dxa"/>
          </w:tcPr>
          <w:p>
            <w:pPr>
              <w:pStyle w:val="TableParagraph"/>
              <w:spacing w:before="51"/>
              <w:ind w:left="62"/>
              <w:rPr>
                <w:rFonts w:ascii="Times New Roman"/>
                <w:sz w:val="21"/>
              </w:rPr>
            </w:pPr>
            <w:r>
              <w:rPr>
                <w:rFonts w:ascii="Times New Roman"/>
                <w:w w:val="100"/>
                <w:sz w:val="21"/>
              </w:rPr>
              <w:t>9</w:t>
            </w:r>
          </w:p>
        </w:tc>
        <w:tc>
          <w:tcPr>
            <w:tcW w:w="3672" w:type="dxa"/>
          </w:tcPr>
          <w:p>
            <w:pPr>
              <w:pStyle w:val="TableParagraph"/>
              <w:spacing w:before="37"/>
              <w:ind w:left="31" w:right="18"/>
              <w:rPr>
                <w:sz w:val="21"/>
              </w:rPr>
            </w:pPr>
            <w:r>
              <w:rPr>
                <w:sz w:val="21"/>
              </w:rPr>
              <w:t>质量保证大纲和质量控制检测计划</w:t>
            </w:r>
          </w:p>
        </w:tc>
        <w:tc>
          <w:tcPr>
            <w:tcW w:w="4819" w:type="dxa"/>
          </w:tcPr>
          <w:p>
            <w:pPr>
              <w:pStyle w:val="TableParagraph"/>
              <w:spacing w:before="37"/>
              <w:ind w:left="69" w:right="109"/>
              <w:rPr>
                <w:sz w:val="21"/>
              </w:rPr>
            </w:pPr>
            <w:r>
              <w:rPr>
                <w:sz w:val="21"/>
              </w:rPr>
              <w:t>已制定，需完善</w:t>
            </w:r>
          </w:p>
        </w:tc>
      </w:tr>
      <w:tr>
        <w:trPr>
          <w:trHeight w:val="340" w:hRule="atLeast"/>
        </w:trPr>
        <w:tc>
          <w:tcPr>
            <w:tcW w:w="581" w:type="dxa"/>
          </w:tcPr>
          <w:p>
            <w:pPr>
              <w:pStyle w:val="TableParagraph"/>
              <w:spacing w:before="51"/>
              <w:ind w:left="84" w:right="22"/>
              <w:rPr>
                <w:rFonts w:ascii="Times New Roman"/>
                <w:sz w:val="21"/>
              </w:rPr>
            </w:pPr>
            <w:r>
              <w:rPr>
                <w:rFonts w:ascii="Times New Roman"/>
                <w:sz w:val="21"/>
              </w:rPr>
              <w:t>10</w:t>
            </w:r>
          </w:p>
        </w:tc>
        <w:tc>
          <w:tcPr>
            <w:tcW w:w="3672" w:type="dxa"/>
          </w:tcPr>
          <w:p>
            <w:pPr>
              <w:pStyle w:val="TableParagraph"/>
              <w:spacing w:before="37"/>
              <w:ind w:left="31" w:right="20"/>
              <w:rPr>
                <w:sz w:val="21"/>
              </w:rPr>
            </w:pPr>
            <w:r>
              <w:rPr>
                <w:sz w:val="21"/>
              </w:rPr>
              <w:t>辐射安全防护设施维护维修制度</w:t>
            </w:r>
          </w:p>
        </w:tc>
        <w:tc>
          <w:tcPr>
            <w:tcW w:w="4819" w:type="dxa"/>
          </w:tcPr>
          <w:p>
            <w:pPr>
              <w:pStyle w:val="TableParagraph"/>
              <w:spacing w:before="37"/>
              <w:ind w:left="69" w:right="109"/>
              <w:rPr>
                <w:sz w:val="21"/>
              </w:rPr>
            </w:pPr>
            <w:r>
              <w:rPr>
                <w:sz w:val="21"/>
              </w:rPr>
              <w:t>已制定，需完善</w:t>
            </w:r>
          </w:p>
        </w:tc>
      </w:tr>
      <w:tr>
        <w:trPr>
          <w:trHeight w:val="340" w:hRule="atLeast"/>
        </w:trPr>
        <w:tc>
          <w:tcPr>
            <w:tcW w:w="581" w:type="dxa"/>
          </w:tcPr>
          <w:p>
            <w:pPr>
              <w:pStyle w:val="TableParagraph"/>
              <w:spacing w:before="51"/>
              <w:ind w:left="87" w:right="22"/>
              <w:rPr>
                <w:rFonts w:ascii="Times New Roman"/>
                <w:sz w:val="21"/>
              </w:rPr>
            </w:pPr>
            <w:r>
              <w:rPr>
                <w:rFonts w:ascii="Times New Roman"/>
                <w:sz w:val="21"/>
              </w:rPr>
              <w:t>11</w:t>
            </w:r>
          </w:p>
        </w:tc>
        <w:tc>
          <w:tcPr>
            <w:tcW w:w="3672" w:type="dxa"/>
          </w:tcPr>
          <w:p>
            <w:pPr>
              <w:pStyle w:val="TableParagraph"/>
              <w:spacing w:before="37"/>
              <w:ind w:left="31" w:right="18"/>
              <w:rPr>
                <w:sz w:val="21"/>
              </w:rPr>
            </w:pPr>
            <w:r>
              <w:rPr>
                <w:sz w:val="21"/>
              </w:rPr>
              <w:t>辐射工作人员培训制度</w:t>
            </w:r>
          </w:p>
        </w:tc>
        <w:tc>
          <w:tcPr>
            <w:tcW w:w="4819" w:type="dxa"/>
          </w:tcPr>
          <w:p>
            <w:pPr>
              <w:pStyle w:val="TableParagraph"/>
              <w:spacing w:before="37"/>
              <w:ind w:left="69" w:right="109"/>
              <w:rPr>
                <w:sz w:val="21"/>
              </w:rPr>
            </w:pPr>
            <w:r>
              <w:rPr>
                <w:sz w:val="21"/>
              </w:rPr>
              <w:t>已制定，需完善</w:t>
            </w:r>
          </w:p>
        </w:tc>
      </w:tr>
      <w:tr>
        <w:trPr>
          <w:trHeight w:val="935" w:hRule="atLeast"/>
        </w:trPr>
        <w:tc>
          <w:tcPr>
            <w:tcW w:w="581" w:type="dxa"/>
          </w:tcPr>
          <w:p>
            <w:pPr>
              <w:pStyle w:val="TableParagraph"/>
              <w:spacing w:before="2"/>
              <w:jc w:val="left"/>
              <w:rPr>
                <w:sz w:val="27"/>
              </w:rPr>
            </w:pPr>
          </w:p>
          <w:p>
            <w:pPr>
              <w:pStyle w:val="TableParagraph"/>
              <w:ind w:left="84" w:right="22"/>
              <w:rPr>
                <w:rFonts w:ascii="Times New Roman"/>
                <w:sz w:val="21"/>
              </w:rPr>
            </w:pPr>
            <w:r>
              <w:rPr>
                <w:rFonts w:ascii="Times New Roman"/>
                <w:sz w:val="21"/>
              </w:rPr>
              <w:t>12</w:t>
            </w:r>
          </w:p>
        </w:tc>
        <w:tc>
          <w:tcPr>
            <w:tcW w:w="3672" w:type="dxa"/>
          </w:tcPr>
          <w:p>
            <w:pPr>
              <w:pStyle w:val="TableParagraph"/>
              <w:spacing w:before="1"/>
              <w:jc w:val="left"/>
              <w:rPr>
                <w:sz w:val="26"/>
              </w:rPr>
            </w:pPr>
          </w:p>
          <w:p>
            <w:pPr>
              <w:pStyle w:val="TableParagraph"/>
              <w:ind w:left="31" w:right="20"/>
              <w:rPr>
                <w:sz w:val="21"/>
              </w:rPr>
            </w:pPr>
            <w:r>
              <w:rPr>
                <w:sz w:val="21"/>
              </w:rPr>
              <w:t>辐射工作场所和环境辐射水平监测方案</w:t>
            </w:r>
          </w:p>
        </w:tc>
        <w:tc>
          <w:tcPr>
            <w:tcW w:w="4819" w:type="dxa"/>
          </w:tcPr>
          <w:p>
            <w:pPr>
              <w:pStyle w:val="TableParagraph"/>
              <w:spacing w:line="278" w:lineRule="auto" w:before="22"/>
              <w:ind w:left="69" w:right="112"/>
              <w:rPr>
                <w:sz w:val="21"/>
              </w:rPr>
            </w:pPr>
            <w:r>
              <w:rPr>
                <w:sz w:val="21"/>
              </w:rPr>
              <w:t>已制定，监测方案需完善包含既有辐射工作场所及本项目新增场所的监测因子、监测内容、监测频次</w:t>
            </w:r>
          </w:p>
          <w:p>
            <w:pPr>
              <w:pStyle w:val="TableParagraph"/>
              <w:spacing w:line="269" w:lineRule="exact"/>
              <w:ind w:left="69" w:right="110"/>
              <w:rPr>
                <w:sz w:val="21"/>
              </w:rPr>
            </w:pPr>
            <w:r>
              <w:rPr>
                <w:sz w:val="21"/>
              </w:rPr>
              <w:t>及布点方案，参考本章辐射监测方案</w:t>
            </w:r>
          </w:p>
        </w:tc>
      </w:tr>
      <w:tr>
        <w:trPr>
          <w:trHeight w:val="1245" w:hRule="atLeast"/>
        </w:trPr>
        <w:tc>
          <w:tcPr>
            <w:tcW w:w="581" w:type="dxa"/>
            <w:tcBorders>
              <w:bottom w:val="thinThickMediumGap" w:sz="6" w:space="0" w:color="000000"/>
            </w:tcBorders>
          </w:tcPr>
          <w:p>
            <w:pPr>
              <w:pStyle w:val="TableParagraph"/>
              <w:jc w:val="left"/>
              <w:rPr>
                <w:sz w:val="22"/>
              </w:rPr>
            </w:pPr>
          </w:p>
          <w:p>
            <w:pPr>
              <w:pStyle w:val="TableParagraph"/>
              <w:spacing w:before="4"/>
              <w:jc w:val="left"/>
              <w:rPr>
                <w:sz w:val="17"/>
              </w:rPr>
            </w:pPr>
          </w:p>
          <w:p>
            <w:pPr>
              <w:pStyle w:val="TableParagraph"/>
              <w:spacing w:before="1"/>
              <w:ind w:left="84" w:right="22"/>
              <w:rPr>
                <w:rFonts w:ascii="Times New Roman"/>
                <w:sz w:val="21"/>
              </w:rPr>
            </w:pPr>
            <w:r>
              <w:rPr>
                <w:rFonts w:ascii="Times New Roman"/>
                <w:sz w:val="21"/>
              </w:rPr>
              <w:t>13</w:t>
            </w:r>
          </w:p>
        </w:tc>
        <w:tc>
          <w:tcPr>
            <w:tcW w:w="3672" w:type="dxa"/>
            <w:tcBorders>
              <w:bottom w:val="thinThickMediumGap" w:sz="6" w:space="0" w:color="000000"/>
            </w:tcBorders>
          </w:tcPr>
          <w:p>
            <w:pPr>
              <w:pStyle w:val="TableParagraph"/>
              <w:jc w:val="left"/>
              <w:rPr>
                <w:sz w:val="24"/>
              </w:rPr>
            </w:pPr>
          </w:p>
          <w:p>
            <w:pPr>
              <w:pStyle w:val="TableParagraph"/>
              <w:spacing w:before="183"/>
              <w:ind w:left="31" w:right="18"/>
              <w:rPr>
                <w:sz w:val="21"/>
              </w:rPr>
            </w:pPr>
            <w:r>
              <w:rPr>
                <w:sz w:val="21"/>
              </w:rPr>
              <w:t>辐射事故预防措施及应急处理预案</w:t>
            </w:r>
          </w:p>
        </w:tc>
        <w:tc>
          <w:tcPr>
            <w:tcW w:w="4819" w:type="dxa"/>
            <w:tcBorders>
              <w:bottom w:val="thinThickMediumGap" w:sz="6" w:space="0" w:color="000000"/>
            </w:tcBorders>
          </w:tcPr>
          <w:p>
            <w:pPr>
              <w:pStyle w:val="TableParagraph"/>
              <w:spacing w:line="278" w:lineRule="auto" w:before="22"/>
              <w:ind w:left="69" w:right="112"/>
              <w:jc w:val="both"/>
              <w:rPr>
                <w:sz w:val="21"/>
              </w:rPr>
            </w:pPr>
            <w:r>
              <w:rPr>
                <w:sz w:val="21"/>
              </w:rPr>
              <w:t>已制定，预案中应明确应急物资的准备、应急责任人员应急电话、生态环境主管部门应急电话及射线装置发生事故时的辐射事故处理等内容，需完善并</w:t>
            </w:r>
          </w:p>
          <w:p>
            <w:pPr>
              <w:pStyle w:val="TableParagraph"/>
              <w:spacing w:line="267" w:lineRule="exact"/>
              <w:ind w:left="1226"/>
              <w:jc w:val="left"/>
              <w:rPr>
                <w:sz w:val="21"/>
              </w:rPr>
            </w:pPr>
            <w:r>
              <w:rPr>
                <w:sz w:val="21"/>
              </w:rPr>
              <w:t>悬挂于辐射工作场所墙上</w:t>
            </w:r>
          </w:p>
        </w:tc>
      </w:tr>
    </w:tbl>
    <w:p>
      <w:pPr>
        <w:spacing w:after="0" w:line="267" w:lineRule="exact"/>
        <w:jc w:val="left"/>
        <w:rPr>
          <w:sz w:val="21"/>
        </w:rPr>
        <w:sectPr>
          <w:pgSz w:w="11910" w:h="16840"/>
          <w:pgMar w:header="0" w:footer="881" w:top="1220" w:bottom="1080" w:left="1480" w:right="1020"/>
        </w:sectPr>
      </w:pPr>
    </w:p>
    <w:p>
      <w:pPr>
        <w:pStyle w:val="BodyText"/>
        <w:spacing w:line="364" w:lineRule="auto" w:before="100"/>
        <w:ind w:left="272" w:right="273" w:firstLine="480"/>
        <w:jc w:val="both"/>
      </w:pPr>
      <w:r>
        <w:rPr/>
        <w:pict>
          <v:group style="position:absolute;margin-left:81.959999pt;margin-top:62.399937pt;width:454.1pt;height:703pt;mso-position-horizontal-relative:page;mso-position-vertical-relative:page;z-index:-210952" coordorigin="1639,1248" coordsize="9082,14060">
            <v:line style="position:absolute" from="1639,1253" to="10711,1253" stroked="true" strokeweight=".479999pt" strokecolor="#000000">
              <v:stroke dashstyle="solid"/>
            </v:line>
            <v:line style="position:absolute" from="1644,1258" to="1644,15307" stroked="true" strokeweight=".479999pt" strokecolor="#000000">
              <v:stroke dashstyle="solid"/>
            </v:line>
            <v:line style="position:absolute" from="1639,15302" to="10711,15302" stroked="true" strokeweight=".479965pt" strokecolor="#000000">
              <v:stroke dashstyle="solid"/>
            </v:line>
            <v:line style="position:absolute" from="10716,1248" to="10716,15307" stroked="true" strokeweight=".479966pt" strokecolor="#000000">
              <v:stroke dashstyle="solid"/>
            </v:line>
            <w10:wrap type="none"/>
          </v:group>
        </w:pict>
      </w:r>
      <w:r>
        <w:rPr>
          <w:spacing w:val="-15"/>
        </w:rPr>
        <w:t>其中《辐射工作场所安全管理要求》</w:t>
      </w:r>
      <w:r>
        <w:rPr>
          <w:spacing w:val="-16"/>
        </w:rPr>
        <w:t>、《辐射工作人员岗位职责</w:t>
      </w:r>
      <w:r>
        <w:rPr>
          <w:spacing w:val="-22"/>
        </w:rPr>
        <w:t>》《辐射工作设备操</w:t>
      </w:r>
      <w:r>
        <w:rPr>
          <w:spacing w:val="-6"/>
        </w:rPr>
        <w:t>作规程》和《辐射事故应急响应程序》应悬挂于辐射工作场所。上墙制度的内容应体</w:t>
      </w:r>
      <w:r>
        <w:rPr>
          <w:spacing w:val="-3"/>
        </w:rPr>
        <w:t>现现场操作性和实用性，字体醒目，尺寸大小应不小于 </w:t>
      </w:r>
      <w:r>
        <w:rPr>
          <w:rFonts w:ascii="Times New Roman" w:hAnsi="Times New Roman" w:eastAsia="Times New Roman"/>
        </w:rPr>
        <w:t>400mm</w:t>
      </w:r>
      <w:r>
        <w:rPr/>
        <w:t>×</w:t>
      </w:r>
      <w:r>
        <w:rPr>
          <w:rFonts w:ascii="Times New Roman" w:hAnsi="Times New Roman" w:eastAsia="Times New Roman"/>
        </w:rPr>
        <w:t>600mm</w:t>
      </w:r>
      <w:r>
        <w:rPr/>
        <w:t>。</w:t>
      </w:r>
    </w:p>
    <w:p>
      <w:pPr>
        <w:pStyle w:val="BodyText"/>
        <w:spacing w:line="364" w:lineRule="auto" w:before="2"/>
        <w:ind w:left="272" w:right="273" w:firstLine="477"/>
        <w:jc w:val="both"/>
      </w:pPr>
      <w:r>
        <w:rPr>
          <w:spacing w:val="-3"/>
        </w:rPr>
        <w:t>建设单位应根据规章制度内容认真组织实施，并且应根据国家发布的新的相关法</w:t>
      </w:r>
      <w:r>
        <w:rPr>
          <w:spacing w:val="-5"/>
        </w:rPr>
        <w:t>规内容，结合医院实际及时对各项规章制度补充修改，使之更能符合实际需要。建设单位在按照环评要求对制度、人员、场所、设施等进行补充完善后，项目符合辐射安</w:t>
      </w:r>
      <w:r>
        <w:rPr/>
        <w:t>全及环境保护要求。</w:t>
      </w:r>
    </w:p>
    <w:p>
      <w:pPr>
        <w:pStyle w:val="BodyText"/>
        <w:spacing w:before="3"/>
        <w:ind w:left="752"/>
      </w:pPr>
      <w:r>
        <w:rPr/>
        <w:t>二、档案管理</w:t>
      </w:r>
      <w:r>
        <w:rPr>
          <w:w w:val="50"/>
        </w:rPr>
        <w:t> </w:t>
      </w:r>
    </w:p>
    <w:p>
      <w:pPr>
        <w:pStyle w:val="BodyText"/>
        <w:spacing w:before="160"/>
        <w:ind w:left="749"/>
      </w:pPr>
      <w:r>
        <w:rPr/>
        <w:t>三台县中医院应建立完整的辐射安全档案。需要归档的材料应包括以下内容：</w:t>
      </w:r>
    </w:p>
    <w:p>
      <w:pPr>
        <w:pStyle w:val="ListParagraph"/>
        <w:numPr>
          <w:ilvl w:val="0"/>
          <w:numId w:val="25"/>
        </w:numPr>
        <w:tabs>
          <w:tab w:pos="1351" w:val="left" w:leader="none"/>
        </w:tabs>
        <w:spacing w:line="240" w:lineRule="auto" w:before="161" w:after="0"/>
        <w:ind w:left="1350" w:right="0" w:hanging="601"/>
        <w:jc w:val="left"/>
        <w:rPr>
          <w:sz w:val="24"/>
        </w:rPr>
      </w:pPr>
      <w:r>
        <w:rPr>
          <w:sz w:val="24"/>
        </w:rPr>
        <w:t>生态环境部门现场检查记录及整改要求落实情况。</w:t>
      </w:r>
    </w:p>
    <w:p>
      <w:pPr>
        <w:pStyle w:val="ListParagraph"/>
        <w:numPr>
          <w:ilvl w:val="0"/>
          <w:numId w:val="25"/>
        </w:numPr>
        <w:tabs>
          <w:tab w:pos="1351" w:val="left" w:leader="none"/>
        </w:tabs>
        <w:spacing w:line="240" w:lineRule="auto" w:before="160" w:after="0"/>
        <w:ind w:left="1350" w:right="0" w:hanging="601"/>
        <w:jc w:val="left"/>
        <w:rPr>
          <w:sz w:val="24"/>
        </w:rPr>
      </w:pPr>
      <w:r>
        <w:rPr>
          <w:sz w:val="24"/>
        </w:rPr>
        <w:t>设备使用期间射线装置异常情况说明以及其它需要记录的有关情况。</w:t>
      </w:r>
    </w:p>
    <w:p>
      <w:pPr>
        <w:pStyle w:val="BodyText"/>
        <w:spacing w:line="364" w:lineRule="auto" w:before="161"/>
        <w:ind w:left="272" w:right="156" w:firstLine="477"/>
      </w:pPr>
      <w:r>
        <w:rPr>
          <w:spacing w:val="-8"/>
        </w:rPr>
        <w:t>根据《四川省核技术利用辐射安全监督检查大纲</w:t>
      </w:r>
      <w:r>
        <w:rPr>
          <w:spacing w:val="-1"/>
        </w:rPr>
        <w:t>（</w:t>
      </w:r>
      <w:r>
        <w:rPr>
          <w:rFonts w:ascii="Times New Roman" w:hAnsi="Times New Roman" w:eastAsia="Times New Roman"/>
        </w:rPr>
        <w:t>201</w:t>
      </w:r>
      <w:r>
        <w:rPr>
          <w:rFonts w:ascii="Times New Roman" w:hAnsi="Times New Roman" w:eastAsia="Times New Roman"/>
          <w:spacing w:val="-1"/>
        </w:rPr>
        <w:t>6</w:t>
      </w:r>
      <w:r>
        <w:rPr>
          <w:spacing w:val="-120"/>
        </w:rPr>
        <w:t>）</w:t>
      </w:r>
      <w:r>
        <w:rPr>
          <w:spacing w:val="-9"/>
        </w:rPr>
        <w:t>》要求，档案资料应按以</w:t>
      </w:r>
      <w:r>
        <w:rPr>
          <w:spacing w:val="-24"/>
        </w:rPr>
        <w:t>下八个大类分类：“制度文件”、“环评资料”、“许可证资料”、“射线装置台账”、</w:t>
      </w:r>
    </w:p>
    <w:p>
      <w:pPr>
        <w:pStyle w:val="BodyText"/>
        <w:spacing w:line="364" w:lineRule="auto" w:before="1"/>
        <w:ind w:left="752" w:right="732" w:hanging="480"/>
      </w:pPr>
      <w:r>
        <w:rPr/>
        <w:t>“监测和检查纪录”、“个人剂量档案”、“培训档案”和“辐射应急资料”。三、年度辐射安全评估制度</w:t>
      </w:r>
      <w:r>
        <w:rPr>
          <w:w w:val="50"/>
        </w:rPr>
        <w:t> </w:t>
      </w:r>
    </w:p>
    <w:p>
      <w:pPr>
        <w:pStyle w:val="BodyText"/>
        <w:spacing w:line="364" w:lineRule="auto" w:before="1"/>
        <w:ind w:left="272" w:right="276" w:firstLine="477"/>
        <w:jc w:val="both"/>
      </w:pPr>
      <w:r>
        <w:rPr>
          <w:spacing w:val="-3"/>
        </w:rPr>
        <w:t>三台县中医院建立有年度辐射安全评估制度，并根据《四川省核技术利用单位放射性同位素与射线装置安全和防护状况年度评估报告格式》的要求，每年根据实际工</w:t>
      </w:r>
      <w:r>
        <w:rPr/>
        <w:t>作情况编制自查评估报告并上传至全国核技术利用辐射安全申报系统。</w:t>
      </w:r>
    </w:p>
    <w:p>
      <w:pPr>
        <w:pStyle w:val="BodyText"/>
        <w:spacing w:before="2"/>
        <w:ind w:left="752"/>
      </w:pPr>
      <w:r>
        <w:rPr/>
        <w:t>四、核技术利用辐射安全申报系统要求</w:t>
      </w:r>
      <w:r>
        <w:rPr>
          <w:w w:val="50"/>
        </w:rPr>
        <w:t> </w:t>
      </w:r>
    </w:p>
    <w:p>
      <w:pPr>
        <w:pStyle w:val="BodyText"/>
        <w:spacing w:line="364" w:lineRule="auto" w:before="160"/>
        <w:ind w:left="272" w:right="227" w:firstLine="477"/>
      </w:pPr>
      <w:r>
        <w:rPr/>
        <w:t>根据生态环境部信息化管理要求，辐射工作单位办理辐射安全许可证审批环保手续时需在全国核技术利用辐射安全申报系统（以下简称“申报系统”）进行网上申报</w:t>
      </w:r>
    </w:p>
    <w:p>
      <w:pPr>
        <w:pStyle w:val="BodyText"/>
        <w:spacing w:line="364" w:lineRule="auto" w:before="2"/>
        <w:ind w:left="272" w:right="276"/>
      </w:pPr>
      <w:r>
        <w:rPr/>
        <w:t>（</w:t>
      </w:r>
      <w:r>
        <w:rPr>
          <w:spacing w:val="-1"/>
        </w:rPr>
        <w:t>申报系统网址：</w:t>
      </w:r>
      <w:r>
        <w:rPr>
          <w:rFonts w:ascii="Times New Roman" w:eastAsia="Times New Roman"/>
          <w:spacing w:val="-7"/>
        </w:rPr>
        <w:t>rr.mee.gov.cn</w:t>
      </w:r>
      <w:r>
        <w:rPr>
          <w:spacing w:val="-7"/>
        </w:rPr>
        <w:t>）</w:t>
      </w:r>
      <w:r>
        <w:rPr>
          <w:spacing w:val="-6"/>
        </w:rPr>
        <w:t>凡是不进行网上申报的，纸质材料一律不予受理。用</w:t>
      </w:r>
      <w:r>
        <w:rPr/>
        <w:t>户可在该申报系统中办理如下事项：</w:t>
      </w:r>
    </w:p>
    <w:p>
      <w:pPr>
        <w:pStyle w:val="ListParagraph"/>
        <w:numPr>
          <w:ilvl w:val="0"/>
          <w:numId w:val="26"/>
        </w:numPr>
        <w:tabs>
          <w:tab w:pos="1351" w:val="left" w:leader="none"/>
        </w:tabs>
        <w:spacing w:line="240" w:lineRule="auto" w:before="1" w:after="0"/>
        <w:ind w:left="1350" w:right="0" w:hanging="601"/>
        <w:jc w:val="left"/>
        <w:rPr>
          <w:sz w:val="24"/>
        </w:rPr>
      </w:pPr>
      <w:r>
        <w:rPr>
          <w:sz w:val="24"/>
        </w:rPr>
        <w:t>许可证相关申请：许可证申请（及重新申请</w:t>
      </w:r>
      <w:r>
        <w:rPr>
          <w:spacing w:val="-120"/>
          <w:sz w:val="24"/>
        </w:rPr>
        <w:t>）</w:t>
      </w:r>
      <w:r>
        <w:rPr>
          <w:sz w:val="24"/>
        </w:rPr>
        <w:t>、延续、变更、注销；</w:t>
      </w:r>
    </w:p>
    <w:p>
      <w:pPr>
        <w:pStyle w:val="ListParagraph"/>
        <w:numPr>
          <w:ilvl w:val="0"/>
          <w:numId w:val="26"/>
        </w:numPr>
        <w:tabs>
          <w:tab w:pos="1351" w:val="left" w:leader="none"/>
        </w:tabs>
        <w:spacing w:line="240" w:lineRule="auto" w:before="160" w:after="0"/>
        <w:ind w:left="1350" w:right="0" w:hanging="601"/>
        <w:jc w:val="left"/>
        <w:rPr>
          <w:sz w:val="24"/>
        </w:rPr>
      </w:pPr>
      <w:r>
        <w:rPr>
          <w:sz w:val="24"/>
        </w:rPr>
        <w:t>放射源相关申请：转让、异地使用、进口、出口；</w:t>
      </w:r>
    </w:p>
    <w:p>
      <w:pPr>
        <w:pStyle w:val="ListParagraph"/>
        <w:numPr>
          <w:ilvl w:val="0"/>
          <w:numId w:val="26"/>
        </w:numPr>
        <w:tabs>
          <w:tab w:pos="1351" w:val="left" w:leader="none"/>
        </w:tabs>
        <w:spacing w:line="240" w:lineRule="auto" w:before="161" w:after="0"/>
        <w:ind w:left="1350" w:right="0" w:hanging="601"/>
        <w:jc w:val="left"/>
        <w:rPr>
          <w:sz w:val="24"/>
        </w:rPr>
      </w:pPr>
      <w:r>
        <w:rPr>
          <w:sz w:val="24"/>
        </w:rPr>
        <w:t>非密封放射性物质相关申请：转让、异地使用、进口、出口；</w:t>
      </w:r>
    </w:p>
    <w:p>
      <w:pPr>
        <w:pStyle w:val="ListParagraph"/>
        <w:numPr>
          <w:ilvl w:val="0"/>
          <w:numId w:val="26"/>
        </w:numPr>
        <w:tabs>
          <w:tab w:pos="1351" w:val="left" w:leader="none"/>
        </w:tabs>
        <w:spacing w:line="240" w:lineRule="auto" w:before="160" w:after="0"/>
        <w:ind w:left="1350" w:right="0" w:hanging="601"/>
        <w:jc w:val="left"/>
        <w:rPr>
          <w:sz w:val="24"/>
        </w:rPr>
      </w:pPr>
      <w:r>
        <w:rPr>
          <w:sz w:val="24"/>
        </w:rPr>
        <w:t>射线装置相关申请：转让、异地使用、进口、出口。</w:t>
      </w:r>
    </w:p>
    <w:p>
      <w:pPr>
        <w:pStyle w:val="BodyText"/>
        <w:spacing w:line="364" w:lineRule="auto" w:before="161"/>
        <w:ind w:left="272" w:right="158" w:firstLine="477"/>
      </w:pPr>
      <w:r>
        <w:rPr>
          <w:spacing w:val="-9"/>
        </w:rPr>
        <w:t>辐射工作单位网上申请提交成功后，应通过网上在线打印业务表单，并盖章确认， </w:t>
      </w:r>
      <w:r>
        <w:rPr/>
        <w:t>再按相关程序提交到生态环境部门办理。</w:t>
      </w:r>
    </w:p>
    <w:p>
      <w:pPr>
        <w:spacing w:after="0" w:line="364" w:lineRule="auto"/>
        <w:sectPr>
          <w:pgSz w:w="11910" w:h="16840"/>
          <w:pgMar w:header="0" w:footer="881" w:top="1220" w:bottom="1080" w:left="1480" w:right="1020"/>
        </w:sectPr>
      </w:pPr>
    </w:p>
    <w:p>
      <w:pPr>
        <w:pStyle w:val="Heading1"/>
        <w:spacing w:before="152"/>
        <w:ind w:left="262"/>
      </w:pPr>
      <w:r>
        <w:rPr/>
        <w:pict>
          <v:group style="position:absolute;margin-left:81.959999pt;margin-top:62.399937pt;width:454.1pt;height:710.8pt;mso-position-horizontal-relative:page;mso-position-vertical-relative:page;z-index:-210928" coordorigin="1639,1248" coordsize="9082,14216">
            <v:line style="position:absolute" from="1639,1253" to="10711,1253" stroked="true" strokeweight=".479999pt" strokecolor="#000000">
              <v:stroke dashstyle="solid"/>
            </v:line>
            <v:line style="position:absolute" from="1644,1258" to="1644,15463" stroked="true" strokeweight=".479999pt" strokecolor="#000000">
              <v:stroke dashstyle="solid"/>
            </v:line>
            <v:line style="position:absolute" from="1639,15458" to="10711,15458" stroked="true" strokeweight=".480011pt" strokecolor="#000000">
              <v:stroke dashstyle="solid"/>
            </v:line>
            <v:line style="position:absolute" from="10716,1248" to="10716,15463" stroked="true" strokeweight=".479966pt" strokecolor="#000000">
              <v:stroke dashstyle="solid"/>
            </v:line>
            <w10:wrap type="none"/>
          </v:group>
        </w:pict>
      </w:r>
      <w:r>
        <w:rPr/>
        <w:t>辐射监测</w:t>
      </w:r>
      <w:r>
        <w:rPr>
          <w:w w:val="50"/>
        </w:rPr>
        <w:t> </w:t>
      </w:r>
    </w:p>
    <w:p>
      <w:pPr>
        <w:pStyle w:val="BodyText"/>
        <w:spacing w:line="364" w:lineRule="auto" w:before="214"/>
        <w:ind w:left="272" w:right="252" w:firstLine="480"/>
        <w:jc w:val="both"/>
      </w:pPr>
      <w:r>
        <w:rPr>
          <w:spacing w:val="-2"/>
        </w:rPr>
        <w:t>为了保证本项目运行过程的安全，为控制和评价辐射危害，设置了相应的辐射剂</w:t>
      </w:r>
      <w:r>
        <w:rPr>
          <w:spacing w:val="-6"/>
        </w:rPr>
        <w:t>量监测手段，使工作人员和公众所受照射尽可能低。根据《电离辐射防护与辐射源安</w:t>
      </w:r>
      <w:r>
        <w:rPr>
          <w:spacing w:val="-25"/>
        </w:rPr>
        <w:t>全基本标准》</w:t>
      </w:r>
      <w:r>
        <w:rPr/>
        <w:t>（</w:t>
      </w:r>
      <w:r>
        <w:rPr>
          <w:rFonts w:ascii="Times New Roman" w:eastAsia="Times New Roman"/>
        </w:rPr>
        <w:t>GB18871-2002</w:t>
      </w:r>
      <w:r>
        <w:rPr/>
        <w:t>）</w:t>
      </w:r>
      <w:r>
        <w:rPr>
          <w:spacing w:val="-10"/>
        </w:rPr>
        <w:t>和《辐射环境监测技术规范》</w:t>
      </w:r>
      <w:r>
        <w:rPr/>
        <w:t>（</w:t>
      </w:r>
      <w:r>
        <w:rPr>
          <w:rFonts w:ascii="Times New Roman" w:eastAsia="Times New Roman"/>
        </w:rPr>
        <w:t>HJ 61-2021</w:t>
      </w:r>
      <w:r>
        <w:rPr/>
        <w:t>）中的相关</w:t>
      </w:r>
      <w:r>
        <w:rPr>
          <w:spacing w:val="-1"/>
        </w:rPr>
        <w:t>规定，本项目监测和检查内容包括：个人剂量监测、工作场所监测和工作场所检查。</w:t>
      </w:r>
    </w:p>
    <w:p>
      <w:pPr>
        <w:pStyle w:val="BodyText"/>
        <w:spacing w:before="2"/>
        <w:ind w:left="754"/>
      </w:pPr>
      <w:r>
        <w:rPr/>
        <w:t>一、个人剂量监测</w:t>
      </w:r>
      <w:r>
        <w:rPr>
          <w:w w:val="50"/>
        </w:rPr>
        <w:t> </w:t>
      </w:r>
    </w:p>
    <w:p>
      <w:pPr>
        <w:pStyle w:val="BodyText"/>
        <w:spacing w:before="161"/>
        <w:ind w:left="754"/>
      </w:pPr>
      <w:r>
        <w:rPr/>
        <w:t>1、个人剂量监测管理要求</w:t>
      </w:r>
      <w:r>
        <w:rPr>
          <w:w w:val="50"/>
        </w:rPr>
        <w:t> </w:t>
      </w:r>
    </w:p>
    <w:p>
      <w:pPr>
        <w:pStyle w:val="BodyText"/>
        <w:spacing w:line="364" w:lineRule="auto" w:before="160"/>
        <w:ind w:left="272" w:right="252" w:firstLine="480"/>
      </w:pPr>
      <w:r>
        <w:rPr>
          <w:spacing w:val="-1"/>
        </w:rPr>
        <w:t>辐射工作人员均配有个人剂量计，并要求在开展工作期间必须佩戴个人剂量计。</w:t>
      </w:r>
      <w:r>
        <w:rPr>
          <w:spacing w:val="-8"/>
        </w:rPr>
        <w:t>医院应按每季度 </w:t>
      </w:r>
      <w:r>
        <w:rPr>
          <w:rFonts w:ascii="Times New Roman" w:eastAsia="Times New Roman"/>
        </w:rPr>
        <w:t>1 </w:t>
      </w:r>
      <w:r>
        <w:rPr>
          <w:spacing w:val="-8"/>
        </w:rPr>
        <w:t>次</w:t>
      </w:r>
      <w:r>
        <w:rPr/>
        <w:t>（</w:t>
      </w:r>
      <w:r>
        <w:rPr>
          <w:spacing w:val="-21"/>
        </w:rPr>
        <w:t>一年 </w:t>
      </w:r>
      <w:r>
        <w:rPr>
          <w:rFonts w:ascii="Times New Roman" w:eastAsia="Times New Roman"/>
        </w:rPr>
        <w:t>4 </w:t>
      </w:r>
      <w:r>
        <w:rPr/>
        <w:t>次</w:t>
      </w:r>
      <w:r>
        <w:rPr>
          <w:spacing w:val="-8"/>
        </w:rPr>
        <w:t>）</w:t>
      </w:r>
      <w:r>
        <w:rPr>
          <w:spacing w:val="-1"/>
        </w:rPr>
        <w:t>的频率组织辐射工作人员进行个人剂量检测，并按</w:t>
      </w:r>
    </w:p>
    <w:p>
      <w:pPr>
        <w:pStyle w:val="BodyText"/>
        <w:spacing w:line="364" w:lineRule="auto" w:before="1"/>
        <w:ind w:left="272" w:right="276"/>
      </w:pPr>
      <w:r>
        <w:rPr/>
        <w:t>《职业性外照射个人监测规范</w:t>
      </w:r>
      <w:r>
        <w:rPr>
          <w:spacing w:val="-154"/>
        </w:rPr>
        <w:t>》</w:t>
      </w:r>
      <w:r>
        <w:rPr>
          <w:spacing w:val="-3"/>
        </w:rPr>
        <w:t>（</w:t>
      </w:r>
      <w:r>
        <w:rPr>
          <w:rFonts w:ascii="Times New Roman" w:hAnsi="Times New Roman" w:eastAsia="Times New Roman"/>
          <w:spacing w:val="-3"/>
        </w:rPr>
        <w:t>GBZ128‐2019</w:t>
      </w:r>
      <w:r>
        <w:rPr>
          <w:spacing w:val="-3"/>
        </w:rPr>
        <w:t>）</w:t>
      </w:r>
      <w:r>
        <w:rPr>
          <w:spacing w:val="-7"/>
        </w:rPr>
        <w:t>等要求，建立辐射工作人员个人剂量</w:t>
      </w:r>
      <w:r>
        <w:rPr/>
        <w:t>档案，将监测结果记录到个人剂量档案中。</w:t>
      </w:r>
    </w:p>
    <w:p>
      <w:pPr>
        <w:pStyle w:val="BodyText"/>
        <w:spacing w:before="2"/>
        <w:ind w:left="754"/>
      </w:pPr>
      <w:r>
        <w:rPr/>
        <w:t>2、医院个人剂量监测现状</w:t>
      </w:r>
    </w:p>
    <w:p>
      <w:pPr>
        <w:pStyle w:val="BodyText"/>
        <w:spacing w:line="364" w:lineRule="auto" w:before="160"/>
        <w:ind w:left="272" w:right="228" w:firstLine="480"/>
      </w:pPr>
      <w:r>
        <w:rPr/>
        <w:t>本项目配置 </w:t>
      </w:r>
      <w:r>
        <w:rPr>
          <w:rFonts w:ascii="Times New Roman" w:eastAsia="Times New Roman"/>
        </w:rPr>
        <w:t>5 </w:t>
      </w:r>
      <w:r>
        <w:rPr/>
        <w:t>名辐射工作人员，其中为 </w:t>
      </w:r>
      <w:r>
        <w:rPr>
          <w:rFonts w:ascii="Times New Roman" w:eastAsia="Times New Roman"/>
        </w:rPr>
        <w:t>2 </w:t>
      </w:r>
      <w:r>
        <w:rPr/>
        <w:t>名医师，</w:t>
      </w:r>
      <w:r>
        <w:rPr>
          <w:rFonts w:ascii="Times New Roman" w:eastAsia="Times New Roman"/>
        </w:rPr>
        <w:t>2 </w:t>
      </w:r>
      <w:r>
        <w:rPr/>
        <w:t>名技师，</w:t>
      </w:r>
      <w:r>
        <w:rPr>
          <w:rFonts w:ascii="Times New Roman" w:eastAsia="Times New Roman"/>
        </w:rPr>
        <w:t>1 </w:t>
      </w:r>
      <w:r>
        <w:rPr/>
        <w:t>名护士，个人剂量计每人 </w:t>
      </w:r>
      <w:r>
        <w:rPr>
          <w:rFonts w:ascii="Times New Roman" w:eastAsia="Times New Roman"/>
        </w:rPr>
        <w:t>1 </w:t>
      </w:r>
      <w:r>
        <w:rPr/>
        <w:t>套，介入手术医生和护士每人 </w:t>
      </w:r>
      <w:r>
        <w:rPr>
          <w:rFonts w:ascii="Times New Roman" w:eastAsia="Times New Roman"/>
        </w:rPr>
        <w:t>2 </w:t>
      </w:r>
      <w:r>
        <w:rPr/>
        <w:t>套。</w:t>
      </w:r>
    </w:p>
    <w:p>
      <w:pPr>
        <w:pStyle w:val="BodyText"/>
        <w:spacing w:line="364" w:lineRule="auto" w:before="1"/>
        <w:ind w:left="272" w:right="276" w:firstLine="480"/>
      </w:pPr>
      <w:r>
        <w:rPr>
          <w:spacing w:val="-5"/>
        </w:rPr>
        <w:t>医院目前共有辐射工作人员 </w:t>
      </w:r>
      <w:r>
        <w:rPr>
          <w:rFonts w:ascii="Times New Roman" w:eastAsia="Times New Roman"/>
        </w:rPr>
        <w:t>48 </w:t>
      </w:r>
      <w:r>
        <w:rPr>
          <w:spacing w:val="-17"/>
        </w:rPr>
        <w:t>名，仅有 </w:t>
      </w:r>
      <w:r>
        <w:rPr>
          <w:rFonts w:ascii="Times New Roman" w:eastAsia="Times New Roman"/>
        </w:rPr>
        <w:t>18 </w:t>
      </w:r>
      <w:r>
        <w:rPr>
          <w:spacing w:val="-1"/>
        </w:rPr>
        <w:t>名辐射工作人员已参加辐射安全与防</w:t>
      </w:r>
      <w:r>
        <w:rPr/>
        <w:t>护培训并均已取得辐射安全培训合格证书并持证上岗。</w:t>
      </w:r>
    </w:p>
    <w:p>
      <w:pPr>
        <w:pStyle w:val="BodyText"/>
        <w:spacing w:line="364" w:lineRule="auto" w:before="1"/>
        <w:ind w:left="272" w:right="271" w:firstLine="480"/>
      </w:pPr>
      <w:r>
        <w:rPr>
          <w:spacing w:val="3"/>
        </w:rPr>
        <w:t>医院已委托四川泰安生科技咨询有限公司对医院所有辐射工作人员进行了个人剂量监测（</w:t>
      </w:r>
      <w:r>
        <w:rPr>
          <w:spacing w:val="-13"/>
        </w:rPr>
        <w:t>见附件 </w:t>
      </w:r>
      <w:r>
        <w:rPr>
          <w:rFonts w:ascii="Times New Roman" w:eastAsia="Times New Roman"/>
        </w:rPr>
        <w:t>6</w:t>
      </w:r>
      <w:r>
        <w:rPr>
          <w:spacing w:val="-120"/>
        </w:rPr>
        <w:t>）</w:t>
      </w:r>
      <w:r>
        <w:rPr/>
        <w:t>。</w:t>
      </w:r>
    </w:p>
    <w:p>
      <w:pPr>
        <w:pStyle w:val="BodyText"/>
        <w:spacing w:before="2"/>
        <w:ind w:left="752"/>
      </w:pPr>
      <w:r>
        <w:rPr/>
        <w:t>为进一步保证辐射工作人员身体健康及人员安全，医院应切实做好以下工作：</w:t>
      </w:r>
    </w:p>
    <w:p>
      <w:pPr>
        <w:pStyle w:val="ListParagraph"/>
        <w:numPr>
          <w:ilvl w:val="0"/>
          <w:numId w:val="27"/>
        </w:numPr>
        <w:tabs>
          <w:tab w:pos="1353" w:val="left" w:leader="none"/>
        </w:tabs>
        <w:spacing w:line="364" w:lineRule="auto" w:before="160" w:after="0"/>
        <w:ind w:left="272" w:right="252" w:firstLine="480"/>
        <w:jc w:val="left"/>
        <w:rPr>
          <w:sz w:val="24"/>
        </w:rPr>
      </w:pPr>
      <w:r>
        <w:rPr>
          <w:spacing w:val="-8"/>
          <w:sz w:val="24"/>
        </w:rPr>
        <w:t>医院应规范操作，加强对辐射工作人员工作期间个人剂量计的管理，上岗期间辐射工作人员必须按规定正确佩戴个人剂量计，离岗期间个人剂量计应统一保管</w:t>
      </w:r>
      <w:r>
        <w:rPr>
          <w:spacing w:val="-18"/>
          <w:sz w:val="24"/>
        </w:rPr>
        <w:t>；</w:t>
      </w:r>
    </w:p>
    <w:p>
      <w:pPr>
        <w:pStyle w:val="ListParagraph"/>
        <w:numPr>
          <w:ilvl w:val="0"/>
          <w:numId w:val="27"/>
        </w:numPr>
        <w:tabs>
          <w:tab w:pos="1353" w:val="left" w:leader="none"/>
        </w:tabs>
        <w:spacing w:line="364" w:lineRule="auto" w:before="1" w:after="0"/>
        <w:ind w:left="272" w:right="276" w:firstLine="480"/>
        <w:jc w:val="both"/>
        <w:rPr>
          <w:sz w:val="24"/>
        </w:rPr>
      </w:pPr>
      <w:r>
        <w:rPr>
          <w:spacing w:val="-5"/>
          <w:sz w:val="24"/>
        </w:rPr>
        <w:t>应当安排专人负责个人剂量监测管理，建立辐射工作人员个人剂量档案， </w:t>
      </w:r>
      <w:r>
        <w:rPr>
          <w:spacing w:val="-7"/>
          <w:sz w:val="24"/>
        </w:rPr>
        <w:t>辐射工作人员个人剂量档案内容应当包括个人基本信息、工作岗位、剂量监测结果等</w:t>
      </w:r>
      <w:r>
        <w:rPr>
          <w:spacing w:val="-5"/>
          <w:sz w:val="24"/>
        </w:rPr>
        <w:t>材料。医院应当将辐射工作人员的个人剂量档案终生保存；</w:t>
      </w:r>
    </w:p>
    <w:p>
      <w:pPr>
        <w:pStyle w:val="ListParagraph"/>
        <w:numPr>
          <w:ilvl w:val="0"/>
          <w:numId w:val="27"/>
        </w:numPr>
        <w:tabs>
          <w:tab w:pos="1353" w:val="left" w:leader="none"/>
        </w:tabs>
        <w:spacing w:line="364" w:lineRule="auto" w:before="2" w:after="0"/>
        <w:ind w:left="272" w:right="276" w:firstLine="480"/>
        <w:jc w:val="left"/>
        <w:rPr>
          <w:sz w:val="24"/>
        </w:rPr>
      </w:pPr>
      <w:r>
        <w:rPr>
          <w:spacing w:val="-5"/>
          <w:sz w:val="24"/>
        </w:rPr>
        <w:t>合理安排辐射工作人员的操作时间，避免单个辐射工作人员累计长时间进行辐射工作；</w:t>
      </w:r>
    </w:p>
    <w:p>
      <w:pPr>
        <w:pStyle w:val="ListParagraph"/>
        <w:numPr>
          <w:ilvl w:val="0"/>
          <w:numId w:val="27"/>
        </w:numPr>
        <w:tabs>
          <w:tab w:pos="1353" w:val="left" w:leader="none"/>
        </w:tabs>
        <w:spacing w:line="364" w:lineRule="auto" w:before="1" w:after="0"/>
        <w:ind w:left="754" w:right="3012" w:hanging="2"/>
        <w:jc w:val="left"/>
        <w:rPr>
          <w:sz w:val="24"/>
        </w:rPr>
      </w:pPr>
      <w:r>
        <w:rPr>
          <w:spacing w:val="-1"/>
          <w:sz w:val="24"/>
        </w:rPr>
        <w:t>加强辐射工作人员工作期间个人防护措施管理。</w:t>
      </w:r>
      <w:r>
        <w:rPr>
          <w:sz w:val="24"/>
        </w:rPr>
        <w:t>二、工作场所及环境监测</w:t>
      </w:r>
    </w:p>
    <w:p>
      <w:pPr>
        <w:pStyle w:val="BodyText"/>
        <w:spacing w:before="2"/>
        <w:ind w:left="754"/>
      </w:pPr>
      <w:r>
        <w:rPr/>
        <w:t>1、年度监测</w:t>
      </w:r>
      <w:r>
        <w:rPr>
          <w:w w:val="50"/>
        </w:rPr>
        <w:t> </w:t>
      </w:r>
    </w:p>
    <w:p>
      <w:pPr>
        <w:pStyle w:val="BodyText"/>
        <w:spacing w:before="160"/>
        <w:ind w:left="752"/>
      </w:pPr>
      <w:r>
        <w:rPr/>
        <w:t>根据《放射性同位素与射线装置安全和防护管理办法》和《四川省核技术利用辐</w:t>
      </w:r>
    </w:p>
    <w:p>
      <w:pPr>
        <w:spacing w:after="0"/>
        <w:sectPr>
          <w:pgSz w:w="11910" w:h="16840"/>
          <w:pgMar w:header="0" w:footer="881" w:top="1220" w:bottom="116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3"/>
        <w:gridCol w:w="1416"/>
        <w:gridCol w:w="3946"/>
        <w:gridCol w:w="2158"/>
      </w:tblGrid>
      <w:tr>
        <w:trPr>
          <w:trHeight w:val="7799" w:hRule="atLeast"/>
        </w:trPr>
        <w:tc>
          <w:tcPr>
            <w:tcW w:w="9073" w:type="dxa"/>
            <w:gridSpan w:val="4"/>
            <w:tcBorders>
              <w:bottom w:val="single" w:sz="12" w:space="0" w:color="000000"/>
            </w:tcBorders>
          </w:tcPr>
          <w:p>
            <w:pPr>
              <w:pStyle w:val="TableParagraph"/>
              <w:spacing w:before="81"/>
              <w:ind w:left="107"/>
              <w:jc w:val="left"/>
              <w:rPr>
                <w:sz w:val="24"/>
              </w:rPr>
            </w:pPr>
            <w:r>
              <w:rPr>
                <w:sz w:val="24"/>
              </w:rPr>
              <w:t>射安全监督检查大纲（</w:t>
            </w:r>
            <w:r>
              <w:rPr>
                <w:rFonts w:ascii="Times New Roman" w:eastAsia="Times New Roman"/>
                <w:sz w:val="24"/>
              </w:rPr>
              <w:t>2016</w:t>
            </w:r>
            <w:r>
              <w:rPr>
                <w:sz w:val="24"/>
              </w:rPr>
              <w:t>）》的要求，</w:t>
            </w:r>
          </w:p>
          <w:p>
            <w:pPr>
              <w:pStyle w:val="TableParagraph"/>
              <w:spacing w:line="364" w:lineRule="auto" w:before="161"/>
              <w:ind w:left="107" w:right="5" w:firstLine="480"/>
              <w:jc w:val="left"/>
              <w:rPr>
                <w:sz w:val="24"/>
              </w:rPr>
            </w:pPr>
            <w:r>
              <w:rPr>
                <w:spacing w:val="-2"/>
                <w:sz w:val="24"/>
              </w:rPr>
              <w:t>医院应委托有资质的单位对辐射工作场所的剂量进行监测，监测周期为 </w:t>
            </w:r>
            <w:r>
              <w:rPr>
                <w:rFonts w:ascii="Times New Roman" w:eastAsia="Times New Roman"/>
                <w:sz w:val="24"/>
              </w:rPr>
              <w:t>1 </w:t>
            </w:r>
            <w:r>
              <w:rPr>
                <w:sz w:val="24"/>
              </w:rPr>
              <w:t>次</w:t>
            </w:r>
            <w:r>
              <w:rPr>
                <w:rFonts w:ascii="Times New Roman" w:eastAsia="Times New Roman"/>
                <w:sz w:val="24"/>
              </w:rPr>
              <w:t>/</w:t>
            </w:r>
            <w:r>
              <w:rPr>
                <w:spacing w:val="-8"/>
                <w:sz w:val="24"/>
              </w:rPr>
              <w:t>年； </w:t>
            </w:r>
            <w:r>
              <w:rPr>
                <w:spacing w:val="-3"/>
                <w:sz w:val="24"/>
              </w:rPr>
              <w:t>年度监测报告应作为《安全和防护状况年度评估报告》的重要组成内容一并上传至全国核技术利用辐射安全申报系统。</w:t>
            </w:r>
          </w:p>
          <w:p>
            <w:pPr>
              <w:pStyle w:val="TableParagraph"/>
              <w:spacing w:line="364" w:lineRule="auto" w:before="1"/>
              <w:ind w:left="107" w:right="94" w:firstLine="480"/>
              <w:jc w:val="both"/>
              <w:rPr>
                <w:sz w:val="24"/>
              </w:rPr>
            </w:pPr>
            <w:r>
              <w:rPr>
                <w:spacing w:val="-1"/>
                <w:sz w:val="24"/>
              </w:rPr>
              <w:t>三台县中医院委托浙江君安检测技术有限公司开展了 </w:t>
            </w:r>
            <w:r>
              <w:rPr>
                <w:rFonts w:ascii="Times New Roman" w:hAnsi="Times New Roman" w:eastAsia="Times New Roman"/>
                <w:sz w:val="24"/>
              </w:rPr>
              <w:t>2021 </w:t>
            </w:r>
            <w:r>
              <w:rPr>
                <w:spacing w:val="-2"/>
                <w:sz w:val="24"/>
              </w:rPr>
              <w:t>年度辐射环境现状监</w:t>
            </w:r>
            <w:r>
              <w:rPr>
                <w:spacing w:val="-22"/>
                <w:sz w:val="24"/>
              </w:rPr>
              <w:t>测</w:t>
            </w:r>
            <w:r>
              <w:rPr>
                <w:sz w:val="24"/>
              </w:rPr>
              <w:t>（</w:t>
            </w:r>
            <w:r>
              <w:rPr>
                <w:spacing w:val="-16"/>
                <w:sz w:val="24"/>
              </w:rPr>
              <w:t>见附件 </w:t>
            </w:r>
            <w:r>
              <w:rPr>
                <w:rFonts w:ascii="Times New Roman" w:hAnsi="Times New Roman" w:eastAsia="Times New Roman"/>
                <w:sz w:val="24"/>
              </w:rPr>
              <w:t>7</w:t>
            </w:r>
            <w:r>
              <w:rPr>
                <w:spacing w:val="-120"/>
                <w:sz w:val="24"/>
              </w:rPr>
              <w:t>）</w:t>
            </w:r>
            <w:r>
              <w:rPr>
                <w:spacing w:val="-9"/>
                <w:sz w:val="24"/>
              </w:rPr>
              <w:t>。根据检测报告的检测结果可知，医院在用的射线装置正常工作时，其</w:t>
            </w:r>
            <w:r>
              <w:rPr>
                <w:spacing w:val="-7"/>
                <w:sz w:val="24"/>
              </w:rPr>
              <w:t>操作位和周围环境的 </w:t>
            </w:r>
            <w:r>
              <w:rPr>
                <w:rFonts w:ascii="Times New Roman" w:hAnsi="Times New Roman" w:eastAsia="Times New Roman"/>
                <w:sz w:val="24"/>
              </w:rPr>
              <w:t>X-γ </w:t>
            </w:r>
            <w:r>
              <w:rPr>
                <w:spacing w:val="-5"/>
                <w:sz w:val="24"/>
              </w:rPr>
              <w:t>射线空气吸收剂量率均低于 </w:t>
            </w:r>
            <w:r>
              <w:rPr>
                <w:rFonts w:ascii="Times New Roman" w:hAnsi="Times New Roman" w:eastAsia="Times New Roman"/>
                <w:sz w:val="24"/>
              </w:rPr>
              <w:t>2.5µSv/h</w:t>
            </w:r>
            <w:r>
              <w:rPr>
                <w:spacing w:val="-3"/>
                <w:sz w:val="24"/>
              </w:rPr>
              <w:t>，均满足《放射诊断放</w:t>
            </w:r>
            <w:r>
              <w:rPr>
                <w:sz w:val="24"/>
              </w:rPr>
              <w:t>射防护要求》（</w:t>
            </w:r>
            <w:r>
              <w:rPr>
                <w:rFonts w:ascii="Times New Roman" w:hAnsi="Times New Roman" w:eastAsia="Times New Roman"/>
                <w:sz w:val="24"/>
              </w:rPr>
              <w:t>GBZ130-2020</w:t>
            </w:r>
            <w:r>
              <w:rPr>
                <w:sz w:val="24"/>
              </w:rPr>
              <w:t>）等标准要求。</w:t>
            </w:r>
          </w:p>
          <w:p>
            <w:pPr>
              <w:pStyle w:val="TableParagraph"/>
              <w:spacing w:before="3"/>
              <w:ind w:left="590"/>
              <w:jc w:val="left"/>
              <w:rPr>
                <w:sz w:val="24"/>
              </w:rPr>
            </w:pPr>
            <w:r>
              <w:rPr>
                <w:sz w:val="24"/>
              </w:rPr>
              <w:t>2、日常自我监测</w:t>
            </w:r>
            <w:r>
              <w:rPr>
                <w:w w:val="50"/>
                <w:sz w:val="24"/>
              </w:rPr>
              <w:t> </w:t>
            </w:r>
          </w:p>
          <w:p>
            <w:pPr>
              <w:pStyle w:val="TableParagraph"/>
              <w:spacing w:line="364" w:lineRule="auto" w:before="160"/>
              <w:ind w:left="107" w:right="96" w:firstLine="480"/>
              <w:jc w:val="both"/>
              <w:rPr>
                <w:sz w:val="24"/>
              </w:rPr>
            </w:pPr>
            <w:r>
              <w:rPr>
                <w:spacing w:val="-13"/>
                <w:sz w:val="24"/>
              </w:rPr>
              <w:t>定期自行监测</w:t>
            </w:r>
            <w:r>
              <w:rPr>
                <w:sz w:val="24"/>
              </w:rPr>
              <w:t>（也可委托有资质的单位进行自行监测</w:t>
            </w:r>
            <w:r>
              <w:rPr>
                <w:spacing w:val="-96"/>
                <w:sz w:val="24"/>
              </w:rPr>
              <w:t>）</w:t>
            </w:r>
            <w:r>
              <w:rPr>
                <w:spacing w:val="-12"/>
                <w:sz w:val="24"/>
              </w:rPr>
              <w:t>，制定各工作场所的定期自</w:t>
            </w:r>
            <w:r>
              <w:rPr>
                <w:sz w:val="24"/>
              </w:rPr>
              <w:t>行监测制度，监测数据应存档备案，监测周期为 </w:t>
            </w:r>
            <w:r>
              <w:rPr>
                <w:rFonts w:ascii="Times New Roman" w:eastAsia="Times New Roman"/>
                <w:sz w:val="24"/>
              </w:rPr>
              <w:t>1 </w:t>
            </w:r>
            <w:r>
              <w:rPr>
                <w:sz w:val="24"/>
              </w:rPr>
              <w:t>次</w:t>
            </w:r>
            <w:r>
              <w:rPr>
                <w:rFonts w:ascii="Times New Roman" w:eastAsia="Times New Roman"/>
                <w:sz w:val="24"/>
              </w:rPr>
              <w:t>/</w:t>
            </w:r>
            <w:r>
              <w:rPr>
                <w:sz w:val="24"/>
              </w:rPr>
              <w:t>月。在射线装置大修后监测一次，监测数据应存档备查</w:t>
            </w:r>
            <w:r>
              <w:rPr>
                <w:color w:val="FF0000"/>
                <w:sz w:val="24"/>
              </w:rPr>
              <w:t>。</w:t>
            </w:r>
          </w:p>
          <w:p>
            <w:pPr>
              <w:pStyle w:val="TableParagraph"/>
              <w:spacing w:before="2"/>
              <w:ind w:left="590"/>
              <w:jc w:val="left"/>
              <w:rPr>
                <w:sz w:val="24"/>
              </w:rPr>
            </w:pPr>
            <w:r>
              <w:rPr>
                <w:sz w:val="24"/>
              </w:rPr>
              <w:t>3、监测内容和要求</w:t>
            </w:r>
          </w:p>
          <w:p>
            <w:pPr>
              <w:pStyle w:val="TableParagraph"/>
              <w:numPr>
                <w:ilvl w:val="0"/>
                <w:numId w:val="28"/>
              </w:numPr>
              <w:tabs>
                <w:tab w:pos="1189" w:val="left" w:leader="none"/>
              </w:tabs>
              <w:spacing w:line="240" w:lineRule="auto" w:before="161" w:after="0"/>
              <w:ind w:left="1188" w:right="0" w:hanging="601"/>
              <w:jc w:val="left"/>
              <w:rPr>
                <w:sz w:val="24"/>
              </w:rPr>
            </w:pPr>
            <w:r>
              <w:rPr>
                <w:sz w:val="24"/>
              </w:rPr>
              <w:t>监测内容：</w:t>
            </w:r>
            <w:r>
              <w:rPr>
                <w:rFonts w:ascii="Times New Roman" w:hAnsi="Times New Roman" w:eastAsia="Times New Roman"/>
                <w:sz w:val="24"/>
              </w:rPr>
              <w:t>X-γ</w:t>
            </w:r>
            <w:r>
              <w:rPr>
                <w:rFonts w:ascii="Times New Roman" w:hAnsi="Times New Roman" w:eastAsia="Times New Roman"/>
                <w:spacing w:val="-1"/>
                <w:sz w:val="24"/>
              </w:rPr>
              <w:t> </w:t>
            </w:r>
            <w:r>
              <w:rPr>
                <w:sz w:val="24"/>
              </w:rPr>
              <w:t>空气吸收剂量率。</w:t>
            </w:r>
          </w:p>
          <w:p>
            <w:pPr>
              <w:pStyle w:val="TableParagraph"/>
              <w:numPr>
                <w:ilvl w:val="0"/>
                <w:numId w:val="28"/>
              </w:numPr>
              <w:tabs>
                <w:tab w:pos="1189" w:val="left" w:leader="none"/>
              </w:tabs>
              <w:spacing w:line="240" w:lineRule="auto" w:before="160" w:after="0"/>
              <w:ind w:left="1188" w:right="0" w:hanging="601"/>
              <w:jc w:val="left"/>
              <w:rPr>
                <w:sz w:val="24"/>
              </w:rPr>
            </w:pPr>
            <w:r>
              <w:rPr>
                <w:sz w:val="24"/>
              </w:rPr>
              <w:t>监测范围：控制和监督区域及周围环境。</w:t>
            </w:r>
          </w:p>
          <w:p>
            <w:pPr>
              <w:pStyle w:val="TableParagraph"/>
              <w:numPr>
                <w:ilvl w:val="0"/>
                <w:numId w:val="28"/>
              </w:numPr>
              <w:tabs>
                <w:tab w:pos="1189" w:val="left" w:leader="none"/>
              </w:tabs>
              <w:spacing w:line="240" w:lineRule="auto" w:before="161" w:after="0"/>
              <w:ind w:left="1188" w:right="0" w:hanging="601"/>
              <w:jc w:val="left"/>
              <w:rPr>
                <w:sz w:val="24"/>
              </w:rPr>
            </w:pPr>
            <w:r>
              <w:rPr>
                <w:sz w:val="24"/>
              </w:rPr>
              <w:t>监测布点方案：</w:t>
            </w:r>
          </w:p>
          <w:p>
            <w:pPr>
              <w:pStyle w:val="TableParagraph"/>
              <w:tabs>
                <w:tab w:pos="3599" w:val="left" w:leader="none"/>
              </w:tabs>
              <w:spacing w:line="269" w:lineRule="exact" w:before="101"/>
              <w:ind w:left="2740"/>
              <w:jc w:val="left"/>
              <w:rPr>
                <w:sz w:val="21"/>
              </w:rPr>
            </w:pPr>
            <w:r>
              <w:rPr>
                <w:sz w:val="21"/>
              </w:rPr>
              <w:t>表</w:t>
            </w:r>
            <w:r>
              <w:rPr>
                <w:spacing w:val="-53"/>
                <w:sz w:val="21"/>
              </w:rPr>
              <w:t> </w:t>
            </w:r>
            <w:r>
              <w:rPr>
                <w:rFonts w:ascii="Times New Roman" w:eastAsia="Times New Roman"/>
                <w:sz w:val="21"/>
              </w:rPr>
              <w:t>12-2</w:t>
              <w:tab/>
            </w:r>
            <w:r>
              <w:rPr>
                <w:spacing w:val="-3"/>
                <w:sz w:val="21"/>
              </w:rPr>
              <w:t>工</w:t>
            </w:r>
            <w:r>
              <w:rPr>
                <w:sz w:val="21"/>
              </w:rPr>
              <w:t>作</w:t>
            </w:r>
            <w:r>
              <w:rPr>
                <w:spacing w:val="-3"/>
                <w:sz w:val="21"/>
              </w:rPr>
              <w:t>场</w:t>
            </w:r>
            <w:r>
              <w:rPr>
                <w:sz w:val="21"/>
              </w:rPr>
              <w:t>所</w:t>
            </w:r>
            <w:r>
              <w:rPr>
                <w:spacing w:val="-3"/>
                <w:sz w:val="21"/>
              </w:rPr>
              <w:t>及</w:t>
            </w:r>
            <w:r>
              <w:rPr>
                <w:sz w:val="21"/>
              </w:rPr>
              <w:t>环</w:t>
            </w:r>
            <w:r>
              <w:rPr>
                <w:spacing w:val="-5"/>
                <w:sz w:val="21"/>
              </w:rPr>
              <w:t>境</w:t>
            </w:r>
            <w:r>
              <w:rPr>
                <w:sz w:val="21"/>
              </w:rPr>
              <w:t>监测</w:t>
            </w:r>
            <w:r>
              <w:rPr>
                <w:spacing w:val="-3"/>
                <w:sz w:val="21"/>
              </w:rPr>
              <w:t>计</w:t>
            </w:r>
            <w:r>
              <w:rPr>
                <w:sz w:val="21"/>
              </w:rPr>
              <w:t>划</w:t>
            </w:r>
            <w:r>
              <w:rPr>
                <w:spacing w:val="-3"/>
                <w:sz w:val="21"/>
              </w:rPr>
              <w:t>建</w:t>
            </w:r>
            <w:r>
              <w:rPr>
                <w:sz w:val="21"/>
              </w:rPr>
              <w:t>议</w:t>
            </w:r>
          </w:p>
        </w:tc>
      </w:tr>
      <w:tr>
        <w:trPr>
          <w:trHeight w:val="397" w:hRule="atLeast"/>
        </w:trPr>
        <w:tc>
          <w:tcPr>
            <w:tcW w:w="1553" w:type="dxa"/>
            <w:tcBorders>
              <w:top w:val="single" w:sz="12" w:space="0" w:color="000000"/>
              <w:bottom w:val="single" w:sz="12" w:space="0" w:color="000000"/>
              <w:right w:val="single" w:sz="6" w:space="0" w:color="000000"/>
            </w:tcBorders>
          </w:tcPr>
          <w:p>
            <w:pPr>
              <w:pStyle w:val="TableParagraph"/>
              <w:spacing w:before="65"/>
              <w:ind w:left="362" w:right="297"/>
              <w:rPr>
                <w:sz w:val="21"/>
              </w:rPr>
            </w:pPr>
            <w:r>
              <w:rPr>
                <w:sz w:val="21"/>
              </w:rPr>
              <w:t>设备名称</w:t>
            </w:r>
          </w:p>
        </w:tc>
        <w:tc>
          <w:tcPr>
            <w:tcW w:w="1416" w:type="dxa"/>
            <w:tcBorders>
              <w:top w:val="single" w:sz="12" w:space="0" w:color="000000"/>
              <w:left w:val="single" w:sz="6" w:space="0" w:color="000000"/>
              <w:bottom w:val="single" w:sz="12" w:space="0" w:color="000000"/>
              <w:right w:val="single" w:sz="6" w:space="0" w:color="000000"/>
            </w:tcBorders>
          </w:tcPr>
          <w:p>
            <w:pPr>
              <w:pStyle w:val="TableParagraph"/>
              <w:spacing w:before="65"/>
              <w:ind w:left="282"/>
              <w:jc w:val="left"/>
              <w:rPr>
                <w:sz w:val="21"/>
              </w:rPr>
            </w:pPr>
            <w:r>
              <w:rPr>
                <w:sz w:val="21"/>
              </w:rPr>
              <w:t>监测项目</w:t>
            </w:r>
          </w:p>
        </w:tc>
        <w:tc>
          <w:tcPr>
            <w:tcW w:w="3946" w:type="dxa"/>
            <w:tcBorders>
              <w:top w:val="single" w:sz="12" w:space="0" w:color="000000"/>
              <w:left w:val="single" w:sz="6" w:space="0" w:color="000000"/>
              <w:bottom w:val="single" w:sz="12" w:space="0" w:color="000000"/>
              <w:right w:val="single" w:sz="6" w:space="0" w:color="000000"/>
            </w:tcBorders>
          </w:tcPr>
          <w:p>
            <w:pPr>
              <w:pStyle w:val="TableParagraph"/>
              <w:spacing w:before="65"/>
              <w:ind w:left="1528" w:right="1522"/>
              <w:rPr>
                <w:sz w:val="21"/>
              </w:rPr>
            </w:pPr>
            <w:r>
              <w:rPr>
                <w:sz w:val="21"/>
              </w:rPr>
              <w:t>监测周期</w:t>
            </w:r>
          </w:p>
        </w:tc>
        <w:tc>
          <w:tcPr>
            <w:tcW w:w="2158" w:type="dxa"/>
            <w:tcBorders>
              <w:top w:val="single" w:sz="12" w:space="0" w:color="000000"/>
              <w:left w:val="single" w:sz="6" w:space="0" w:color="000000"/>
              <w:bottom w:val="single" w:sz="12" w:space="0" w:color="000000"/>
            </w:tcBorders>
          </w:tcPr>
          <w:p>
            <w:pPr>
              <w:pStyle w:val="TableParagraph"/>
              <w:spacing w:before="65"/>
              <w:ind w:left="610" w:right="654"/>
              <w:rPr>
                <w:sz w:val="21"/>
              </w:rPr>
            </w:pPr>
            <w:r>
              <w:rPr>
                <w:sz w:val="21"/>
              </w:rPr>
              <w:t>监测点位</w:t>
            </w:r>
          </w:p>
        </w:tc>
      </w:tr>
      <w:tr>
        <w:trPr>
          <w:trHeight w:val="685" w:hRule="atLeast"/>
        </w:trPr>
        <w:tc>
          <w:tcPr>
            <w:tcW w:w="1553" w:type="dxa"/>
            <w:tcBorders>
              <w:top w:val="single" w:sz="12" w:space="0" w:color="000000"/>
              <w:bottom w:val="single" w:sz="12" w:space="0" w:color="000000"/>
            </w:tcBorders>
          </w:tcPr>
          <w:p>
            <w:pPr>
              <w:pStyle w:val="TableParagraph"/>
              <w:spacing w:before="209"/>
              <w:ind w:left="257" w:right="195"/>
              <w:rPr>
                <w:sz w:val="21"/>
              </w:rPr>
            </w:pPr>
            <w:r>
              <w:rPr>
                <w:sz w:val="21"/>
              </w:rPr>
              <w:t>介入治疗室</w:t>
            </w:r>
          </w:p>
        </w:tc>
        <w:tc>
          <w:tcPr>
            <w:tcW w:w="1416" w:type="dxa"/>
            <w:tcBorders>
              <w:top w:val="single" w:sz="12" w:space="0" w:color="000000"/>
              <w:bottom w:val="single" w:sz="12" w:space="0" w:color="000000"/>
            </w:tcBorders>
          </w:tcPr>
          <w:p>
            <w:pPr>
              <w:pStyle w:val="TableParagraph"/>
              <w:spacing w:line="310" w:lineRule="atLeast" w:before="12"/>
              <w:ind w:left="390" w:right="91" w:hanging="288"/>
              <w:jc w:val="left"/>
              <w:rPr>
                <w:sz w:val="21"/>
              </w:rPr>
            </w:pPr>
            <w:r>
              <w:rPr>
                <w:rFonts w:ascii="Times New Roman" w:hAnsi="Times New Roman" w:eastAsia="Times New Roman"/>
                <w:sz w:val="21"/>
              </w:rPr>
              <w:t>X-γ </w:t>
            </w:r>
            <w:r>
              <w:rPr>
                <w:sz w:val="21"/>
              </w:rPr>
              <w:t>空气吸收剂量率</w:t>
            </w:r>
          </w:p>
        </w:tc>
        <w:tc>
          <w:tcPr>
            <w:tcW w:w="3946" w:type="dxa"/>
            <w:tcBorders>
              <w:top w:val="single" w:sz="12" w:space="0" w:color="000000"/>
              <w:bottom w:val="single" w:sz="12" w:space="0" w:color="000000"/>
            </w:tcBorders>
          </w:tcPr>
          <w:p>
            <w:pPr>
              <w:pStyle w:val="TableParagraph"/>
              <w:spacing w:before="53"/>
              <w:ind w:left="6"/>
              <w:rPr>
                <w:sz w:val="21"/>
              </w:rPr>
            </w:pPr>
            <w:r>
              <w:rPr>
                <w:sz w:val="21"/>
              </w:rPr>
              <w:t>委托有资质的单位监测，频率为 </w:t>
            </w:r>
            <w:r>
              <w:rPr>
                <w:rFonts w:ascii="Times New Roman" w:eastAsia="Times New Roman"/>
                <w:sz w:val="21"/>
              </w:rPr>
              <w:t>1 </w:t>
            </w:r>
            <w:r>
              <w:rPr>
                <w:sz w:val="21"/>
              </w:rPr>
              <w:t>次</w:t>
            </w:r>
            <w:r>
              <w:rPr>
                <w:rFonts w:ascii="Times New Roman" w:eastAsia="Times New Roman"/>
                <w:sz w:val="21"/>
              </w:rPr>
              <w:t>/</w:t>
            </w:r>
            <w:r>
              <w:rPr>
                <w:sz w:val="21"/>
              </w:rPr>
              <w:t>年；</w:t>
            </w:r>
          </w:p>
          <w:p>
            <w:pPr>
              <w:pStyle w:val="TableParagraph"/>
              <w:spacing w:before="43"/>
              <w:ind w:left="8"/>
              <w:rPr>
                <w:sz w:val="21"/>
              </w:rPr>
            </w:pPr>
            <w:r>
              <w:rPr>
                <w:sz w:val="21"/>
              </w:rPr>
              <w:t>自行开展辐射监测，频率为 </w:t>
            </w:r>
            <w:r>
              <w:rPr>
                <w:rFonts w:ascii="Times New Roman" w:eastAsia="Times New Roman"/>
                <w:sz w:val="21"/>
              </w:rPr>
              <w:t>1 </w:t>
            </w:r>
            <w:r>
              <w:rPr>
                <w:sz w:val="21"/>
              </w:rPr>
              <w:t>次</w:t>
            </w:r>
            <w:r>
              <w:rPr>
                <w:rFonts w:ascii="Times New Roman" w:eastAsia="Times New Roman"/>
                <w:sz w:val="21"/>
              </w:rPr>
              <w:t>/</w:t>
            </w:r>
            <w:r>
              <w:rPr>
                <w:sz w:val="21"/>
              </w:rPr>
              <w:t>月</w:t>
            </w:r>
          </w:p>
        </w:tc>
        <w:tc>
          <w:tcPr>
            <w:tcW w:w="2158" w:type="dxa"/>
            <w:tcBorders>
              <w:top w:val="single" w:sz="12" w:space="0" w:color="000000"/>
              <w:bottom w:val="single" w:sz="12" w:space="0" w:color="000000"/>
            </w:tcBorders>
          </w:tcPr>
          <w:p>
            <w:pPr>
              <w:pStyle w:val="TableParagraph"/>
              <w:spacing w:before="209"/>
              <w:ind w:left="299" w:right="338"/>
              <w:rPr>
                <w:sz w:val="21"/>
              </w:rPr>
            </w:pPr>
            <w:r>
              <w:rPr>
                <w:sz w:val="21"/>
              </w:rPr>
              <w:t>介入治疗室四周</w:t>
            </w:r>
          </w:p>
        </w:tc>
      </w:tr>
      <w:tr>
        <w:trPr>
          <w:trHeight w:val="5149" w:hRule="atLeast"/>
        </w:trPr>
        <w:tc>
          <w:tcPr>
            <w:tcW w:w="9073" w:type="dxa"/>
            <w:gridSpan w:val="4"/>
            <w:tcBorders>
              <w:top w:val="single" w:sz="12" w:space="0" w:color="000000"/>
            </w:tcBorders>
          </w:tcPr>
          <w:p>
            <w:pPr>
              <w:pStyle w:val="TableParagraph"/>
              <w:numPr>
                <w:ilvl w:val="0"/>
                <w:numId w:val="29"/>
              </w:numPr>
              <w:tabs>
                <w:tab w:pos="1189" w:val="left" w:leader="none"/>
              </w:tabs>
              <w:spacing w:line="364" w:lineRule="auto" w:before="81" w:after="0"/>
              <w:ind w:left="107" w:right="96" w:firstLine="480"/>
              <w:jc w:val="left"/>
              <w:rPr>
                <w:sz w:val="24"/>
              </w:rPr>
            </w:pPr>
            <w:r>
              <w:rPr>
                <w:spacing w:val="-7"/>
                <w:sz w:val="24"/>
              </w:rPr>
              <w:t>监测布点及数据管理：监测布点应与环评监测布点、验收监测布点一致， </w:t>
            </w:r>
            <w:r>
              <w:rPr>
                <w:spacing w:val="-4"/>
                <w:sz w:val="24"/>
              </w:rPr>
              <w:t>监测数据应记录完善，并将数据实时汇总，建立好监测数据台账以便核查。</w:t>
            </w:r>
          </w:p>
          <w:p>
            <w:pPr>
              <w:pStyle w:val="TableParagraph"/>
              <w:numPr>
                <w:ilvl w:val="0"/>
                <w:numId w:val="29"/>
              </w:numPr>
              <w:tabs>
                <w:tab w:pos="1189" w:val="left" w:leader="none"/>
              </w:tabs>
              <w:spacing w:line="240" w:lineRule="auto" w:before="1" w:after="0"/>
              <w:ind w:left="1188" w:right="0" w:hanging="601"/>
              <w:jc w:val="left"/>
              <w:rPr>
                <w:sz w:val="24"/>
              </w:rPr>
            </w:pPr>
            <w:r>
              <w:rPr>
                <w:sz w:val="24"/>
              </w:rPr>
              <w:t>监测范围：控制和监督区域及周围环境</w:t>
            </w:r>
          </w:p>
          <w:p>
            <w:pPr>
              <w:pStyle w:val="TableParagraph"/>
              <w:numPr>
                <w:ilvl w:val="0"/>
                <w:numId w:val="29"/>
              </w:numPr>
              <w:tabs>
                <w:tab w:pos="1189" w:val="left" w:leader="none"/>
              </w:tabs>
              <w:spacing w:line="240" w:lineRule="auto" w:before="160" w:after="0"/>
              <w:ind w:left="1188" w:right="0" w:hanging="601"/>
              <w:jc w:val="left"/>
              <w:rPr>
                <w:sz w:val="24"/>
              </w:rPr>
            </w:pPr>
            <w:r>
              <w:rPr>
                <w:sz w:val="24"/>
              </w:rPr>
              <w:t>监测质量保证：</w:t>
            </w:r>
          </w:p>
          <w:p>
            <w:pPr>
              <w:pStyle w:val="TableParagraph"/>
              <w:spacing w:line="364" w:lineRule="auto" w:before="161"/>
              <w:ind w:left="107" w:right="96" w:firstLine="720"/>
              <w:jc w:val="both"/>
              <w:rPr>
                <w:sz w:val="24"/>
              </w:rPr>
            </w:pPr>
            <w:r>
              <w:rPr>
                <w:spacing w:val="-4"/>
                <w:sz w:val="24"/>
              </w:rPr>
              <w:t>制定监测仪表使用、校验管理制度，并利用监测单位的监测数据与医院监测仪器的监测数据进行比对，建立监测仪器比对档案；也可到有资质的单位对监测仪器进</w:t>
            </w:r>
            <w:r>
              <w:rPr>
                <w:sz w:val="24"/>
              </w:rPr>
              <w:t>行校核；</w:t>
            </w:r>
          </w:p>
          <w:p>
            <w:pPr>
              <w:pStyle w:val="TableParagraph"/>
              <w:spacing w:before="2"/>
              <w:ind w:left="827"/>
              <w:jc w:val="left"/>
              <w:rPr>
                <w:sz w:val="24"/>
              </w:rPr>
            </w:pPr>
            <w:r>
              <w:rPr>
                <w:sz w:val="24"/>
              </w:rPr>
              <w:t>医院应安排专人负责自行监测任务；</w:t>
            </w:r>
          </w:p>
          <w:p>
            <w:pPr>
              <w:pStyle w:val="TableParagraph"/>
              <w:spacing w:line="364" w:lineRule="auto" w:before="160"/>
              <w:ind w:left="107" w:right="96" w:firstLine="720"/>
              <w:jc w:val="both"/>
              <w:rPr>
                <w:sz w:val="24"/>
              </w:rPr>
            </w:pPr>
            <w:r>
              <w:rPr>
                <w:spacing w:val="-3"/>
                <w:sz w:val="24"/>
              </w:rPr>
              <w:t>采用国家颁布的标准方法或推荐方法，其中自我监测可参照有资质的监测机构</w:t>
            </w:r>
            <w:r>
              <w:rPr>
                <w:sz w:val="24"/>
              </w:rPr>
              <w:t>出具的监测报告中的方法；</w:t>
            </w:r>
          </w:p>
          <w:p>
            <w:pPr>
              <w:pStyle w:val="TableParagraph"/>
              <w:spacing w:before="1"/>
              <w:ind w:left="827"/>
              <w:jc w:val="left"/>
              <w:rPr>
                <w:sz w:val="24"/>
              </w:rPr>
            </w:pPr>
            <w:r>
              <w:rPr>
                <w:sz w:val="24"/>
              </w:rPr>
              <w:t>制定辐射环境监测管理制度。</w:t>
            </w:r>
          </w:p>
        </w:tc>
      </w:tr>
    </w:tbl>
    <w:p>
      <w:pPr>
        <w:spacing w:after="0"/>
        <w:jc w:val="left"/>
        <w:rPr>
          <w:sz w:val="24"/>
        </w:rPr>
        <w:sectPr>
          <w:footerReference w:type="default" r:id="rId55"/>
          <w:pgSz w:w="11910" w:h="16840"/>
          <w:pgMar w:footer="881" w:header="0" w:top="1220" w:bottom="1080" w:left="1480" w:right="1020"/>
          <w:pgNumType w:start="60"/>
        </w:sectPr>
      </w:pPr>
    </w:p>
    <w:p>
      <w:pPr>
        <w:pStyle w:val="BodyText"/>
        <w:spacing w:line="364" w:lineRule="auto" w:before="100"/>
        <w:ind w:left="272" w:right="276" w:firstLine="480"/>
        <w:jc w:val="both"/>
      </w:pPr>
      <w:r>
        <w:rPr/>
        <w:pict>
          <v:group style="position:absolute;margin-left:81.959999pt;margin-top:62.399937pt;width:454.1pt;height:711.25pt;mso-position-horizontal-relative:page;mso-position-vertical-relative:page;z-index:-210904" coordorigin="1639,1248" coordsize="9082,14225">
            <v:line style="position:absolute" from="1639,1253" to="10711,1253" stroked="true" strokeweight=".479999pt" strokecolor="#000000">
              <v:stroke dashstyle="solid"/>
            </v:line>
            <v:line style="position:absolute" from="1644,1258" to="1644,2662" stroked="true" strokeweight=".479999pt" strokecolor="#000000">
              <v:stroke dashstyle="solid"/>
            </v:line>
            <v:line style="position:absolute" from="1639,2666" to="10711,2666" stroked="true" strokeweight=".48pt" strokecolor="#000000">
              <v:stroke dashstyle="solid"/>
            </v:line>
            <v:line style="position:absolute" from="1644,2671" to="1644,15473" stroked="true" strokeweight=".479999pt" strokecolor="#000000">
              <v:stroke dashstyle="solid"/>
            </v:line>
            <v:line style="position:absolute" from="1639,15468" to="10711,15468" stroked="true" strokeweight=".480011pt" strokecolor="#000000">
              <v:stroke dashstyle="solid"/>
            </v:line>
            <v:line style="position:absolute" from="10716,1248" to="10716,15473" stroked="true" strokeweight=".479966pt" strokecolor="#000000">
              <v:stroke dashstyle="solid"/>
            </v:line>
            <w10:wrap type="none"/>
          </v:group>
        </w:pict>
      </w:r>
      <w:r>
        <w:rPr>
          <w:spacing w:val="-4"/>
        </w:rPr>
        <w:t>辐射工作场所环境监测结果应记录，并存档备案，若发现异常情况，立即采取应</w:t>
      </w:r>
      <w:r>
        <w:rPr>
          <w:spacing w:val="-5"/>
        </w:rPr>
        <w:t>急措施，停止辐射工作，查找原因。自查监测结果和工作场所监测结果应作为年度自</w:t>
      </w:r>
      <w:r>
        <w:rPr/>
        <w:t>查评估报告的附件。从事自我监测的人员应具有辐射安全及环境监测的相关知识。</w:t>
      </w:r>
    </w:p>
    <w:p>
      <w:pPr>
        <w:pStyle w:val="Heading1"/>
        <w:spacing w:before="63"/>
        <w:ind w:left="262"/>
      </w:pPr>
      <w:r>
        <w:rPr/>
        <w:t>辐射事故应急</w:t>
      </w:r>
      <w:r>
        <w:rPr>
          <w:w w:val="50"/>
        </w:rPr>
        <w:t> </w:t>
      </w:r>
    </w:p>
    <w:p>
      <w:pPr>
        <w:pStyle w:val="BodyText"/>
        <w:spacing w:before="214"/>
        <w:ind w:left="754"/>
      </w:pPr>
      <w:r>
        <w:rPr/>
        <w:t>一、事故应急预案</w:t>
      </w:r>
    </w:p>
    <w:p>
      <w:pPr>
        <w:pStyle w:val="BodyText"/>
        <w:spacing w:before="161"/>
        <w:ind w:left="752"/>
      </w:pPr>
      <w:r>
        <w:rPr/>
        <w:t>为了应对辐射事故和突发事件，建设单位需完善辐射事故应急预案。</w:t>
      </w:r>
    </w:p>
    <w:p>
      <w:pPr>
        <w:pStyle w:val="ListParagraph"/>
        <w:numPr>
          <w:ilvl w:val="0"/>
          <w:numId w:val="30"/>
        </w:numPr>
        <w:tabs>
          <w:tab w:pos="1221" w:val="left" w:leader="none"/>
        </w:tabs>
        <w:spacing w:line="364" w:lineRule="auto" w:before="160" w:after="0"/>
        <w:ind w:left="272" w:right="276" w:firstLine="420"/>
        <w:jc w:val="both"/>
        <w:rPr>
          <w:sz w:val="19"/>
        </w:rPr>
      </w:pPr>
      <w:r>
        <w:rPr>
          <w:spacing w:val="-4"/>
          <w:sz w:val="24"/>
        </w:rPr>
        <w:t>应急机构和职责分工，应急和救助的装备、资金、物资准备，辐射事故应急</w:t>
      </w:r>
      <w:r>
        <w:rPr>
          <w:spacing w:val="-5"/>
          <w:sz w:val="24"/>
        </w:rPr>
        <w:t>处理程序，辐射事故分级与应急响应措施，辐射事故调查、报告和处理程序，辐射事</w:t>
      </w:r>
      <w:r>
        <w:rPr>
          <w:sz w:val="24"/>
        </w:rPr>
        <w:t>故的调查、预案管理。</w:t>
      </w:r>
    </w:p>
    <w:p>
      <w:pPr>
        <w:pStyle w:val="ListParagraph"/>
        <w:numPr>
          <w:ilvl w:val="0"/>
          <w:numId w:val="30"/>
        </w:numPr>
        <w:tabs>
          <w:tab w:pos="1353" w:val="left" w:leader="none"/>
        </w:tabs>
        <w:spacing w:line="240" w:lineRule="auto" w:before="2" w:after="0"/>
        <w:ind w:left="1353" w:right="0" w:hanging="601"/>
        <w:jc w:val="left"/>
        <w:rPr>
          <w:sz w:val="22"/>
        </w:rPr>
      </w:pPr>
      <w:r>
        <w:rPr>
          <w:sz w:val="24"/>
        </w:rPr>
        <w:t>应急组织体系和职责、应急处理程序、上报电话。</w:t>
      </w:r>
    </w:p>
    <w:p>
      <w:pPr>
        <w:pStyle w:val="ListParagraph"/>
        <w:numPr>
          <w:ilvl w:val="0"/>
          <w:numId w:val="30"/>
        </w:numPr>
        <w:tabs>
          <w:tab w:pos="1353" w:val="left" w:leader="none"/>
        </w:tabs>
        <w:spacing w:line="240" w:lineRule="auto" w:before="160" w:after="0"/>
        <w:ind w:left="1353" w:right="0" w:hanging="601"/>
        <w:jc w:val="left"/>
        <w:rPr>
          <w:sz w:val="22"/>
        </w:rPr>
      </w:pPr>
      <w:r>
        <w:rPr>
          <w:sz w:val="24"/>
        </w:rPr>
        <w:t>应急人员的培训；</w:t>
      </w:r>
    </w:p>
    <w:p>
      <w:pPr>
        <w:pStyle w:val="ListParagraph"/>
        <w:numPr>
          <w:ilvl w:val="0"/>
          <w:numId w:val="30"/>
        </w:numPr>
        <w:tabs>
          <w:tab w:pos="1353" w:val="left" w:leader="none"/>
        </w:tabs>
        <w:spacing w:line="240" w:lineRule="auto" w:before="161" w:after="0"/>
        <w:ind w:left="1353" w:right="0" w:hanging="601"/>
        <w:jc w:val="left"/>
        <w:rPr>
          <w:sz w:val="22"/>
        </w:rPr>
      </w:pPr>
      <w:r>
        <w:rPr>
          <w:sz w:val="24"/>
        </w:rPr>
        <w:t>环境风险因子、潜在危害、事故等级等内容；</w:t>
      </w:r>
    </w:p>
    <w:p>
      <w:pPr>
        <w:pStyle w:val="ListParagraph"/>
        <w:numPr>
          <w:ilvl w:val="0"/>
          <w:numId w:val="30"/>
        </w:numPr>
        <w:tabs>
          <w:tab w:pos="1353" w:val="left" w:leader="none"/>
        </w:tabs>
        <w:spacing w:line="240" w:lineRule="auto" w:before="160" w:after="0"/>
        <w:ind w:left="1353" w:right="0" w:hanging="601"/>
        <w:jc w:val="left"/>
        <w:rPr>
          <w:sz w:val="22"/>
        </w:rPr>
      </w:pPr>
      <w:r>
        <w:rPr>
          <w:sz w:val="24"/>
        </w:rPr>
        <w:t>辐射事故调查、报告和处理程序中相关负责人员及联系电话；</w:t>
      </w:r>
    </w:p>
    <w:p>
      <w:pPr>
        <w:pStyle w:val="ListParagraph"/>
        <w:numPr>
          <w:ilvl w:val="0"/>
          <w:numId w:val="30"/>
        </w:numPr>
        <w:tabs>
          <w:tab w:pos="1353" w:val="left" w:leader="none"/>
        </w:tabs>
        <w:spacing w:line="364" w:lineRule="auto" w:before="161" w:after="0"/>
        <w:ind w:left="272" w:right="276" w:firstLine="480"/>
        <w:jc w:val="left"/>
        <w:rPr>
          <w:sz w:val="22"/>
        </w:rPr>
      </w:pPr>
      <w:r>
        <w:rPr>
          <w:spacing w:val="-9"/>
          <w:sz w:val="24"/>
        </w:rPr>
        <w:t>发生辐射事故时，应当立即启动应急预案，采取应急措施，并按规定向所</w:t>
      </w:r>
      <w:r>
        <w:rPr>
          <w:spacing w:val="-5"/>
          <w:sz w:val="24"/>
        </w:rPr>
        <w:t>在地县级地方人民政府及其生态环境、公安、卫生计生等部门报告。</w:t>
      </w:r>
    </w:p>
    <w:p>
      <w:pPr>
        <w:pStyle w:val="BodyText"/>
        <w:spacing w:before="1"/>
        <w:ind w:left="752"/>
      </w:pPr>
      <w:r>
        <w:rPr>
          <w:spacing w:val="-9"/>
        </w:rPr>
        <w:t>建设单位应按照《放射性同位素与射线装置安全和防护管理办法</w:t>
      </w:r>
      <w:r>
        <w:rPr>
          <w:spacing w:val="-192"/>
        </w:rPr>
        <w:t>》</w:t>
      </w:r>
      <w:r>
        <w:rPr/>
        <w:t>（环保护部令第</w:t>
      </w:r>
    </w:p>
    <w:p>
      <w:pPr>
        <w:pStyle w:val="BodyText"/>
        <w:spacing w:line="364" w:lineRule="auto" w:before="161"/>
        <w:ind w:left="272" w:right="198"/>
      </w:pPr>
      <w:r>
        <w:rPr>
          <w:rFonts w:ascii="Times New Roman" w:eastAsia="Times New Roman"/>
        </w:rPr>
        <w:t>18 </w:t>
      </w:r>
      <w:r>
        <w:rPr/>
        <w:t>号）第六章第四十三条规定，结合本项目实际情况，对原有辐射事故应急预案予以补充、完善。</w:t>
      </w:r>
    </w:p>
    <w:p>
      <w:pPr>
        <w:pStyle w:val="BodyText"/>
        <w:spacing w:before="1"/>
        <w:ind w:left="754"/>
      </w:pPr>
      <w:r>
        <w:rPr/>
        <w:t>二、应急措施</w:t>
      </w:r>
    </w:p>
    <w:p>
      <w:pPr>
        <w:pStyle w:val="BodyText"/>
        <w:spacing w:before="160"/>
        <w:ind w:left="752"/>
      </w:pPr>
      <w:r>
        <w:rPr/>
        <w:t>若本项目发生了辐射事故，建设单位应迅速、有效的采取以下应急措施：</w:t>
      </w:r>
    </w:p>
    <w:p>
      <w:pPr>
        <w:pStyle w:val="ListParagraph"/>
        <w:numPr>
          <w:ilvl w:val="0"/>
          <w:numId w:val="31"/>
        </w:numPr>
        <w:tabs>
          <w:tab w:pos="1353" w:val="left" w:leader="none"/>
        </w:tabs>
        <w:spacing w:line="364" w:lineRule="auto" w:before="161" w:after="0"/>
        <w:ind w:left="272" w:right="276" w:firstLine="480"/>
        <w:jc w:val="left"/>
        <w:rPr>
          <w:sz w:val="24"/>
        </w:rPr>
      </w:pPr>
      <w:r>
        <w:rPr>
          <w:spacing w:val="-8"/>
          <w:sz w:val="24"/>
        </w:rPr>
        <w:t>发现误照射事故时，工作人员应立即切断电源，关闭进出口门，同时向医</w:t>
      </w:r>
      <w:r>
        <w:rPr>
          <w:spacing w:val="-5"/>
          <w:sz w:val="24"/>
        </w:rPr>
        <w:t>院主管领导报告。</w:t>
      </w:r>
    </w:p>
    <w:p>
      <w:pPr>
        <w:pStyle w:val="ListParagraph"/>
        <w:numPr>
          <w:ilvl w:val="0"/>
          <w:numId w:val="31"/>
        </w:numPr>
        <w:tabs>
          <w:tab w:pos="1353" w:val="left" w:leader="none"/>
        </w:tabs>
        <w:spacing w:line="364" w:lineRule="auto" w:before="1" w:after="0"/>
        <w:ind w:left="272" w:right="276" w:firstLine="480"/>
        <w:jc w:val="left"/>
        <w:rPr>
          <w:sz w:val="24"/>
        </w:rPr>
      </w:pPr>
      <w:r>
        <w:rPr>
          <w:spacing w:val="-6"/>
          <w:sz w:val="24"/>
        </w:rPr>
        <w:t>建设单位根据估算的超剂量值，尽快安排误照人员进行检查或在指定的医</w:t>
      </w:r>
      <w:r>
        <w:rPr>
          <w:spacing w:val="-5"/>
          <w:sz w:val="24"/>
        </w:rPr>
        <w:t>疗机构救治；对可能受放射损伤的人员，应立即采取暂时隔离和应急救援措施。</w:t>
      </w:r>
    </w:p>
    <w:p>
      <w:pPr>
        <w:pStyle w:val="ListParagraph"/>
        <w:numPr>
          <w:ilvl w:val="0"/>
          <w:numId w:val="31"/>
        </w:numPr>
        <w:tabs>
          <w:tab w:pos="1344" w:val="left" w:leader="none"/>
        </w:tabs>
        <w:spacing w:line="364" w:lineRule="auto" w:before="1" w:after="0"/>
        <w:ind w:left="272" w:right="276" w:firstLine="470"/>
        <w:jc w:val="both"/>
        <w:rPr>
          <w:sz w:val="24"/>
        </w:rPr>
      </w:pPr>
      <w:r>
        <w:rPr>
          <w:spacing w:val="-9"/>
          <w:sz w:val="24"/>
        </w:rPr>
        <w:t>事故发生后的 </w:t>
      </w:r>
      <w:r>
        <w:rPr>
          <w:rFonts w:ascii="Times New Roman" w:eastAsia="Times New Roman"/>
          <w:sz w:val="24"/>
        </w:rPr>
        <w:t>2 </w:t>
      </w:r>
      <w:r>
        <w:rPr>
          <w:spacing w:val="-10"/>
          <w:sz w:val="24"/>
        </w:rPr>
        <w:t>小时内填写《辐射事故初始报告表》，向当地生态环境主管</w:t>
      </w:r>
      <w:r>
        <w:rPr>
          <w:spacing w:val="-4"/>
          <w:sz w:val="24"/>
        </w:rPr>
        <w:t>部门和公安部门报告。造成或可能造成超剂量照射的，还应同时向当地卫生健康行政</w:t>
      </w:r>
      <w:r>
        <w:rPr>
          <w:sz w:val="24"/>
        </w:rPr>
        <w:t>部门报告。</w:t>
      </w:r>
    </w:p>
    <w:p>
      <w:pPr>
        <w:pStyle w:val="ListParagraph"/>
        <w:numPr>
          <w:ilvl w:val="0"/>
          <w:numId w:val="31"/>
        </w:numPr>
        <w:tabs>
          <w:tab w:pos="1344" w:val="left" w:leader="none"/>
        </w:tabs>
        <w:spacing w:line="364" w:lineRule="auto" w:before="2" w:after="0"/>
        <w:ind w:left="754" w:right="3021" w:hanging="12"/>
        <w:jc w:val="left"/>
        <w:rPr>
          <w:sz w:val="24"/>
        </w:rPr>
      </w:pPr>
      <w:r>
        <w:rPr>
          <w:spacing w:val="-1"/>
          <w:sz w:val="24"/>
        </w:rPr>
        <w:t>最后查清事故原因，分清责任，消除事故隐患。</w:t>
      </w:r>
      <w:r>
        <w:rPr>
          <w:sz w:val="24"/>
        </w:rPr>
        <w:t>三、其他</w:t>
      </w:r>
    </w:p>
    <w:p>
      <w:pPr>
        <w:pStyle w:val="ListParagraph"/>
        <w:numPr>
          <w:ilvl w:val="0"/>
          <w:numId w:val="32"/>
        </w:numPr>
        <w:tabs>
          <w:tab w:pos="1353" w:val="left" w:leader="none"/>
        </w:tabs>
        <w:spacing w:line="240" w:lineRule="auto" w:before="1" w:after="0"/>
        <w:ind w:left="1353" w:right="0" w:hanging="601"/>
        <w:jc w:val="left"/>
        <w:rPr>
          <w:sz w:val="24"/>
        </w:rPr>
      </w:pPr>
      <w:r>
        <w:rPr>
          <w:spacing w:val="-4"/>
          <w:sz w:val="24"/>
        </w:rPr>
        <w:t>辐射事故风险评估和辐射事故应急预案，应报送所在地县级地方人民政府生</w:t>
      </w:r>
    </w:p>
    <w:p>
      <w:pPr>
        <w:spacing w:after="0" w:line="240" w:lineRule="auto"/>
        <w:jc w:val="left"/>
        <w:rPr>
          <w:sz w:val="24"/>
        </w:rPr>
        <w:sectPr>
          <w:pgSz w:w="11910" w:h="16840"/>
          <w:pgMar w:header="0" w:footer="881" w:top="1220" w:bottom="1080" w:left="1480" w:right="1020"/>
        </w:sectPr>
      </w:pPr>
    </w:p>
    <w:p>
      <w:pPr>
        <w:pStyle w:val="BodyText"/>
        <w:spacing w:before="100"/>
        <w:ind w:left="272"/>
      </w:pPr>
      <w:r>
        <w:rPr/>
        <w:pict>
          <v:group style="position:absolute;margin-left:81.959999pt;margin-top:62.399937pt;width:454.1pt;height:710.8pt;mso-position-horizontal-relative:page;mso-position-vertical-relative:page;z-index:-210880" coordorigin="1639,1248" coordsize="9082,14216">
            <v:line style="position:absolute" from="1639,1253" to="10711,1253" stroked="true" strokeweight=".479999pt" strokecolor="#000000">
              <v:stroke dashstyle="solid"/>
            </v:line>
            <v:line style="position:absolute" from="1644,1258" to="1644,15463" stroked="true" strokeweight=".479999pt" strokecolor="#000000">
              <v:stroke dashstyle="solid"/>
            </v:line>
            <v:line style="position:absolute" from="1639,15458" to="10711,15458" stroked="true" strokeweight=".480011pt" strokecolor="#000000">
              <v:stroke dashstyle="solid"/>
            </v:line>
            <v:line style="position:absolute" from="10716,1248" to="10716,15463" stroked="true" strokeweight=".479966pt" strokecolor="#000000">
              <v:stroke dashstyle="solid"/>
            </v:line>
            <w10:wrap type="none"/>
          </v:group>
        </w:pict>
      </w:r>
      <w:r>
        <w:rPr/>
        <w:t>态环境主管部门备案。</w:t>
      </w:r>
    </w:p>
    <w:p>
      <w:pPr>
        <w:pStyle w:val="ListParagraph"/>
        <w:numPr>
          <w:ilvl w:val="0"/>
          <w:numId w:val="32"/>
        </w:numPr>
        <w:tabs>
          <w:tab w:pos="1353" w:val="left" w:leader="none"/>
        </w:tabs>
        <w:spacing w:line="364" w:lineRule="auto" w:before="161" w:after="0"/>
        <w:ind w:left="272" w:right="276" w:firstLine="480"/>
        <w:jc w:val="left"/>
        <w:rPr>
          <w:sz w:val="24"/>
        </w:rPr>
      </w:pPr>
      <w:r>
        <w:rPr>
          <w:spacing w:val="-8"/>
          <w:sz w:val="24"/>
        </w:rPr>
        <w:t>在预案的实施中，医院应根据国家新发布的法律法规内容，结合医院实际</w:t>
      </w:r>
      <w:r>
        <w:rPr>
          <w:spacing w:val="-5"/>
          <w:sz w:val="24"/>
        </w:rPr>
        <w:t>情况及时对预案做补充修改，使之更能符合实际需要。</w:t>
      </w:r>
    </w:p>
    <w:p>
      <w:pPr>
        <w:spacing w:after="0" w:line="364" w:lineRule="auto"/>
        <w:jc w:val="left"/>
        <w:rPr>
          <w:sz w:val="24"/>
        </w:rPr>
        <w:sectPr>
          <w:pgSz w:w="11910" w:h="16840"/>
          <w:pgMar w:header="0" w:footer="881" w:top="1220" w:bottom="1160" w:left="1480" w:right="1020"/>
        </w:sectPr>
      </w:pPr>
    </w:p>
    <w:p>
      <w:pPr>
        <w:pStyle w:val="Heading1"/>
      </w:pPr>
      <w:r>
        <w:rPr/>
        <w:pict>
          <v:group style="position:absolute;margin-left:81.959999pt;margin-top:93.599945pt;width:454.1pt;height:664pt;mso-position-horizontal-relative:page;mso-position-vertical-relative:page;z-index:-210856" coordorigin="1639,1872" coordsize="9082,13280">
            <v:line style="position:absolute" from="1639,1877" to="10711,1877" stroked="true" strokeweight=".479999pt" strokecolor="#000000">
              <v:stroke dashstyle="solid"/>
            </v:line>
            <v:line style="position:absolute" from="1644,1882" to="1644,15151" stroked="true" strokeweight=".479999pt" strokecolor="#000000">
              <v:stroke dashstyle="solid"/>
            </v:line>
            <v:line style="position:absolute" from="1639,15146" to="10711,15146" stroked="true" strokeweight=".480011pt" strokecolor="#000000">
              <v:stroke dashstyle="solid"/>
            </v:line>
            <v:line style="position:absolute" from="10716,1872" to="10716,15151" stroked="true" strokeweight=".479966pt" strokecolor="#000000">
              <v:stroke dashstyle="solid"/>
            </v:line>
            <w10:wrap type="none"/>
          </v:group>
        </w:pict>
      </w:r>
      <w:r>
        <w:rPr/>
        <w:t>表 13 结论与建议</w:t>
      </w:r>
      <w:r>
        <w:rPr>
          <w:w w:val="50"/>
        </w:rPr>
        <w:t> </w:t>
      </w:r>
    </w:p>
    <w:p>
      <w:pPr>
        <w:spacing w:before="275"/>
        <w:ind w:left="262" w:right="0" w:firstLine="0"/>
        <w:jc w:val="left"/>
        <w:rPr>
          <w:sz w:val="28"/>
        </w:rPr>
      </w:pPr>
      <w:r>
        <w:rPr>
          <w:sz w:val="28"/>
        </w:rPr>
        <w:t>结论</w:t>
      </w:r>
      <w:r>
        <w:rPr>
          <w:w w:val="50"/>
          <w:sz w:val="28"/>
        </w:rPr>
        <w:t> </w:t>
      </w:r>
    </w:p>
    <w:p>
      <w:pPr>
        <w:pStyle w:val="BodyText"/>
        <w:spacing w:before="214"/>
        <w:ind w:left="754"/>
      </w:pPr>
      <w:r>
        <w:rPr/>
        <w:t>一、项目概况</w:t>
      </w:r>
      <w:r>
        <w:rPr>
          <w:w w:val="50"/>
        </w:rPr>
        <w:t> </w:t>
      </w:r>
    </w:p>
    <w:p>
      <w:pPr>
        <w:pStyle w:val="BodyText"/>
        <w:spacing w:line="364" w:lineRule="auto" w:before="160"/>
        <w:ind w:left="754" w:right="2405"/>
      </w:pPr>
      <w:r>
        <w:rPr/>
        <w:t>项目名称：三台县中医院新增数字减影血管造影机使用项目建设单位：三台县中医院</w:t>
      </w:r>
    </w:p>
    <w:p>
      <w:pPr>
        <w:pStyle w:val="BodyText"/>
        <w:spacing w:before="2"/>
        <w:ind w:left="754"/>
      </w:pPr>
      <w:r>
        <w:rPr/>
        <w:t>项目性质：改建</w:t>
      </w:r>
    </w:p>
    <w:p>
      <w:pPr>
        <w:pStyle w:val="BodyText"/>
        <w:spacing w:before="160"/>
        <w:ind w:left="754"/>
      </w:pPr>
      <w:r>
        <w:rPr/>
        <w:t>建设地点：四川省绵阳市三台县潼川镇学街 </w:t>
      </w:r>
      <w:r>
        <w:rPr>
          <w:rFonts w:ascii="Times New Roman" w:eastAsia="Times New Roman"/>
        </w:rPr>
        <w:t>31 </w:t>
      </w:r>
      <w:r>
        <w:rPr/>
        <w:t>号</w:t>
      </w:r>
    </w:p>
    <w:p>
      <w:pPr>
        <w:pStyle w:val="BodyText"/>
        <w:spacing w:before="161"/>
        <w:ind w:left="754"/>
      </w:pPr>
      <w:r>
        <w:rPr/>
        <w:t>1、建设内容与规模</w:t>
      </w:r>
      <w:r>
        <w:rPr>
          <w:w w:val="50"/>
        </w:rPr>
        <w:t> </w:t>
      </w:r>
    </w:p>
    <w:p>
      <w:pPr>
        <w:pStyle w:val="BodyText"/>
        <w:spacing w:line="364" w:lineRule="auto" w:before="160"/>
        <w:ind w:left="272" w:right="156" w:firstLine="480"/>
      </w:pPr>
      <w:r>
        <w:rPr>
          <w:spacing w:val="-1"/>
        </w:rPr>
        <w:t>本项目位于四川省绵阳市三台县潼川镇学街 </w:t>
      </w:r>
      <w:r>
        <w:rPr>
          <w:rFonts w:ascii="Times New Roman" w:hAnsi="Times New Roman" w:eastAsia="Times New Roman"/>
        </w:rPr>
        <w:t>31 </w:t>
      </w:r>
      <w:r>
        <w:rPr/>
        <w:t>号三台县中医院内，拟在医院行政楼（</w:t>
      </w:r>
      <w:r>
        <w:rPr>
          <w:spacing w:val="-9"/>
        </w:rPr>
        <w:t>已建、地上 </w:t>
      </w:r>
      <w:r>
        <w:rPr>
          <w:rFonts w:ascii="Times New Roman" w:hAnsi="Times New Roman" w:eastAsia="Times New Roman"/>
        </w:rPr>
        <w:t>5 </w:t>
      </w:r>
      <w:r>
        <w:rPr>
          <w:spacing w:val="-11"/>
        </w:rPr>
        <w:t>层、高约 </w:t>
      </w:r>
      <w:r>
        <w:rPr>
          <w:rFonts w:ascii="Times New Roman" w:hAnsi="Times New Roman" w:eastAsia="Times New Roman"/>
        </w:rPr>
        <w:t>17m</w:t>
      </w:r>
      <w:r>
        <w:rPr/>
        <w:t>，无地下室）</w:t>
      </w:r>
      <w:r>
        <w:rPr>
          <w:rFonts w:ascii="Times New Roman" w:hAnsi="Times New Roman" w:eastAsia="Times New Roman"/>
        </w:rPr>
        <w:t>1 </w:t>
      </w:r>
      <w:r>
        <w:rPr/>
        <w:t>楼西南部将西南部将原天井区域、</w:t>
      </w:r>
      <w:r>
        <w:rPr>
          <w:spacing w:val="-4"/>
        </w:rPr>
        <w:t>教室、教师办公室及通道区域等改建为介入治疗室及配套房间，在介入治疗室内新增</w:t>
      </w:r>
      <w:r>
        <w:rPr>
          <w:spacing w:val="-23"/>
        </w:rPr>
        <w:t>使用 </w:t>
      </w:r>
      <w:r>
        <w:rPr>
          <w:rFonts w:ascii="Times New Roman" w:hAnsi="Times New Roman" w:eastAsia="Times New Roman"/>
        </w:rPr>
        <w:t>1 </w:t>
      </w:r>
      <w:r>
        <w:rPr>
          <w:spacing w:val="-30"/>
        </w:rPr>
        <w:t>台 </w:t>
      </w:r>
      <w:r>
        <w:rPr>
          <w:rFonts w:ascii="Times New Roman" w:hAnsi="Times New Roman" w:eastAsia="Times New Roman"/>
          <w:w w:val="99"/>
        </w:rPr>
        <w:t>DS</w:t>
      </w:r>
      <w:r>
        <w:rPr>
          <w:rFonts w:ascii="Times New Roman" w:hAnsi="Times New Roman" w:eastAsia="Times New Roman"/>
          <w:spacing w:val="-99"/>
          <w:w w:val="99"/>
        </w:rPr>
        <w:t>A</w:t>
      </w:r>
      <w:r>
        <w:rPr/>
        <w:t>（</w:t>
      </w:r>
      <w:r>
        <w:rPr>
          <w:spacing w:val="-25"/>
        </w:rPr>
        <w:t>型号为：</w:t>
      </w:r>
      <w:r>
        <w:rPr>
          <w:rFonts w:ascii="Times New Roman" w:hAnsi="Times New Roman" w:eastAsia="Times New Roman"/>
          <w:w w:val="99"/>
        </w:rPr>
        <w:t>A</w:t>
      </w:r>
      <w:r>
        <w:rPr>
          <w:rFonts w:ascii="Times New Roman" w:hAnsi="Times New Roman" w:eastAsia="Times New Roman"/>
          <w:w w:val="99"/>
        </w:rPr>
        <w:t>Z</w:t>
      </w:r>
      <w:r>
        <w:rPr>
          <w:rFonts w:ascii="Times New Roman" w:hAnsi="Times New Roman" w:eastAsia="Times New Roman"/>
          <w:w w:val="99"/>
        </w:rPr>
        <w:t>U</w:t>
      </w:r>
      <w:r>
        <w:rPr>
          <w:rFonts w:ascii="Times New Roman" w:hAnsi="Times New Roman" w:eastAsia="Times New Roman"/>
          <w:spacing w:val="-2"/>
          <w:w w:val="99"/>
        </w:rPr>
        <w:t>R</w:t>
      </w:r>
      <w:r>
        <w:rPr>
          <w:rFonts w:ascii="Times New Roman" w:hAnsi="Times New Roman" w:eastAsia="Times New Roman"/>
          <w:w w:val="99"/>
        </w:rPr>
        <w:t>I</w:t>
      </w:r>
      <w:r>
        <w:rPr>
          <w:rFonts w:ascii="Times New Roman" w:hAnsi="Times New Roman" w:eastAsia="Times New Roman"/>
          <w:w w:val="99"/>
        </w:rPr>
        <w:t>ON</w:t>
      </w:r>
      <w:r>
        <w:rPr>
          <w:rFonts w:ascii="Times New Roman" w:hAnsi="Times New Roman" w:eastAsia="Times New Roman"/>
        </w:rPr>
        <w:t>7 </w:t>
      </w:r>
      <w:r>
        <w:rPr>
          <w:rFonts w:ascii="Times New Roman" w:hAnsi="Times New Roman" w:eastAsia="Times New Roman"/>
          <w:w w:val="99"/>
        </w:rPr>
        <w:t>M</w:t>
      </w:r>
      <w:r>
        <w:rPr>
          <w:rFonts w:ascii="Times New Roman" w:hAnsi="Times New Roman" w:eastAsia="Times New Roman"/>
        </w:rPr>
        <w:t>2</w:t>
      </w:r>
      <w:r>
        <w:rPr>
          <w:rFonts w:ascii="Times New Roman" w:hAnsi="Times New Roman" w:eastAsia="Times New Roman"/>
          <w:spacing w:val="-1"/>
        </w:rPr>
        <w:t>0</w:t>
      </w:r>
      <w:r>
        <w:rPr>
          <w:spacing w:val="-22"/>
        </w:rPr>
        <w:t>，其最大管电压 </w:t>
      </w:r>
      <w:r>
        <w:rPr>
          <w:rFonts w:ascii="Times New Roman" w:hAnsi="Times New Roman" w:eastAsia="Times New Roman"/>
        </w:rPr>
        <w:t>125k</w:t>
      </w:r>
      <w:r>
        <w:rPr>
          <w:rFonts w:ascii="Times New Roman" w:hAnsi="Times New Roman" w:eastAsia="Times New Roman"/>
          <w:spacing w:val="-1"/>
          <w:w w:val="99"/>
        </w:rPr>
        <w:t>V</w:t>
      </w:r>
      <w:r>
        <w:rPr>
          <w:spacing w:val="-25"/>
        </w:rPr>
        <w:t>、最大管电流 </w:t>
      </w:r>
      <w:r>
        <w:rPr>
          <w:rFonts w:ascii="Times New Roman" w:hAnsi="Times New Roman" w:eastAsia="Times New Roman"/>
        </w:rPr>
        <w:t>1000</w:t>
      </w:r>
      <w:r>
        <w:rPr>
          <w:rFonts w:ascii="Times New Roman" w:hAnsi="Times New Roman" w:eastAsia="Times New Roman"/>
          <w:w w:val="99"/>
        </w:rPr>
        <w:t>m</w:t>
      </w:r>
      <w:r>
        <w:rPr>
          <w:rFonts w:ascii="Times New Roman" w:hAnsi="Times New Roman" w:eastAsia="Times New Roman"/>
          <w:w w:val="99"/>
        </w:rPr>
        <w:t>A</w:t>
      </w:r>
      <w:r>
        <w:rPr/>
        <w:t>，</w:t>
      </w:r>
      <w:r>
        <w:rPr>
          <w:spacing w:val="-1"/>
        </w:rPr>
        <w:t>属于</w:t>
      </w:r>
      <w:r>
        <w:rPr>
          <w:rFonts w:ascii="Times New Roman" w:hAnsi="Times New Roman" w:eastAsia="Times New Roman"/>
          <w:w w:val="99"/>
        </w:rPr>
        <w:t>Ⅱ</w:t>
      </w:r>
      <w:r>
        <w:rPr/>
        <w:t>类射线装置</w:t>
      </w:r>
      <w:r>
        <w:rPr>
          <w:spacing w:val="-120"/>
        </w:rPr>
        <w:t>）</w:t>
      </w:r>
      <w:r>
        <w:rPr>
          <w:spacing w:val="-4"/>
        </w:rPr>
        <w:t>，用于介入治疗手术约有 </w:t>
      </w:r>
      <w:r>
        <w:rPr>
          <w:rFonts w:ascii="Times New Roman" w:hAnsi="Times New Roman" w:eastAsia="Times New Roman"/>
        </w:rPr>
        <w:t>300 </w:t>
      </w:r>
      <w:r>
        <w:rPr/>
        <w:t>台</w:t>
      </w:r>
      <w:r>
        <w:rPr>
          <w:rFonts w:ascii="Times New Roman" w:hAnsi="Times New Roman" w:eastAsia="Times New Roman"/>
          <w:w w:val="99"/>
        </w:rPr>
        <w:t>/</w:t>
      </w:r>
      <w:r>
        <w:rPr>
          <w:spacing w:val="-5"/>
        </w:rPr>
        <w:t>年，年出束时间累计约 </w:t>
      </w:r>
      <w:r>
        <w:rPr>
          <w:rFonts w:ascii="Times New Roman" w:hAnsi="Times New Roman" w:eastAsia="Times New Roman"/>
        </w:rPr>
        <w:t>100</w:t>
      </w:r>
      <w:r>
        <w:rPr>
          <w:rFonts w:ascii="Times New Roman" w:hAnsi="Times New Roman" w:eastAsia="Times New Roman"/>
          <w:spacing w:val="-1"/>
        </w:rPr>
        <w:t>h</w:t>
      </w:r>
      <w:r>
        <w:rPr/>
        <w:t>（包</w:t>
      </w:r>
      <w:r>
        <w:rPr>
          <w:spacing w:val="-11"/>
        </w:rPr>
        <w:t>含透视 </w:t>
      </w:r>
      <w:r>
        <w:rPr>
          <w:rFonts w:ascii="Times New Roman" w:hAnsi="Times New Roman" w:eastAsia="Times New Roman"/>
        </w:rPr>
        <w:t>75h</w:t>
      </w:r>
      <w:r>
        <w:rPr>
          <w:rFonts w:ascii="Times New Roman" w:hAnsi="Times New Roman" w:eastAsia="Times New Roman"/>
          <w:w w:val="99"/>
        </w:rPr>
        <w:t>/</w:t>
      </w:r>
      <w:r>
        <w:rPr>
          <w:rFonts w:ascii="Times New Roman" w:hAnsi="Times New Roman" w:eastAsia="Times New Roman"/>
          <w:w w:val="99"/>
        </w:rPr>
        <w:t>a</w:t>
      </w:r>
      <w:r>
        <w:rPr>
          <w:rFonts w:ascii="Times New Roman" w:hAnsi="Times New Roman" w:eastAsia="Times New Roman"/>
        </w:rPr>
        <w:t> </w:t>
      </w:r>
      <w:r>
        <w:rPr>
          <w:spacing w:val="-8"/>
        </w:rPr>
        <w:t>及拍片时间 </w:t>
      </w:r>
      <w:r>
        <w:rPr>
          <w:rFonts w:ascii="Times New Roman" w:hAnsi="Times New Roman" w:eastAsia="Times New Roman"/>
        </w:rPr>
        <w:t>25h</w:t>
      </w:r>
      <w:r>
        <w:rPr>
          <w:rFonts w:ascii="Times New Roman" w:hAnsi="Times New Roman" w:eastAsia="Times New Roman"/>
          <w:w w:val="99"/>
        </w:rPr>
        <w:t>/</w:t>
      </w:r>
      <w:r>
        <w:rPr>
          <w:rFonts w:ascii="Times New Roman" w:hAnsi="Times New Roman" w:eastAsia="Times New Roman"/>
          <w:spacing w:val="-1"/>
          <w:w w:val="99"/>
        </w:rPr>
        <w:t>a</w:t>
      </w:r>
      <w:r>
        <w:rPr>
          <w:spacing w:val="-120"/>
        </w:rPr>
        <w:t>）</w:t>
      </w:r>
      <w:r>
        <w:rPr/>
        <w:t>，常用出束方向由下而上，主要用于介入手术，血管造影等。</w:t>
      </w:r>
    </w:p>
    <w:p>
      <w:pPr>
        <w:pStyle w:val="BodyText"/>
        <w:spacing w:line="364" w:lineRule="auto" w:before="4"/>
        <w:ind w:left="272" w:right="273" w:firstLine="480"/>
        <w:jc w:val="both"/>
      </w:pPr>
      <w:r>
        <w:rPr>
          <w:spacing w:val="-6"/>
        </w:rPr>
        <w:t>介入治疗室</w:t>
      </w:r>
      <w:r>
        <w:rPr>
          <w:spacing w:val="-1"/>
        </w:rPr>
        <w:t>（</w:t>
      </w:r>
      <w:r>
        <w:rPr>
          <w:rFonts w:ascii="Times New Roman" w:eastAsia="Times New Roman"/>
        </w:rPr>
        <w:t>72.56</w:t>
      </w:r>
      <w:r>
        <w:rPr>
          <w:rFonts w:ascii="Times New Roman" w:eastAsia="Times New Roman"/>
          <w:w w:val="99"/>
        </w:rPr>
        <w:t>m</w:t>
      </w:r>
      <w:r>
        <w:rPr>
          <w:rFonts w:ascii="Times New Roman" w:eastAsia="Times New Roman"/>
          <w:spacing w:val="1"/>
          <w:w w:val="100"/>
          <w:position w:val="9"/>
          <w:sz w:val="16"/>
        </w:rPr>
        <w:t>2</w:t>
      </w:r>
      <w:r>
        <w:rPr>
          <w:spacing w:val="-123"/>
        </w:rPr>
        <w:t>）</w:t>
      </w:r>
      <w:r>
        <w:rPr>
          <w:spacing w:val="-31"/>
        </w:rPr>
        <w:t>：长 </w:t>
      </w:r>
      <w:r>
        <w:rPr>
          <w:rFonts w:ascii="Times New Roman" w:eastAsia="Times New Roman"/>
        </w:rPr>
        <w:t>9.70</w:t>
      </w:r>
      <w:r>
        <w:rPr>
          <w:rFonts w:ascii="Times New Roman" w:eastAsia="Times New Roman"/>
          <w:w w:val="99"/>
        </w:rPr>
        <w:t>m</w:t>
      </w:r>
      <w:r>
        <w:rPr>
          <w:spacing w:val="-31"/>
        </w:rPr>
        <w:t>，宽 </w:t>
      </w:r>
      <w:r>
        <w:rPr>
          <w:rFonts w:ascii="Times New Roman" w:eastAsia="Times New Roman"/>
        </w:rPr>
        <w:t>7.48</w:t>
      </w:r>
      <w:r>
        <w:rPr>
          <w:rFonts w:ascii="Times New Roman" w:eastAsia="Times New Roman"/>
          <w:w w:val="99"/>
        </w:rPr>
        <w:t>m</w:t>
      </w:r>
      <w:r>
        <w:rPr>
          <w:spacing w:val="-31"/>
        </w:rPr>
        <w:t>，高 </w:t>
      </w:r>
      <w:r>
        <w:rPr>
          <w:rFonts w:ascii="Times New Roman" w:eastAsia="Times New Roman"/>
        </w:rPr>
        <w:t>3</w:t>
      </w:r>
      <w:r>
        <w:rPr>
          <w:rFonts w:ascii="Times New Roman" w:eastAsia="Times New Roman"/>
          <w:w w:val="99"/>
        </w:rPr>
        <w:t>m</w:t>
      </w:r>
      <w:r>
        <w:rPr>
          <w:spacing w:val="-13"/>
        </w:rPr>
        <w:t>，四周墙体均采用 </w:t>
      </w:r>
      <w:r>
        <w:rPr>
          <w:rFonts w:ascii="Times New Roman" w:eastAsia="Times New Roman"/>
        </w:rPr>
        <w:t>370</w:t>
      </w:r>
      <w:r>
        <w:rPr>
          <w:rFonts w:ascii="Times New Roman" w:eastAsia="Times New Roman"/>
          <w:w w:val="99"/>
        </w:rPr>
        <w:t>mm</w:t>
      </w:r>
      <w:r>
        <w:rPr>
          <w:rFonts w:ascii="Times New Roman" w:eastAsia="Times New Roman"/>
        </w:rPr>
        <w:t> </w:t>
      </w:r>
      <w:r>
        <w:rPr/>
        <w:t>厚实心砖墙；屋顶采用龙骨钢架</w:t>
      </w:r>
      <w:r>
        <w:rPr>
          <w:rFonts w:ascii="Times New Roman" w:eastAsia="Times New Roman"/>
        </w:rPr>
        <w:t>+3mm </w:t>
      </w:r>
      <w:r>
        <w:rPr>
          <w:spacing w:val="-2"/>
        </w:rPr>
        <w:t>铅板；介入治疗室观察窗设计为 </w:t>
      </w:r>
      <w:r>
        <w:rPr>
          <w:rFonts w:ascii="Times New Roman" w:eastAsia="Times New Roman"/>
        </w:rPr>
        <w:t>3mm </w:t>
      </w:r>
      <w:r>
        <w:rPr>
          <w:spacing w:val="-4"/>
        </w:rPr>
        <w:t>铅当量铅</w:t>
      </w:r>
      <w:r>
        <w:rPr>
          <w:spacing w:val="-2"/>
        </w:rPr>
        <w:t>窗，介入治疗室污物传递窗设计为 </w:t>
      </w:r>
      <w:r>
        <w:rPr>
          <w:rFonts w:ascii="Times New Roman" w:eastAsia="Times New Roman"/>
        </w:rPr>
        <w:t>3mm </w:t>
      </w:r>
      <w:r>
        <w:rPr/>
        <w:t>铅当量铅窗；铅门（</w:t>
      </w:r>
      <w:r>
        <w:rPr>
          <w:spacing w:val="-2"/>
        </w:rPr>
        <w:t>病人至介入治疗室防护</w:t>
      </w:r>
      <w:r>
        <w:rPr/>
        <w:t>门及控制室至介入治疗室防护门）</w:t>
      </w:r>
      <w:r>
        <w:rPr>
          <w:spacing w:val="-4"/>
        </w:rPr>
        <w:t>均设计为 </w:t>
      </w:r>
      <w:r>
        <w:rPr>
          <w:rFonts w:ascii="Times New Roman" w:eastAsia="Times New Roman"/>
        </w:rPr>
        <w:t>3mm </w:t>
      </w:r>
      <w:r>
        <w:rPr>
          <w:spacing w:val="-1"/>
        </w:rPr>
        <w:t>铅当量防护门。在介入治疗室西侧</w:t>
      </w:r>
      <w:r>
        <w:rPr/>
        <w:t>设有控制室</w:t>
      </w:r>
      <w:r>
        <w:rPr>
          <w:spacing w:val="-1"/>
        </w:rPr>
        <w:t>（</w:t>
      </w:r>
      <w:r>
        <w:rPr>
          <w:rFonts w:ascii="Times New Roman" w:eastAsia="Times New Roman"/>
          <w:spacing w:val="-10"/>
        </w:rPr>
        <w:t>1</w:t>
      </w:r>
      <w:r>
        <w:rPr>
          <w:rFonts w:ascii="Times New Roman" w:eastAsia="Times New Roman"/>
        </w:rPr>
        <w:t>1.73</w:t>
      </w:r>
      <w:r>
        <w:rPr>
          <w:rFonts w:ascii="Times New Roman" w:eastAsia="Times New Roman"/>
          <w:w w:val="99"/>
        </w:rPr>
        <w:t>m</w:t>
      </w:r>
      <w:r>
        <w:rPr>
          <w:rFonts w:ascii="Times New Roman" w:eastAsia="Times New Roman"/>
          <w:spacing w:val="1"/>
          <w:w w:val="100"/>
          <w:position w:val="9"/>
          <w:sz w:val="16"/>
        </w:rPr>
        <w:t>2</w:t>
      </w:r>
      <w:r>
        <w:rPr>
          <w:spacing w:val="-123"/>
        </w:rPr>
        <w:t>）</w:t>
      </w:r>
      <w:r>
        <w:rPr>
          <w:spacing w:val="-21"/>
        </w:rPr>
        <w:t>：长 </w:t>
      </w:r>
      <w:r>
        <w:rPr>
          <w:rFonts w:ascii="Times New Roman" w:eastAsia="Times New Roman"/>
        </w:rPr>
        <w:t>5.28</w:t>
      </w:r>
      <w:r>
        <w:rPr>
          <w:rFonts w:ascii="Times New Roman" w:eastAsia="Times New Roman"/>
          <w:w w:val="99"/>
        </w:rPr>
        <w:t>m</w:t>
      </w:r>
      <w:r>
        <w:rPr>
          <w:spacing w:val="-21"/>
        </w:rPr>
        <w:t>，宽 </w:t>
      </w:r>
      <w:r>
        <w:rPr>
          <w:rFonts w:ascii="Times New Roman" w:eastAsia="Times New Roman"/>
        </w:rPr>
        <w:t>4.70</w:t>
      </w:r>
      <w:r>
        <w:rPr>
          <w:rFonts w:ascii="Times New Roman" w:eastAsia="Times New Roman"/>
          <w:w w:val="99"/>
        </w:rPr>
        <w:t>m</w:t>
      </w:r>
      <w:r>
        <w:rPr/>
        <w:t>。</w:t>
      </w:r>
    </w:p>
    <w:p>
      <w:pPr>
        <w:pStyle w:val="BodyText"/>
        <w:spacing w:line="364" w:lineRule="auto" w:before="3"/>
        <w:ind w:left="272" w:right="227" w:firstLine="480"/>
      </w:pPr>
      <w:r>
        <w:rPr/>
        <w:t>介入治疗室设置有通排风系统，能及时将室内的附加臭氧排出室外，确保室内的附加臭氧浓度达到相应的标准要求。</w:t>
      </w:r>
    </w:p>
    <w:p>
      <w:pPr>
        <w:pStyle w:val="BodyText"/>
        <w:spacing w:line="364" w:lineRule="auto" w:before="2"/>
        <w:ind w:left="272" w:right="156" w:firstLine="480"/>
      </w:pPr>
      <w:r>
        <w:rPr>
          <w:spacing w:val="-8"/>
        </w:rPr>
        <w:t>介入治疗室配套房间配有控制室、设备间、卫生通过间、库房、缓冲间、更衣室、</w:t>
      </w:r>
      <w:r>
        <w:rPr/>
        <w:t>淋浴卫生间、值班室、治疗室、复苏室、家属谈话室及污物通道间等。</w:t>
      </w:r>
    </w:p>
    <w:p>
      <w:pPr>
        <w:pStyle w:val="BodyText"/>
        <w:spacing w:before="1"/>
        <w:ind w:left="754"/>
      </w:pPr>
      <w:r>
        <w:rPr/>
        <w:t>二、产业政策符合性</w:t>
      </w:r>
      <w:r>
        <w:rPr>
          <w:w w:val="50"/>
        </w:rPr>
        <w:t> </w:t>
      </w:r>
    </w:p>
    <w:p>
      <w:pPr>
        <w:pStyle w:val="BodyText"/>
        <w:spacing w:line="364" w:lineRule="auto" w:before="160"/>
        <w:ind w:left="272" w:right="156" w:firstLine="480"/>
      </w:pPr>
      <w:r>
        <w:rPr>
          <w:spacing w:val="-6"/>
        </w:rPr>
        <w:t>本项目系核技术应用项目在医学领域内的运用。根据国家发展和改革委员会 </w:t>
      </w:r>
      <w:r>
        <w:rPr>
          <w:rFonts w:ascii="Times New Roman" w:hAnsi="Times New Roman" w:eastAsia="Times New Roman"/>
        </w:rPr>
        <w:t>2019 </w:t>
      </w:r>
      <w:r>
        <w:rPr>
          <w:spacing w:val="-21"/>
        </w:rPr>
        <w:t>年第 </w:t>
      </w:r>
      <w:r>
        <w:rPr>
          <w:rFonts w:ascii="Times New Roman" w:hAnsi="Times New Roman" w:eastAsia="Times New Roman"/>
        </w:rPr>
        <w:t>29 </w:t>
      </w:r>
      <w:r>
        <w:rPr>
          <w:spacing w:val="-8"/>
        </w:rPr>
        <w:t>号令《产业结构调整指导目录</w:t>
      </w:r>
      <w:r>
        <w:rPr/>
        <w:t>（</w:t>
      </w:r>
      <w:r>
        <w:rPr>
          <w:rFonts w:ascii="Times New Roman" w:hAnsi="Times New Roman" w:eastAsia="Times New Roman"/>
        </w:rPr>
        <w:t>2019 </w:t>
      </w:r>
      <w:r>
        <w:rPr/>
        <w:t>年本</w:t>
      </w:r>
      <w:r>
        <w:rPr>
          <w:spacing w:val="-75"/>
        </w:rPr>
        <w:t>）</w:t>
      </w:r>
      <w:r>
        <w:rPr>
          <w:spacing w:val="-9"/>
        </w:rPr>
        <w:t>，属于鼓励类中第三十七项“卫生</w:t>
      </w:r>
      <w:r>
        <w:rPr>
          <w:spacing w:val="-20"/>
        </w:rPr>
        <w:t>健康”的第 </w:t>
      </w:r>
      <w:r>
        <w:rPr>
          <w:rFonts w:ascii="Times New Roman" w:hAnsi="Times New Roman" w:eastAsia="Times New Roman"/>
        </w:rPr>
        <w:t>5 </w:t>
      </w:r>
      <w:r>
        <w:rPr>
          <w:spacing w:val="-10"/>
        </w:rPr>
        <w:t>条“医疗卫生服务设施建设”，是目前国家鼓励发展的新技术应用项目。</w:t>
      </w:r>
      <w:r>
        <w:rPr>
          <w:spacing w:val="-2"/>
        </w:rPr>
        <w:t>本项目的运营可为三台县及周边病人提供诊疗服务，是提高人民群众生活质量，提高</w:t>
      </w:r>
    </w:p>
    <w:p>
      <w:pPr>
        <w:spacing w:after="0" w:line="364" w:lineRule="auto"/>
        <w:sectPr>
          <w:pgSz w:w="11910" w:h="16840"/>
          <w:pgMar w:header="0" w:footer="881" w:top="1320" w:bottom="1160" w:left="1480" w:right="1020"/>
        </w:sectPr>
      </w:pPr>
    </w:p>
    <w:p>
      <w:pPr>
        <w:pStyle w:val="BodyText"/>
        <w:spacing w:line="364" w:lineRule="auto" w:before="100"/>
        <w:ind w:left="272" w:right="227"/>
      </w:pPr>
      <w:r>
        <w:rPr/>
        <w:pict>
          <v:group style="position:absolute;margin-left:81.959999pt;margin-top:62.399937pt;width:454.1pt;height:703pt;mso-position-horizontal-relative:page;mso-position-vertical-relative:page;z-index:-210832" coordorigin="1639,1248" coordsize="9082,14060">
            <v:line style="position:absolute" from="1639,1253" to="10711,1253" stroked="true" strokeweight=".479999pt" strokecolor="#000000">
              <v:stroke dashstyle="solid"/>
            </v:line>
            <v:line style="position:absolute" from="1644,1258" to="1644,15307" stroked="true" strokeweight=".479999pt" strokecolor="#000000">
              <v:stroke dashstyle="solid"/>
            </v:line>
            <v:line style="position:absolute" from="1639,15302" to="10711,15302" stroked="true" strokeweight=".479965pt" strokecolor="#000000">
              <v:stroke dashstyle="solid"/>
            </v:line>
            <v:line style="position:absolute" from="10716,1248" to="10716,15307" stroked="true" strokeweight=".479966pt" strokecolor="#000000">
              <v:stroke dashstyle="solid"/>
            </v:line>
            <w10:wrap type="none"/>
          </v:group>
        </w:pict>
      </w:r>
      <w:r>
        <w:rPr/>
        <w:t>全市医疗卫生水平和建设小康设备的重要内容，本项目具有放射实践的正当性，符合现行的国家产业政策。</w:t>
      </w:r>
    </w:p>
    <w:p>
      <w:pPr>
        <w:pStyle w:val="BodyText"/>
        <w:spacing w:before="2"/>
        <w:ind w:left="754"/>
      </w:pPr>
      <w:r>
        <w:rPr/>
        <w:t>三、项目周边保护目标以及场址选址情况</w:t>
      </w:r>
      <w:r>
        <w:rPr>
          <w:w w:val="50"/>
        </w:rPr>
        <w:t> </w:t>
      </w:r>
    </w:p>
    <w:p>
      <w:pPr>
        <w:pStyle w:val="BodyText"/>
        <w:spacing w:line="364" w:lineRule="auto" w:before="160"/>
        <w:ind w:left="272" w:right="276" w:firstLine="480"/>
        <w:jc w:val="both"/>
      </w:pPr>
      <w:r>
        <w:rPr>
          <w:spacing w:val="-1"/>
        </w:rPr>
        <w:t>三台县中医院位于四川省绵阳市三台县潼川镇学街 </w:t>
      </w:r>
      <w:r>
        <w:rPr>
          <w:rFonts w:ascii="Times New Roman" w:eastAsia="Times New Roman"/>
        </w:rPr>
        <w:t>31 </w:t>
      </w:r>
      <w:r>
        <w:rPr>
          <w:spacing w:val="-2"/>
        </w:rPr>
        <w:t>号，医院综合考虑项目特</w:t>
      </w:r>
      <w:r>
        <w:rPr>
          <w:spacing w:val="-3"/>
        </w:rPr>
        <w:t>点和对周围环境可能存在的影响，将本项目介入治疗室建于院内行政楼 </w:t>
      </w:r>
      <w:r>
        <w:rPr>
          <w:rFonts w:ascii="Times New Roman" w:eastAsia="Times New Roman"/>
        </w:rPr>
        <w:t>1 </w:t>
      </w:r>
      <w:r>
        <w:rPr>
          <w:spacing w:val="-6"/>
        </w:rPr>
        <w:t>楼，避开了</w:t>
      </w:r>
      <w:r>
        <w:rPr/>
        <w:t>人流量较大的门诊区域，减少了对公众的不必要照射。</w:t>
      </w:r>
    </w:p>
    <w:p>
      <w:pPr>
        <w:pStyle w:val="BodyText"/>
        <w:spacing w:line="364" w:lineRule="auto" w:before="2"/>
        <w:ind w:left="272" w:right="276" w:firstLine="480"/>
        <w:jc w:val="both"/>
      </w:pPr>
      <w:r>
        <w:rPr>
          <w:spacing w:val="-9"/>
        </w:rPr>
        <w:t>三台县中医院用地属于医疗卫生用地， 因此，本项目符合国家现行产业政策。从</w:t>
      </w:r>
      <w:r>
        <w:rPr>
          <w:spacing w:val="-4"/>
        </w:rPr>
        <w:t>周边外环境关系可知，医院周边规划为居民住宅和市政道路，周边无自然保护区等生</w:t>
      </w:r>
      <w:r>
        <w:rPr/>
        <w:t>态环境保护目标，无大的环境制约因素。</w:t>
      </w:r>
      <w:r>
        <w:rPr>
          <w:w w:val="50"/>
        </w:rPr>
        <w:t> </w:t>
      </w:r>
    </w:p>
    <w:p>
      <w:pPr>
        <w:pStyle w:val="BodyText"/>
        <w:spacing w:line="364" w:lineRule="auto" w:before="2"/>
        <w:ind w:left="272" w:right="156" w:firstLine="480"/>
      </w:pPr>
      <w:r>
        <w:rPr>
          <w:spacing w:val="-3"/>
        </w:rPr>
        <w:t>本项目所在行政楼已在《关于三台县环境保护局关于三台县中医院灾后重建项目</w:t>
      </w:r>
      <w:r>
        <w:rPr>
          <w:spacing w:val="-6"/>
        </w:rPr>
        <w:t>试运行的批复》中完成了环境影响评价并已取得原三台县环境保护局</w:t>
      </w:r>
      <w:r>
        <w:rPr/>
        <w:t>（现绵阳市三台生态环境局）批复（</w:t>
      </w:r>
      <w:r>
        <w:rPr>
          <w:spacing w:val="-1"/>
        </w:rPr>
        <w:t>三环保〔</w:t>
      </w:r>
      <w:r>
        <w:rPr>
          <w:rFonts w:ascii="Times New Roman" w:eastAsia="Times New Roman"/>
        </w:rPr>
        <w:t>201</w:t>
      </w:r>
      <w:r>
        <w:rPr>
          <w:rFonts w:ascii="Times New Roman" w:eastAsia="Times New Roman"/>
          <w:spacing w:val="-1"/>
        </w:rPr>
        <w:t>2</w:t>
      </w:r>
      <w:r>
        <w:rPr/>
        <w:t>〕</w:t>
      </w:r>
      <w:r>
        <w:rPr>
          <w:rFonts w:ascii="Times New Roman" w:eastAsia="Times New Roman"/>
        </w:rPr>
        <w:t>48</w:t>
      </w:r>
      <w:r>
        <w:rPr>
          <w:rFonts w:ascii="Times New Roman" w:eastAsia="Times New Roman"/>
          <w:spacing w:val="-12"/>
        </w:rPr>
        <w:t>  </w:t>
      </w:r>
      <w:r>
        <w:rPr/>
        <w:t>号</w:t>
      </w:r>
      <w:r>
        <w:rPr>
          <w:spacing w:val="-120"/>
        </w:rPr>
        <w:t>）</w:t>
      </w:r>
      <w:r>
        <w:rPr/>
        <w:t>，本项目仅为原有房间进行改造装修，不</w:t>
      </w:r>
      <w:r>
        <w:rPr>
          <w:spacing w:val="-4"/>
        </w:rPr>
        <w:t>新增用地，且新建辐射工作场所有良好的实体屏蔽设施和防护措施，产生的辐射经屏</w:t>
      </w:r>
      <w:r>
        <w:rPr>
          <w:spacing w:val="-5"/>
        </w:rPr>
        <w:t>蔽和防护后对辐射工作人员及公众的照射剂量满足《电离辐射防护与辐射源安全基本</w:t>
      </w:r>
      <w:r>
        <w:rPr>
          <w:spacing w:val="-57"/>
        </w:rPr>
        <w:t>标准》</w:t>
      </w:r>
      <w:r>
        <w:rPr>
          <w:spacing w:val="-3"/>
        </w:rPr>
        <w:t>（</w:t>
      </w:r>
      <w:r>
        <w:rPr>
          <w:rFonts w:ascii="Times New Roman" w:eastAsia="Times New Roman"/>
          <w:spacing w:val="-3"/>
        </w:rPr>
        <w:t>GB18871-2002</w:t>
      </w:r>
      <w:r>
        <w:rPr>
          <w:spacing w:val="-3"/>
        </w:rPr>
        <w:t>）</w:t>
      </w:r>
      <w:r>
        <w:rPr>
          <w:spacing w:val="-1"/>
        </w:rPr>
        <w:t>中的剂量限值要求和本报告表确定的剂量管理约束值的要求， </w:t>
      </w:r>
      <w:r>
        <w:rPr/>
        <w:t>从辐射安全防护角度分析，本项目选址是合理的。</w:t>
      </w:r>
    </w:p>
    <w:p>
      <w:pPr>
        <w:pStyle w:val="BodyText"/>
        <w:spacing w:before="4"/>
        <w:ind w:left="754"/>
      </w:pPr>
      <w:r>
        <w:rPr/>
        <w:t>四、区域环境质量现状</w:t>
      </w:r>
      <w:r>
        <w:rPr>
          <w:w w:val="50"/>
        </w:rPr>
        <w:t> </w:t>
      </w:r>
    </w:p>
    <w:p>
      <w:pPr>
        <w:pStyle w:val="BodyText"/>
        <w:tabs>
          <w:tab w:pos="8011" w:val="left" w:leader="none"/>
        </w:tabs>
        <w:spacing w:line="364" w:lineRule="auto" w:before="160"/>
        <w:ind w:left="272" w:right="192" w:firstLine="480"/>
      </w:pPr>
      <w:r>
        <w:rPr/>
        <w:t>根据监测结果可知</w:t>
      </w:r>
      <w:r>
        <w:rPr>
          <w:spacing w:val="-24"/>
        </w:rPr>
        <w:t>，</w:t>
      </w:r>
      <w:r>
        <w:rPr/>
        <w:t>本项目介入治疗室周边环境的空气吸收剂量率与四川省生态环境厅《</w:t>
      </w:r>
      <w:r>
        <w:rPr>
          <w:rFonts w:ascii="Times New Roman" w:eastAsia="Times New Roman"/>
        </w:rPr>
        <w:t>2020</w:t>
      </w:r>
      <w:r>
        <w:rPr>
          <w:rFonts w:ascii="Times New Roman" w:eastAsia="Times New Roman"/>
          <w:spacing w:val="-2"/>
        </w:rPr>
        <w:t> </w:t>
      </w:r>
      <w:r>
        <w:rPr/>
        <w:t>年四川省生态环境状况公报》中全省环境电离辐射水平（</w:t>
        <w:tab/>
      </w:r>
      <w:r>
        <w:rPr>
          <w:rFonts w:ascii="Times New Roman" w:eastAsia="Times New Roman"/>
          <w:spacing w:val="-3"/>
        </w:rPr>
        <w:t>130nGy/h</w:t>
      </w:r>
      <w:r>
        <w:rPr>
          <w:spacing w:val="-3"/>
        </w:rPr>
        <w:t>） </w:t>
      </w:r>
      <w:r>
        <w:rPr/>
        <w:t>基本一致，属于当地正常天然本底辐射水平。</w:t>
      </w:r>
    </w:p>
    <w:p>
      <w:pPr>
        <w:pStyle w:val="BodyText"/>
        <w:spacing w:before="2"/>
        <w:ind w:left="754"/>
      </w:pPr>
      <w:r>
        <w:rPr/>
        <w:t>五、环境影响评价分析结论</w:t>
      </w:r>
      <w:r>
        <w:rPr>
          <w:w w:val="50"/>
        </w:rPr>
        <w:t> </w:t>
      </w:r>
    </w:p>
    <w:p>
      <w:pPr>
        <w:pStyle w:val="BodyText"/>
        <w:spacing w:before="161"/>
        <w:ind w:left="754"/>
      </w:pPr>
      <w:r>
        <w:rPr/>
        <w:t>1、正常工况下辐射环境影响评价结论</w:t>
      </w:r>
      <w:r>
        <w:rPr>
          <w:w w:val="50"/>
        </w:rPr>
        <w:t> </w:t>
      </w:r>
    </w:p>
    <w:p>
      <w:pPr>
        <w:pStyle w:val="ListParagraph"/>
        <w:numPr>
          <w:ilvl w:val="0"/>
          <w:numId w:val="33"/>
        </w:numPr>
        <w:tabs>
          <w:tab w:pos="1353" w:val="left" w:leader="none"/>
        </w:tabs>
        <w:spacing w:line="240" w:lineRule="auto" w:before="160" w:after="0"/>
        <w:ind w:left="1353" w:right="0" w:hanging="601"/>
        <w:jc w:val="left"/>
        <w:rPr>
          <w:sz w:val="24"/>
        </w:rPr>
      </w:pPr>
      <w:r>
        <w:rPr>
          <w:sz w:val="24"/>
        </w:rPr>
        <w:t>辐射环境影响分析结论</w:t>
      </w:r>
    </w:p>
    <w:p>
      <w:pPr>
        <w:pStyle w:val="BodyText"/>
        <w:spacing w:line="364" w:lineRule="auto" w:before="161"/>
        <w:ind w:left="272" w:right="199" w:firstLine="480"/>
        <w:jc w:val="both"/>
      </w:pPr>
      <w:r>
        <w:rPr/>
        <w:t>在严格落实国家相关法律法规的要求后，本项目所致职业人员和公众年有效剂量符合《电离辐射防护与辐射源安全基本标准》(</w:t>
      </w:r>
      <w:r>
        <w:rPr>
          <w:rFonts w:ascii="Times New Roman" w:hAnsi="Times New Roman" w:eastAsia="Times New Roman"/>
        </w:rPr>
        <w:t>GB18871‐2002</w:t>
      </w:r>
      <w:r>
        <w:rPr/>
        <w:t>)的辐射剂量限值要求， 同时也符合本报告提出的照射剂量约束值要求（ 职业照射 </w:t>
      </w:r>
      <w:r>
        <w:rPr>
          <w:rFonts w:ascii="Times New Roman" w:hAnsi="Times New Roman" w:eastAsia="Times New Roman"/>
        </w:rPr>
        <w:t>5mSv/a</w:t>
      </w:r>
      <w:r>
        <w:rPr/>
        <w:t>、公众照射</w:t>
      </w:r>
    </w:p>
    <w:p>
      <w:pPr>
        <w:pStyle w:val="BodyText"/>
        <w:spacing w:before="2"/>
        <w:ind w:left="272"/>
      </w:pPr>
      <w:r>
        <w:rPr>
          <w:rFonts w:ascii="Times New Roman" w:eastAsia="Times New Roman"/>
        </w:rPr>
        <w:t>0.1</w:t>
      </w:r>
      <w:r>
        <w:rPr>
          <w:rFonts w:ascii="Times New Roman" w:eastAsia="Times New Roman"/>
          <w:w w:val="99"/>
        </w:rPr>
        <w:t>m</w:t>
      </w:r>
      <w:r>
        <w:rPr>
          <w:rFonts w:ascii="Times New Roman" w:eastAsia="Times New Roman"/>
          <w:w w:val="99"/>
        </w:rPr>
        <w:t>S</w:t>
      </w:r>
      <w:r>
        <w:rPr>
          <w:rFonts w:ascii="Times New Roman" w:eastAsia="Times New Roman"/>
          <w:spacing w:val="2"/>
        </w:rPr>
        <w:t>v</w:t>
      </w:r>
      <w:r>
        <w:rPr>
          <w:rFonts w:ascii="Times New Roman" w:eastAsia="Times New Roman"/>
          <w:w w:val="99"/>
        </w:rPr>
        <w:t>/</w:t>
      </w:r>
      <w:r>
        <w:rPr>
          <w:rFonts w:ascii="Times New Roman" w:eastAsia="Times New Roman"/>
          <w:spacing w:val="-2"/>
          <w:w w:val="99"/>
        </w:rPr>
        <w:t>a</w:t>
      </w:r>
      <w:r>
        <w:rPr>
          <w:spacing w:val="-120"/>
        </w:rPr>
        <w:t>）</w:t>
      </w:r>
      <w:r>
        <w:rPr/>
        <w:t>。评价结果表明本项目辐射工作场所的防护性能符合要求。</w:t>
      </w:r>
    </w:p>
    <w:p>
      <w:pPr>
        <w:pStyle w:val="ListParagraph"/>
        <w:numPr>
          <w:ilvl w:val="0"/>
          <w:numId w:val="33"/>
        </w:numPr>
        <w:tabs>
          <w:tab w:pos="1353" w:val="left" w:leader="none"/>
        </w:tabs>
        <w:spacing w:line="240" w:lineRule="auto" w:before="160" w:after="0"/>
        <w:ind w:left="1353" w:right="0" w:hanging="601"/>
        <w:jc w:val="left"/>
        <w:rPr>
          <w:sz w:val="24"/>
        </w:rPr>
      </w:pPr>
      <w:r>
        <w:rPr>
          <w:sz w:val="24"/>
        </w:rPr>
        <w:t>非放环境影响分析结论</w:t>
      </w:r>
    </w:p>
    <w:p>
      <w:pPr>
        <w:pStyle w:val="BodyText"/>
        <w:spacing w:line="364" w:lineRule="auto" w:before="161"/>
        <w:ind w:left="272" w:right="271" w:firstLine="480"/>
      </w:pPr>
      <w:r>
        <w:rPr/>
        <w:t>本项目辐射工作人员和患者产生的生活污水及医疗废水依托医院现有的污水处理站处理。</w:t>
      </w:r>
    </w:p>
    <w:p>
      <w:pPr>
        <w:spacing w:after="0" w:line="364" w:lineRule="auto"/>
        <w:sectPr>
          <w:pgSz w:w="11910" w:h="16840"/>
          <w:pgMar w:header="0" w:footer="881" w:top="1220" w:bottom="1160" w:left="1480" w:right="1020"/>
        </w:sectPr>
      </w:pPr>
    </w:p>
    <w:p>
      <w:pPr>
        <w:pStyle w:val="BodyText"/>
        <w:spacing w:line="364" w:lineRule="auto" w:before="100"/>
        <w:ind w:left="272" w:right="252" w:firstLine="480"/>
        <w:jc w:val="right"/>
      </w:pPr>
      <w:r>
        <w:rPr/>
        <w:pict>
          <v:group style="position:absolute;margin-left:81.959999pt;margin-top:62.399937pt;width:454.1pt;height:703pt;mso-position-horizontal-relative:page;mso-position-vertical-relative:page;z-index:-210808" coordorigin="1639,1248" coordsize="9082,14060">
            <v:line style="position:absolute" from="1639,1253" to="10711,1253" stroked="true" strokeweight=".479999pt" strokecolor="#000000">
              <v:stroke dashstyle="solid"/>
            </v:line>
            <v:line style="position:absolute" from="1644,1258" to="1644,15307" stroked="true" strokeweight=".479999pt" strokecolor="#000000">
              <v:stroke dashstyle="solid"/>
            </v:line>
            <v:line style="position:absolute" from="1639,15302" to="10711,15302" stroked="true" strokeweight=".479965pt" strokecolor="#000000">
              <v:stroke dashstyle="solid"/>
            </v:line>
            <v:line style="position:absolute" from="10716,1248" to="10716,15307" stroked="true" strokeweight=".479966pt" strokecolor="#000000">
              <v:stroke dashstyle="solid"/>
            </v:line>
            <w10:wrap type="none"/>
          </v:group>
        </w:pict>
      </w:r>
      <w:r>
        <w:rPr>
          <w:spacing w:val="-7"/>
        </w:rPr>
        <w:t>开机出束期间产生的 </w:t>
      </w:r>
      <w:r>
        <w:rPr>
          <w:rFonts w:ascii="Times New Roman" w:eastAsia="Times New Roman"/>
        </w:rPr>
        <w:t>X </w:t>
      </w:r>
      <w:r>
        <w:rPr>
          <w:spacing w:val="-4"/>
        </w:rPr>
        <w:t>射线与空气中的氧气相互作用产生少量的臭氧。臭氧经通</w:t>
      </w:r>
      <w:r>
        <w:rPr>
          <w:spacing w:val="-5"/>
        </w:rPr>
        <w:t>排风系统一抽排至室外排放，再经大气稀释自然扩散后，对周围大气环境影响轻微。</w:t>
      </w:r>
      <w:r>
        <w:rPr>
          <w:spacing w:val="-2"/>
        </w:rPr>
        <w:t>本项目噪声源为介入治疗室通排风系统，该装置采用低噪声设备且带有消声静压</w:t>
      </w:r>
    </w:p>
    <w:p>
      <w:pPr>
        <w:pStyle w:val="BodyText"/>
        <w:spacing w:line="364" w:lineRule="auto" w:before="2"/>
        <w:ind w:left="272" w:right="230"/>
      </w:pPr>
      <w:r>
        <w:rPr/>
        <w:t>箱，经建筑物墙体隔声及医院场址内的距离衰减后，运行期间厂界噪声可达到相关标准要求。</w:t>
      </w:r>
    </w:p>
    <w:p>
      <w:pPr>
        <w:pStyle w:val="BodyText"/>
        <w:spacing w:line="364" w:lineRule="auto" w:before="1"/>
        <w:ind w:left="272" w:right="273" w:firstLine="480"/>
        <w:jc w:val="both"/>
      </w:pPr>
      <w:r>
        <w:rPr>
          <w:spacing w:val="-4"/>
        </w:rPr>
        <w:t>本项目采用先进的数字成像技术，不使用显影液、定影液和胶片，因此不产生废</w:t>
      </w:r>
      <w:r>
        <w:rPr>
          <w:spacing w:val="-5"/>
        </w:rPr>
        <w:t>显影液、废定影液和废胶片。本项目固体废物主要为介入手术时产生的医用器具和药</w:t>
      </w:r>
      <w:r>
        <w:rPr>
          <w:spacing w:val="-7"/>
        </w:rPr>
        <w:t>棉、纱布、手套、废造影剂及废造影剂瓶等医用辅料，其中外购的造影剂均采用不锈</w:t>
      </w:r>
      <w:r>
        <w:rPr>
          <w:spacing w:val="-4"/>
        </w:rPr>
        <w:t>钢药品柜单独密闭并加锁保存，钥匙交专人保管；在进行介入手术时，使用带托盘的</w:t>
      </w:r>
    </w:p>
    <w:p>
      <w:pPr>
        <w:pStyle w:val="BodyText"/>
        <w:spacing w:line="365" w:lineRule="exact"/>
        <w:ind w:left="272"/>
      </w:pPr>
      <w:r>
        <w:rPr>
          <w:spacing w:val="-8"/>
        </w:rPr>
        <w:t>不锈钢推车进行运送；未使用完和过期的造影剂均作为医疗废物处理</w:t>
      </w:r>
      <w:r>
        <w:rPr>
          <w:rFonts w:ascii="Microsoft JhengHei" w:eastAsia="Microsoft JhengHei" w:hint="eastAsia"/>
          <w:b/>
          <w:spacing w:val="-6"/>
        </w:rPr>
        <w:t>， </w:t>
      </w:r>
      <w:r>
        <w:rPr/>
        <w:t>介入手术产生</w:t>
      </w:r>
    </w:p>
    <w:p>
      <w:pPr>
        <w:pStyle w:val="BodyText"/>
        <w:spacing w:line="364" w:lineRule="auto" w:before="106"/>
        <w:ind w:left="272" w:right="227"/>
      </w:pPr>
      <w:r>
        <w:rPr/>
        <w:t>的医疗废物采用专门的收集容器统一收集并暂存于医院现有的危险废物污物间，定期由有资质的医疗废物处置单位统一收集处置。</w:t>
      </w:r>
    </w:p>
    <w:p>
      <w:pPr>
        <w:pStyle w:val="BodyText"/>
        <w:spacing w:line="364" w:lineRule="auto" w:before="2"/>
        <w:ind w:left="272" w:right="252" w:firstLine="480"/>
        <w:jc w:val="both"/>
      </w:pPr>
      <w:r>
        <w:rPr/>
        <w:t>本项目工作人员产生的生活垃圾及办公垃圾集中暂存于院区内生活垃圾暂存间， 由市政环卫部门定期统一收集、清运至垃圾处理厂处置。</w:t>
      </w:r>
    </w:p>
    <w:p>
      <w:pPr>
        <w:pStyle w:val="BodyText"/>
        <w:spacing w:before="1"/>
        <w:ind w:left="754"/>
      </w:pPr>
      <w:r>
        <w:rPr/>
        <w:t>2、事故工况下环境影响评价结论</w:t>
      </w:r>
      <w:r>
        <w:rPr>
          <w:w w:val="50"/>
        </w:rPr>
        <w:t> </w:t>
      </w:r>
    </w:p>
    <w:p>
      <w:pPr>
        <w:pStyle w:val="BodyText"/>
        <w:spacing w:line="364" w:lineRule="auto" w:before="160"/>
        <w:ind w:left="272" w:right="276" w:firstLine="480"/>
        <w:jc w:val="both"/>
      </w:pPr>
      <w:r>
        <w:rPr>
          <w:spacing w:val="-5"/>
        </w:rPr>
        <w:t>经分析，本项目可能发生的辐射事故的事故等级为一般辐射事故。针对本项目可</w:t>
      </w:r>
      <w:r>
        <w:rPr>
          <w:spacing w:val="-4"/>
        </w:rPr>
        <w:t>能发生的辐射事故，三台县中医院应按相关规定对已制定的辐射事故应急预案和安全</w:t>
      </w:r>
      <w:r>
        <w:rPr/>
        <w:t>规章制度进行补充完善并认真贯彻实施，以减少和避免发生辐射事故与突发事件。</w:t>
      </w:r>
    </w:p>
    <w:p>
      <w:pPr>
        <w:pStyle w:val="BodyText"/>
        <w:spacing w:before="2"/>
        <w:ind w:left="754"/>
      </w:pPr>
      <w:r>
        <w:rPr/>
        <w:t>六、射线装置使用与安全管理的综合能力分析</w:t>
      </w:r>
      <w:r>
        <w:rPr>
          <w:w w:val="50"/>
        </w:rPr>
        <w:t> </w:t>
      </w:r>
    </w:p>
    <w:p>
      <w:pPr>
        <w:pStyle w:val="BodyText"/>
        <w:spacing w:line="364" w:lineRule="auto" w:before="161"/>
        <w:ind w:left="272" w:right="273" w:firstLine="480"/>
        <w:jc w:val="both"/>
      </w:pPr>
      <w:r>
        <w:rPr>
          <w:spacing w:val="-2"/>
        </w:rPr>
        <w:t>三台县中医院拥有专业的辐射工作人员和安全管理机构，有符合国家环境保护标</w:t>
      </w:r>
      <w:r>
        <w:rPr>
          <w:spacing w:val="-6"/>
        </w:rPr>
        <w:t>准、职业卫生标准和安全防护要求的场所、设施和设备；建立了较完善的辐射安全管</w:t>
      </w:r>
      <w:r>
        <w:rPr>
          <w:spacing w:val="-5"/>
        </w:rPr>
        <w:t>理制度、辐射事故应急措施；在补充辐射安全规章制度并实时更新，认真落实并定期</w:t>
      </w:r>
      <w:r>
        <w:rPr>
          <w:spacing w:val="-3"/>
        </w:rPr>
        <w:t>对辐射防护设施进行检查维护的前提下，具有对 </w:t>
      </w:r>
      <w:r>
        <w:rPr>
          <w:rFonts w:ascii="Times New Roman" w:hAnsi="Times New Roman" w:eastAsia="Times New Roman"/>
        </w:rPr>
        <w:t>DSA</w:t>
      </w:r>
      <w:r>
        <w:rPr/>
        <w:t>（</w:t>
      </w:r>
      <w:r>
        <w:rPr>
          <w:rFonts w:ascii="Times New Roman" w:hAnsi="Times New Roman" w:eastAsia="Times New Roman"/>
        </w:rPr>
        <w:t>Ⅱ</w:t>
      </w:r>
      <w:r>
        <w:rPr/>
        <w:t>类射线装置）</w:t>
      </w:r>
      <w:r>
        <w:rPr>
          <w:spacing w:val="-2"/>
        </w:rPr>
        <w:t>的使用和管理</w:t>
      </w:r>
      <w:r>
        <w:rPr/>
        <w:t>能力。</w:t>
      </w:r>
    </w:p>
    <w:p>
      <w:pPr>
        <w:pStyle w:val="BodyText"/>
        <w:spacing w:before="3"/>
        <w:ind w:left="754"/>
      </w:pPr>
      <w:r>
        <w:rPr/>
        <w:t>七、项目环境可行性结论</w:t>
      </w:r>
      <w:r>
        <w:rPr>
          <w:w w:val="50"/>
        </w:rPr>
        <w:t> </w:t>
      </w:r>
    </w:p>
    <w:p>
      <w:pPr>
        <w:pStyle w:val="BodyText"/>
        <w:spacing w:line="364" w:lineRule="auto" w:before="160"/>
        <w:ind w:left="272" w:right="273" w:firstLine="480"/>
        <w:jc w:val="both"/>
      </w:pPr>
      <w:r>
        <w:rPr>
          <w:spacing w:val="-5"/>
        </w:rPr>
        <w:t>综上所述，本项目符合国家产业政策，项目选址及平面布局合理。项目拟采取的辐射防护措施技术可行，措施有效；项目制定的管理制度、事故防范措施及应急方法</w:t>
      </w:r>
      <w:r>
        <w:rPr/>
        <w:t>等能够有效的避免或减少工作人员和公众的辐射危害。</w:t>
      </w:r>
    </w:p>
    <w:p>
      <w:pPr>
        <w:pStyle w:val="BodyText"/>
        <w:spacing w:line="364" w:lineRule="auto" w:before="2"/>
        <w:ind w:left="272" w:right="276" w:firstLine="480"/>
        <w:jc w:val="both"/>
      </w:pPr>
      <w:r>
        <w:rPr>
          <w:spacing w:val="-2"/>
        </w:rPr>
        <w:t>在认真落实项目工艺设计及本报告表提出的相应防护对策和措施，严格执行“三</w:t>
      </w:r>
      <w:r>
        <w:rPr>
          <w:spacing w:val="-17"/>
        </w:rPr>
        <w:t>同时”制度，严格执行辐射防护的有关规定，辐射工作人员和公众照射剂量可满足《电</w:t>
      </w:r>
    </w:p>
    <w:p>
      <w:pPr>
        <w:spacing w:after="0" w:line="364" w:lineRule="auto"/>
        <w:jc w:val="both"/>
        <w:sectPr>
          <w:pgSz w:w="11910" w:h="16840"/>
          <w:pgMar w:header="0" w:footer="881" w:top="1220" w:bottom="1160" w:left="1480" w:right="1020"/>
        </w:sectPr>
      </w:pPr>
    </w:p>
    <w:tbl>
      <w:tblPr>
        <w:tblW w:w="0" w:type="auto"/>
        <w:jc w:val="left"/>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850"/>
        <w:gridCol w:w="1028"/>
        <w:gridCol w:w="963"/>
        <w:gridCol w:w="1700"/>
        <w:gridCol w:w="608"/>
        <w:gridCol w:w="2170"/>
        <w:gridCol w:w="1196"/>
      </w:tblGrid>
      <w:tr>
        <w:trPr>
          <w:trHeight w:val="1715" w:hRule="atLeast"/>
        </w:trPr>
        <w:tc>
          <w:tcPr>
            <w:tcW w:w="9077" w:type="dxa"/>
            <w:gridSpan w:val="8"/>
            <w:tcBorders>
              <w:bottom w:val="single" w:sz="12" w:space="0" w:color="000000"/>
            </w:tcBorders>
          </w:tcPr>
          <w:p>
            <w:pPr>
              <w:pStyle w:val="TableParagraph"/>
              <w:spacing w:line="364" w:lineRule="auto" w:before="81"/>
              <w:ind w:left="107" w:right="76" w:hanging="22"/>
              <w:rPr>
                <w:sz w:val="24"/>
              </w:rPr>
            </w:pPr>
            <w:r>
              <w:rPr>
                <w:spacing w:val="-8"/>
                <w:sz w:val="24"/>
              </w:rPr>
              <w:t>离辐射防护与辐射源安全基本标准》</w:t>
            </w:r>
            <w:r>
              <w:rPr>
                <w:sz w:val="24"/>
              </w:rPr>
              <w:t>（</w:t>
            </w:r>
            <w:r>
              <w:rPr>
                <w:rFonts w:ascii="Times New Roman" w:hAnsi="Times New Roman" w:eastAsia="Times New Roman"/>
                <w:sz w:val="24"/>
              </w:rPr>
              <w:t>GB18871‐2002</w:t>
            </w:r>
            <w:r>
              <w:rPr>
                <w:sz w:val="24"/>
              </w:rPr>
              <w:t>）规定的剂量限值和本环评提出</w:t>
            </w:r>
            <w:r>
              <w:rPr>
                <w:spacing w:val="-1"/>
                <w:sz w:val="24"/>
              </w:rPr>
              <w:t>的剂量管理约束值。评价认为，本项目从辐射防护以及环境保护角度分析是可行的。</w:t>
            </w:r>
          </w:p>
          <w:p>
            <w:pPr>
              <w:pStyle w:val="TableParagraph"/>
              <w:spacing w:before="1"/>
              <w:ind w:left="590"/>
              <w:jc w:val="left"/>
              <w:rPr>
                <w:sz w:val="24"/>
              </w:rPr>
            </w:pPr>
            <w:r>
              <w:rPr>
                <w:sz w:val="24"/>
              </w:rPr>
              <w:t>八、射线装置申请活动的种类和范围</w:t>
            </w:r>
            <w:r>
              <w:rPr>
                <w:w w:val="50"/>
                <w:sz w:val="24"/>
              </w:rPr>
              <w:t> </w:t>
            </w:r>
          </w:p>
          <w:p>
            <w:pPr>
              <w:pStyle w:val="TableParagraph"/>
              <w:spacing w:line="269" w:lineRule="exact" w:before="102"/>
              <w:ind w:left="2731" w:right="2725"/>
              <w:rPr>
                <w:sz w:val="21"/>
              </w:rPr>
            </w:pPr>
            <w:r>
              <w:rPr>
                <w:sz w:val="21"/>
              </w:rPr>
              <w:t>表 </w:t>
            </w:r>
            <w:r>
              <w:rPr>
                <w:rFonts w:ascii="Times New Roman" w:hAnsi="Times New Roman" w:eastAsia="Times New Roman"/>
                <w:sz w:val="21"/>
              </w:rPr>
              <w:t>13‐1 </w:t>
            </w:r>
            <w:r>
              <w:rPr>
                <w:sz w:val="21"/>
              </w:rPr>
              <w:t>本项目申请活动的种类和范围</w:t>
            </w:r>
          </w:p>
        </w:tc>
      </w:tr>
      <w:tr>
        <w:trPr>
          <w:trHeight w:val="397" w:hRule="atLeast"/>
        </w:trPr>
        <w:tc>
          <w:tcPr>
            <w:tcW w:w="562" w:type="dxa"/>
            <w:tcBorders>
              <w:top w:val="single" w:sz="12" w:space="0" w:color="000000"/>
            </w:tcBorders>
          </w:tcPr>
          <w:p>
            <w:pPr>
              <w:pStyle w:val="TableParagraph"/>
              <w:spacing w:before="65"/>
              <w:ind w:left="77" w:right="15"/>
              <w:rPr>
                <w:sz w:val="21"/>
              </w:rPr>
            </w:pPr>
            <w:r>
              <w:rPr>
                <w:sz w:val="21"/>
              </w:rPr>
              <w:t>序号</w:t>
            </w:r>
          </w:p>
        </w:tc>
        <w:tc>
          <w:tcPr>
            <w:tcW w:w="850" w:type="dxa"/>
            <w:tcBorders>
              <w:top w:val="single" w:sz="12" w:space="0" w:color="000000"/>
            </w:tcBorders>
          </w:tcPr>
          <w:p>
            <w:pPr>
              <w:pStyle w:val="TableParagraph"/>
              <w:spacing w:before="65"/>
              <w:ind w:left="193" w:right="185"/>
              <w:rPr>
                <w:sz w:val="21"/>
              </w:rPr>
            </w:pPr>
            <w:r>
              <w:rPr>
                <w:sz w:val="21"/>
              </w:rPr>
              <w:t>名称</w:t>
            </w:r>
          </w:p>
        </w:tc>
        <w:tc>
          <w:tcPr>
            <w:tcW w:w="1028" w:type="dxa"/>
            <w:tcBorders>
              <w:top w:val="single" w:sz="12" w:space="0" w:color="000000"/>
            </w:tcBorders>
          </w:tcPr>
          <w:p>
            <w:pPr>
              <w:pStyle w:val="TableParagraph"/>
              <w:spacing w:before="65"/>
              <w:ind w:left="301"/>
              <w:jc w:val="left"/>
              <w:rPr>
                <w:sz w:val="21"/>
              </w:rPr>
            </w:pPr>
            <w:r>
              <w:rPr>
                <w:sz w:val="21"/>
              </w:rPr>
              <w:t>型号</w:t>
            </w:r>
          </w:p>
        </w:tc>
        <w:tc>
          <w:tcPr>
            <w:tcW w:w="963" w:type="dxa"/>
            <w:tcBorders>
              <w:top w:val="single" w:sz="12" w:space="0" w:color="000000"/>
            </w:tcBorders>
          </w:tcPr>
          <w:p>
            <w:pPr>
              <w:pStyle w:val="TableParagraph"/>
              <w:spacing w:before="65"/>
              <w:ind w:left="269"/>
              <w:jc w:val="left"/>
              <w:rPr>
                <w:sz w:val="21"/>
              </w:rPr>
            </w:pPr>
            <w:r>
              <w:rPr>
                <w:sz w:val="21"/>
              </w:rPr>
              <w:t>数量</w:t>
            </w:r>
          </w:p>
        </w:tc>
        <w:tc>
          <w:tcPr>
            <w:tcW w:w="1700" w:type="dxa"/>
            <w:tcBorders>
              <w:top w:val="single" w:sz="12" w:space="0" w:color="000000"/>
            </w:tcBorders>
          </w:tcPr>
          <w:p>
            <w:pPr>
              <w:pStyle w:val="TableParagraph"/>
              <w:spacing w:before="65"/>
              <w:ind w:left="143" w:right="138"/>
              <w:rPr>
                <w:sz w:val="21"/>
              </w:rPr>
            </w:pPr>
            <w:r>
              <w:rPr>
                <w:sz w:val="21"/>
              </w:rPr>
              <w:t>主要技术参数</w:t>
            </w:r>
          </w:p>
        </w:tc>
        <w:tc>
          <w:tcPr>
            <w:tcW w:w="608" w:type="dxa"/>
            <w:tcBorders>
              <w:top w:val="single" w:sz="12" w:space="0" w:color="000000"/>
            </w:tcBorders>
          </w:tcPr>
          <w:p>
            <w:pPr>
              <w:pStyle w:val="TableParagraph"/>
              <w:spacing w:before="65"/>
              <w:ind w:left="87"/>
              <w:jc w:val="left"/>
              <w:rPr>
                <w:sz w:val="21"/>
              </w:rPr>
            </w:pPr>
            <w:r>
              <w:rPr>
                <w:sz w:val="21"/>
              </w:rPr>
              <w:t>类别</w:t>
            </w:r>
          </w:p>
        </w:tc>
        <w:tc>
          <w:tcPr>
            <w:tcW w:w="2170" w:type="dxa"/>
            <w:tcBorders>
              <w:top w:val="single" w:sz="12" w:space="0" w:color="000000"/>
            </w:tcBorders>
          </w:tcPr>
          <w:p>
            <w:pPr>
              <w:pStyle w:val="TableParagraph"/>
              <w:spacing w:before="65"/>
              <w:ind w:left="2"/>
              <w:rPr>
                <w:sz w:val="21"/>
              </w:rPr>
            </w:pPr>
            <w:r>
              <w:rPr>
                <w:sz w:val="21"/>
              </w:rPr>
              <w:t>工作场所名称</w:t>
            </w:r>
          </w:p>
        </w:tc>
        <w:tc>
          <w:tcPr>
            <w:tcW w:w="1196" w:type="dxa"/>
            <w:tcBorders>
              <w:top w:val="single" w:sz="12" w:space="0" w:color="000000"/>
            </w:tcBorders>
          </w:tcPr>
          <w:p>
            <w:pPr>
              <w:pStyle w:val="TableParagraph"/>
              <w:spacing w:before="65"/>
              <w:ind w:left="129" w:right="174"/>
              <w:rPr>
                <w:sz w:val="21"/>
              </w:rPr>
            </w:pPr>
            <w:r>
              <w:rPr>
                <w:sz w:val="21"/>
              </w:rPr>
              <w:t>备注</w:t>
            </w:r>
          </w:p>
        </w:tc>
      </w:tr>
      <w:tr>
        <w:trPr>
          <w:trHeight w:val="623" w:hRule="atLeast"/>
        </w:trPr>
        <w:tc>
          <w:tcPr>
            <w:tcW w:w="562" w:type="dxa"/>
            <w:tcBorders>
              <w:bottom w:val="single" w:sz="12" w:space="0" w:color="000000"/>
            </w:tcBorders>
          </w:tcPr>
          <w:p>
            <w:pPr>
              <w:pStyle w:val="TableParagraph"/>
              <w:spacing w:before="192"/>
              <w:ind w:left="62"/>
              <w:rPr>
                <w:rFonts w:ascii="Times New Roman"/>
                <w:sz w:val="21"/>
              </w:rPr>
            </w:pPr>
            <w:r>
              <w:rPr>
                <w:rFonts w:ascii="Times New Roman"/>
                <w:w w:val="100"/>
                <w:sz w:val="21"/>
              </w:rPr>
              <w:t>1</w:t>
            </w:r>
          </w:p>
        </w:tc>
        <w:tc>
          <w:tcPr>
            <w:tcW w:w="850" w:type="dxa"/>
            <w:tcBorders>
              <w:bottom w:val="single" w:sz="12" w:space="0" w:color="000000"/>
            </w:tcBorders>
          </w:tcPr>
          <w:p>
            <w:pPr>
              <w:pStyle w:val="TableParagraph"/>
              <w:spacing w:before="192"/>
              <w:ind w:left="193" w:right="185"/>
              <w:rPr>
                <w:rFonts w:ascii="Times New Roman"/>
                <w:sz w:val="21"/>
              </w:rPr>
            </w:pPr>
            <w:r>
              <w:rPr>
                <w:rFonts w:ascii="Times New Roman"/>
                <w:sz w:val="21"/>
              </w:rPr>
              <w:t>DSA</w:t>
            </w:r>
          </w:p>
        </w:tc>
        <w:tc>
          <w:tcPr>
            <w:tcW w:w="1028" w:type="dxa"/>
            <w:tcBorders>
              <w:bottom w:val="single" w:sz="12" w:space="0" w:color="000000"/>
            </w:tcBorders>
          </w:tcPr>
          <w:p>
            <w:pPr>
              <w:pStyle w:val="TableParagraph"/>
              <w:spacing w:before="36"/>
              <w:ind w:left="21" w:right="12"/>
              <w:rPr>
                <w:rFonts w:ascii="Times New Roman"/>
                <w:sz w:val="21"/>
              </w:rPr>
            </w:pPr>
            <w:r>
              <w:rPr>
                <w:rFonts w:ascii="Times New Roman"/>
                <w:sz w:val="21"/>
              </w:rPr>
              <w:t>AZURION</w:t>
            </w:r>
          </w:p>
          <w:p>
            <w:pPr>
              <w:pStyle w:val="TableParagraph"/>
              <w:spacing w:before="71"/>
              <w:ind w:left="19" w:right="12"/>
              <w:rPr>
                <w:rFonts w:ascii="Times New Roman"/>
                <w:sz w:val="21"/>
              </w:rPr>
            </w:pPr>
            <w:r>
              <w:rPr>
                <w:rFonts w:ascii="Times New Roman"/>
                <w:sz w:val="21"/>
              </w:rPr>
              <w:t>7 M20</w:t>
            </w:r>
          </w:p>
        </w:tc>
        <w:tc>
          <w:tcPr>
            <w:tcW w:w="963" w:type="dxa"/>
            <w:tcBorders>
              <w:bottom w:val="single" w:sz="12" w:space="0" w:color="000000"/>
            </w:tcBorders>
          </w:tcPr>
          <w:p>
            <w:pPr>
              <w:pStyle w:val="TableParagraph"/>
              <w:spacing w:before="178"/>
              <w:ind w:left="295"/>
              <w:jc w:val="left"/>
              <w:rPr>
                <w:sz w:val="21"/>
              </w:rPr>
            </w:pPr>
            <w:r>
              <w:rPr>
                <w:rFonts w:ascii="Times New Roman" w:eastAsia="Times New Roman"/>
                <w:sz w:val="21"/>
              </w:rPr>
              <w:t>1 </w:t>
            </w:r>
            <w:r>
              <w:rPr>
                <w:sz w:val="21"/>
              </w:rPr>
              <w:t>台</w:t>
            </w:r>
          </w:p>
        </w:tc>
        <w:tc>
          <w:tcPr>
            <w:tcW w:w="1700" w:type="dxa"/>
            <w:tcBorders>
              <w:bottom w:val="single" w:sz="12" w:space="0" w:color="000000"/>
            </w:tcBorders>
          </w:tcPr>
          <w:p>
            <w:pPr>
              <w:pStyle w:val="TableParagraph"/>
              <w:spacing w:before="192"/>
              <w:ind w:left="143" w:right="141"/>
              <w:rPr>
                <w:rFonts w:ascii="Times New Roman"/>
                <w:sz w:val="21"/>
              </w:rPr>
            </w:pPr>
            <w:r>
              <w:rPr>
                <w:rFonts w:ascii="Times New Roman"/>
                <w:sz w:val="21"/>
              </w:rPr>
              <w:t>125kV/1000mA</w:t>
            </w:r>
          </w:p>
        </w:tc>
        <w:tc>
          <w:tcPr>
            <w:tcW w:w="608" w:type="dxa"/>
            <w:tcBorders>
              <w:bottom w:val="single" w:sz="12" w:space="0" w:color="000000"/>
            </w:tcBorders>
          </w:tcPr>
          <w:p>
            <w:pPr>
              <w:pStyle w:val="TableParagraph"/>
              <w:spacing w:before="178"/>
              <w:ind w:left="126"/>
              <w:jc w:val="left"/>
              <w:rPr>
                <w:sz w:val="21"/>
              </w:rPr>
            </w:pPr>
            <w:r>
              <w:rPr>
                <w:rFonts w:ascii="Times New Roman" w:hAnsi="Times New Roman" w:eastAsia="Times New Roman"/>
                <w:sz w:val="21"/>
              </w:rPr>
              <w:t>Ⅱ</w:t>
            </w:r>
            <w:r>
              <w:rPr>
                <w:sz w:val="21"/>
              </w:rPr>
              <w:t>类</w:t>
            </w:r>
          </w:p>
        </w:tc>
        <w:tc>
          <w:tcPr>
            <w:tcW w:w="2170" w:type="dxa"/>
            <w:tcBorders>
              <w:bottom w:val="single" w:sz="12" w:space="0" w:color="000000"/>
            </w:tcBorders>
          </w:tcPr>
          <w:p>
            <w:pPr>
              <w:pStyle w:val="TableParagraph"/>
              <w:spacing w:before="178"/>
              <w:ind w:left="2"/>
              <w:rPr>
                <w:sz w:val="21"/>
              </w:rPr>
            </w:pPr>
            <w:r>
              <w:rPr>
                <w:sz w:val="21"/>
              </w:rPr>
              <w:t>行政楼 </w:t>
            </w:r>
            <w:r>
              <w:rPr>
                <w:rFonts w:ascii="Times New Roman" w:eastAsia="Times New Roman"/>
                <w:sz w:val="21"/>
              </w:rPr>
              <w:t>1 </w:t>
            </w:r>
            <w:r>
              <w:rPr>
                <w:sz w:val="21"/>
              </w:rPr>
              <w:t>楼介入治疗室</w:t>
            </w:r>
          </w:p>
        </w:tc>
        <w:tc>
          <w:tcPr>
            <w:tcW w:w="1196" w:type="dxa"/>
            <w:tcBorders>
              <w:bottom w:val="single" w:sz="12" w:space="0" w:color="000000"/>
            </w:tcBorders>
          </w:tcPr>
          <w:p>
            <w:pPr>
              <w:pStyle w:val="TableParagraph"/>
              <w:spacing w:before="178"/>
              <w:ind w:left="129" w:right="176"/>
              <w:rPr>
                <w:sz w:val="21"/>
              </w:rPr>
            </w:pPr>
            <w:r>
              <w:rPr>
                <w:sz w:val="21"/>
              </w:rPr>
              <w:t>本次环评</w:t>
            </w:r>
          </w:p>
        </w:tc>
      </w:tr>
      <w:tr>
        <w:trPr>
          <w:trHeight w:val="11231" w:hRule="atLeast"/>
        </w:trPr>
        <w:tc>
          <w:tcPr>
            <w:tcW w:w="9077" w:type="dxa"/>
            <w:gridSpan w:val="8"/>
            <w:tcBorders>
              <w:top w:val="single" w:sz="12" w:space="0" w:color="000000"/>
            </w:tcBorders>
          </w:tcPr>
          <w:p>
            <w:pPr>
              <w:pStyle w:val="TableParagraph"/>
              <w:spacing w:before="81"/>
              <w:ind w:left="590"/>
              <w:jc w:val="left"/>
              <w:rPr>
                <w:sz w:val="24"/>
              </w:rPr>
            </w:pPr>
            <w:r>
              <w:rPr>
                <w:sz w:val="24"/>
              </w:rPr>
              <w:t>九、项目竣工环境保护验收检查内容</w:t>
            </w:r>
            <w:r>
              <w:rPr>
                <w:w w:val="50"/>
                <w:sz w:val="24"/>
              </w:rPr>
              <w:t> </w:t>
            </w:r>
          </w:p>
          <w:p>
            <w:pPr>
              <w:pStyle w:val="TableParagraph"/>
              <w:spacing w:line="364" w:lineRule="auto" w:before="160"/>
              <w:ind w:left="107" w:right="100" w:firstLine="480"/>
              <w:jc w:val="both"/>
              <w:rPr>
                <w:sz w:val="24"/>
              </w:rPr>
            </w:pPr>
            <w:r>
              <w:rPr>
                <w:spacing w:val="-4"/>
                <w:sz w:val="24"/>
              </w:rPr>
              <w:t>本项目建成后，应严格按照环境保护部“关于发布《建设项目竣工环境保护验收</w:t>
            </w:r>
            <w:r>
              <w:rPr>
                <w:sz w:val="24"/>
              </w:rPr>
              <w:t>暂行办法》的公告”（国环规环评〔</w:t>
            </w:r>
            <w:r>
              <w:rPr>
                <w:rFonts w:ascii="Times New Roman" w:hAnsi="Times New Roman" w:eastAsia="Times New Roman"/>
                <w:sz w:val="24"/>
              </w:rPr>
              <w:t>2017</w:t>
            </w:r>
            <w:r>
              <w:rPr>
                <w:sz w:val="24"/>
              </w:rPr>
              <w:t>〕</w:t>
            </w:r>
            <w:r>
              <w:rPr>
                <w:rFonts w:ascii="Times New Roman" w:hAnsi="Times New Roman" w:eastAsia="Times New Roman"/>
                <w:sz w:val="24"/>
              </w:rPr>
              <w:t>4 </w:t>
            </w:r>
            <w:r>
              <w:rPr>
                <w:sz w:val="24"/>
              </w:rPr>
              <w:t>号）</w:t>
            </w:r>
            <w:r>
              <w:rPr>
                <w:spacing w:val="-1"/>
                <w:sz w:val="24"/>
              </w:rPr>
              <w:t>文件要求，开展竣工环境保护验收</w:t>
            </w:r>
            <w:r>
              <w:rPr>
                <w:sz w:val="24"/>
              </w:rPr>
              <w:t>工作。</w:t>
            </w:r>
          </w:p>
          <w:p>
            <w:pPr>
              <w:pStyle w:val="TableParagraph"/>
              <w:spacing w:line="364" w:lineRule="auto" w:before="2"/>
              <w:ind w:left="107" w:right="76" w:firstLine="480"/>
              <w:jc w:val="both"/>
              <w:rPr>
                <w:sz w:val="24"/>
              </w:rPr>
            </w:pPr>
            <w:r>
              <w:rPr>
                <w:sz w:val="24"/>
              </w:rPr>
              <w:t>建设单位是本项目竣工环境保护验收的责任主体，应当按照相关文件规定的程序和标准，组织对配套建设的环境保护设施和辐射防护措施进行验收，编制验收报告， 公开相关信息，接受社会监督，确保建设项目需要配套建设的环境保护设施与主体工程同时投产或者使用，并对验收内容、结论和所公开信息的真实性、准确性和完整性负责，不得在验收过程中弄虚作假。</w:t>
            </w:r>
          </w:p>
          <w:p>
            <w:pPr>
              <w:pStyle w:val="TableParagraph"/>
              <w:spacing w:line="364" w:lineRule="auto" w:before="3"/>
              <w:ind w:left="107" w:right="76" w:firstLine="480"/>
              <w:jc w:val="both"/>
              <w:rPr>
                <w:sz w:val="24"/>
              </w:rPr>
            </w:pPr>
            <w:r>
              <w:rPr>
                <w:spacing w:val="-6"/>
                <w:sz w:val="24"/>
              </w:rPr>
              <w:t>建设单位应在项目竣工后 </w:t>
            </w:r>
            <w:r>
              <w:rPr>
                <w:rFonts w:ascii="Times New Roman" w:eastAsia="Times New Roman"/>
                <w:sz w:val="24"/>
              </w:rPr>
              <w:t>3 </w:t>
            </w:r>
            <w:r>
              <w:rPr>
                <w:spacing w:val="-2"/>
                <w:sz w:val="24"/>
              </w:rPr>
              <w:t>个月内组织竣工环保验收，委托有资质单位进行现场</w:t>
            </w:r>
            <w:r>
              <w:rPr>
                <w:spacing w:val="-6"/>
                <w:sz w:val="24"/>
              </w:rPr>
              <w:t>监测，并编制竣工验收监测报告。验收监测应当在确保主体工程调试工况稳定、辐射</w:t>
            </w:r>
            <w:r>
              <w:rPr>
                <w:spacing w:val="-8"/>
                <w:sz w:val="24"/>
              </w:rPr>
              <w:t>防护措施安全到位的情况下进行，并如实记录监测时的实际工况。验收监测报告编制完成后，建设单位应当根据验收监测报告结论，逐一检查是否存在不合格的情形，提</w:t>
            </w:r>
            <w:r>
              <w:rPr>
                <w:spacing w:val="-9"/>
                <w:sz w:val="24"/>
              </w:rPr>
              <w:t>出验收意见。存在问题的，建设单位应当进行整改，整改完成后方可提出验收意见。</w:t>
            </w:r>
            <w:r>
              <w:rPr>
                <w:spacing w:val="-1"/>
                <w:sz w:val="24"/>
              </w:rPr>
              <w:t>建设项目配套建设的环境保护设施和辐射防护措施经验收合格后，其主体工程方可投</w:t>
            </w:r>
            <w:r>
              <w:rPr>
                <w:spacing w:val="-4"/>
                <w:sz w:val="24"/>
              </w:rPr>
              <w:t>入生产或者使用；未经验收或者验收不合格的，不得投入生产或者使用。危险废物相关竣工环保验收参照四川省生态环境厅其他规范要求实施。</w:t>
            </w:r>
          </w:p>
          <w:p>
            <w:pPr>
              <w:pStyle w:val="TableParagraph"/>
              <w:spacing w:line="364" w:lineRule="auto" w:before="5"/>
              <w:ind w:left="107" w:right="76" w:firstLine="480"/>
              <w:jc w:val="both"/>
              <w:rPr>
                <w:sz w:val="24"/>
              </w:rPr>
            </w:pPr>
            <w:r>
              <w:rPr>
                <w:spacing w:val="-2"/>
                <w:sz w:val="24"/>
              </w:rPr>
              <w:t>“全国建设项目竣工环境保护验收信息平台”已于 </w:t>
            </w:r>
            <w:r>
              <w:rPr>
                <w:rFonts w:ascii="Times New Roman" w:hAnsi="Times New Roman" w:eastAsia="Times New Roman"/>
                <w:sz w:val="24"/>
              </w:rPr>
              <w:t>2017 </w:t>
            </w:r>
            <w:r>
              <w:rPr>
                <w:spacing w:val="-12"/>
                <w:sz w:val="24"/>
              </w:rPr>
              <w:t>年 </w:t>
            </w:r>
            <w:r>
              <w:rPr>
                <w:rFonts w:ascii="Times New Roman" w:hAnsi="Times New Roman" w:eastAsia="Times New Roman"/>
                <w:sz w:val="24"/>
              </w:rPr>
              <w:t>12 </w:t>
            </w:r>
            <w:r>
              <w:rPr>
                <w:spacing w:val="-12"/>
                <w:sz w:val="24"/>
              </w:rPr>
              <w:t>月 </w:t>
            </w:r>
            <w:r>
              <w:rPr>
                <w:rFonts w:ascii="Times New Roman" w:hAnsi="Times New Roman" w:eastAsia="Times New Roman"/>
                <w:sz w:val="24"/>
              </w:rPr>
              <w:t>1 </w:t>
            </w:r>
            <w:r>
              <w:rPr>
                <w:sz w:val="24"/>
              </w:rPr>
              <w:t>日上线试运</w:t>
            </w:r>
            <w:r>
              <w:rPr>
                <w:spacing w:val="-10"/>
                <w:sz w:val="24"/>
              </w:rPr>
              <w:t>行，网址为 </w:t>
            </w:r>
            <w:hyperlink r:id="rId56">
              <w:r>
                <w:rPr>
                  <w:rFonts w:ascii="Times New Roman" w:hAnsi="Times New Roman" w:eastAsia="Times New Roman"/>
                  <w:sz w:val="24"/>
                </w:rPr>
                <w:t>http://114.251.10.205</w:t>
              </w:r>
            </w:hyperlink>
            <w:r>
              <w:rPr>
                <w:sz w:val="24"/>
              </w:rPr>
              <w:t>。建设单位可以登陆环境保护部网站查询建设项目竣</w:t>
            </w:r>
            <w:r>
              <w:rPr>
                <w:spacing w:val="-1"/>
                <w:sz w:val="24"/>
              </w:rPr>
              <w:t>工环境保护验收相关技术规范，并在项目建成后，及时开展竣工环境保护验收工作。</w:t>
            </w:r>
          </w:p>
        </w:tc>
      </w:tr>
    </w:tbl>
    <w:p>
      <w:pPr>
        <w:spacing w:after="0" w:line="364" w:lineRule="auto"/>
        <w:jc w:val="both"/>
        <w:rPr>
          <w:sz w:val="24"/>
        </w:rPr>
        <w:sectPr>
          <w:pgSz w:w="11910" w:h="16840"/>
          <w:pgMar w:header="0" w:footer="881" w:top="1220" w:bottom="1080" w:left="1480" w:right="1020"/>
        </w:sectPr>
      </w:pPr>
    </w:p>
    <w:p>
      <w:pPr>
        <w:pStyle w:val="Heading1"/>
        <w:spacing w:before="152"/>
        <w:ind w:left="262"/>
      </w:pPr>
      <w:r>
        <w:rPr/>
        <w:pict>
          <v:group style="position:absolute;margin-left:81.959999pt;margin-top:62.399937pt;width:454.1pt;height:703pt;mso-position-horizontal-relative:page;mso-position-vertical-relative:page;z-index:-210784" coordorigin="1639,1248" coordsize="9082,14060">
            <v:line style="position:absolute" from="1639,1253" to="10711,1253" stroked="true" strokeweight=".479999pt" strokecolor="#000000">
              <v:stroke dashstyle="solid"/>
            </v:line>
            <v:line style="position:absolute" from="1644,1258" to="1644,15307" stroked="true" strokeweight=".479999pt" strokecolor="#000000">
              <v:stroke dashstyle="solid"/>
            </v:line>
            <v:line style="position:absolute" from="1639,15302" to="10711,15302" stroked="true" strokeweight=".479965pt" strokecolor="#000000">
              <v:stroke dashstyle="solid"/>
            </v:line>
            <v:line style="position:absolute" from="10716,1248" to="10716,15307" stroked="true" strokeweight=".479966pt" strokecolor="#000000">
              <v:stroke dashstyle="solid"/>
            </v:line>
            <w10:wrap type="none"/>
          </v:group>
        </w:pict>
      </w:r>
      <w:r>
        <w:rPr/>
        <w:t>建议和承诺</w:t>
      </w:r>
      <w:r>
        <w:rPr>
          <w:w w:val="50"/>
        </w:rPr>
        <w:t> </w:t>
      </w:r>
    </w:p>
    <w:p>
      <w:pPr>
        <w:pStyle w:val="BodyText"/>
        <w:spacing w:before="214"/>
        <w:ind w:left="744"/>
      </w:pPr>
      <w:r>
        <w:rPr/>
        <w:t>1、要求与建议</w:t>
      </w:r>
      <w:r>
        <w:rPr>
          <w:w w:val="50"/>
        </w:rPr>
        <w:t> </w:t>
      </w:r>
    </w:p>
    <w:p>
      <w:pPr>
        <w:pStyle w:val="ListParagraph"/>
        <w:numPr>
          <w:ilvl w:val="0"/>
          <w:numId w:val="34"/>
        </w:numPr>
        <w:tabs>
          <w:tab w:pos="1339" w:val="left" w:leader="none"/>
        </w:tabs>
        <w:spacing w:line="364" w:lineRule="auto" w:before="160" w:after="0"/>
        <w:ind w:left="272" w:right="273" w:firstLine="472"/>
        <w:jc w:val="left"/>
        <w:rPr>
          <w:sz w:val="24"/>
        </w:rPr>
      </w:pPr>
      <w:r>
        <w:rPr>
          <w:spacing w:val="-5"/>
          <w:sz w:val="24"/>
        </w:rPr>
        <w:t>项目在运行过程中必须严格落实项目设计及国家法律法规规定的辐射安全防护措施和相关管理要求。</w:t>
      </w:r>
    </w:p>
    <w:p>
      <w:pPr>
        <w:pStyle w:val="ListParagraph"/>
        <w:numPr>
          <w:ilvl w:val="0"/>
          <w:numId w:val="34"/>
        </w:numPr>
        <w:tabs>
          <w:tab w:pos="1339" w:val="left" w:leader="none"/>
        </w:tabs>
        <w:spacing w:line="240" w:lineRule="auto" w:before="1" w:after="0"/>
        <w:ind w:left="1338" w:right="0" w:hanging="594"/>
        <w:jc w:val="left"/>
        <w:rPr>
          <w:sz w:val="24"/>
        </w:rPr>
      </w:pPr>
      <w:r>
        <w:rPr>
          <w:spacing w:val="-5"/>
          <w:sz w:val="24"/>
        </w:rPr>
        <w:t>定期检查维修各类辐射安全设施，确保始终处于正常工作状态。</w:t>
      </w:r>
    </w:p>
    <w:p>
      <w:pPr>
        <w:pStyle w:val="ListParagraph"/>
        <w:numPr>
          <w:ilvl w:val="0"/>
          <w:numId w:val="34"/>
        </w:numPr>
        <w:tabs>
          <w:tab w:pos="1339" w:val="left" w:leader="none"/>
        </w:tabs>
        <w:spacing w:line="364" w:lineRule="auto" w:before="161" w:after="0"/>
        <w:ind w:left="272" w:right="273" w:firstLine="472"/>
        <w:jc w:val="both"/>
        <w:rPr>
          <w:sz w:val="24"/>
        </w:rPr>
      </w:pPr>
      <w:r>
        <w:rPr>
          <w:spacing w:val="-5"/>
          <w:sz w:val="24"/>
        </w:rPr>
        <w:t>不断提高辐射工作人员素质，增强辐射防护意识，尽量避免发生意外事故。</w:t>
      </w:r>
      <w:r>
        <w:rPr>
          <w:spacing w:val="-12"/>
          <w:sz w:val="24"/>
        </w:rPr>
        <w:t>定期进行事故应急演练，检验应急预案的可行性、可靠性、可操作性，不断的完善事故</w:t>
      </w:r>
      <w:r>
        <w:rPr>
          <w:spacing w:val="-4"/>
          <w:sz w:val="24"/>
        </w:rPr>
        <w:t>应急预案。</w:t>
      </w:r>
    </w:p>
    <w:p>
      <w:pPr>
        <w:pStyle w:val="ListParagraph"/>
        <w:numPr>
          <w:ilvl w:val="0"/>
          <w:numId w:val="34"/>
        </w:numPr>
        <w:tabs>
          <w:tab w:pos="1339" w:val="left" w:leader="none"/>
        </w:tabs>
        <w:spacing w:line="364" w:lineRule="auto" w:before="2" w:after="0"/>
        <w:ind w:left="272" w:right="273" w:firstLine="472"/>
        <w:jc w:val="left"/>
        <w:rPr>
          <w:sz w:val="24"/>
        </w:rPr>
      </w:pPr>
      <w:r>
        <w:rPr>
          <w:spacing w:val="-5"/>
          <w:sz w:val="24"/>
        </w:rPr>
        <w:t>根据国家及地方最新出台的法规和规章制度等，对辐射相关制度进行更新和</w:t>
      </w:r>
      <w:r>
        <w:rPr>
          <w:spacing w:val="-4"/>
          <w:sz w:val="24"/>
        </w:rPr>
        <w:t>完善。</w:t>
      </w:r>
    </w:p>
    <w:p>
      <w:pPr>
        <w:pStyle w:val="ListParagraph"/>
        <w:numPr>
          <w:ilvl w:val="0"/>
          <w:numId w:val="34"/>
        </w:numPr>
        <w:tabs>
          <w:tab w:pos="1339" w:val="left" w:leader="none"/>
        </w:tabs>
        <w:spacing w:line="240" w:lineRule="auto" w:before="1" w:after="0"/>
        <w:ind w:left="1338" w:right="0" w:hanging="594"/>
        <w:jc w:val="left"/>
        <w:rPr>
          <w:sz w:val="24"/>
        </w:rPr>
      </w:pPr>
      <w:r>
        <w:rPr>
          <w:spacing w:val="-5"/>
          <w:sz w:val="24"/>
        </w:rPr>
        <w:t>项目建成后及时开展自行验收工作。</w:t>
      </w:r>
    </w:p>
    <w:p>
      <w:pPr>
        <w:pStyle w:val="BodyText"/>
        <w:spacing w:before="160"/>
        <w:ind w:left="754"/>
      </w:pPr>
      <w:r>
        <w:rPr/>
        <w:t>2、项目竣工验收检查内容</w:t>
      </w:r>
      <w:r>
        <w:rPr>
          <w:w w:val="50"/>
        </w:rPr>
        <w:t> </w:t>
      </w:r>
    </w:p>
    <w:p>
      <w:pPr>
        <w:pStyle w:val="BodyText"/>
        <w:spacing w:line="364" w:lineRule="auto" w:before="161"/>
        <w:ind w:left="272" w:right="273" w:firstLine="480"/>
        <w:jc w:val="both"/>
      </w:pPr>
      <w:r>
        <w:rPr>
          <w:spacing w:val="-18"/>
        </w:rPr>
        <w:t>根据《建设项目竣工环境保护验收暂行办法》，建设单位是建设项目竣工环境保护</w:t>
      </w:r>
      <w:r>
        <w:rPr>
          <w:spacing w:val="-4"/>
        </w:rPr>
        <w:t>验收的责任主体，应当按照本办法规定的程序和标准，组织对配套建设的环境保护设</w:t>
      </w:r>
      <w:r>
        <w:rPr>
          <w:spacing w:val="-5"/>
        </w:rPr>
        <w:t>施进行验收，编制验收报告，公开相关信息，接受社会监督，确保建设项目需要配套</w:t>
      </w:r>
      <w:r>
        <w:rPr>
          <w:spacing w:val="-3"/>
        </w:rPr>
        <w:t>建设的环境保护设施与主体工程同时投产使用，并对验收内容、结论和所公开的信息</w:t>
      </w:r>
      <w:r>
        <w:rPr/>
        <w:t>真实性、准确性和完整性负责，不得在验收过程中弄需作假。</w:t>
      </w:r>
    </w:p>
    <w:p>
      <w:pPr>
        <w:spacing w:after="0" w:line="364" w:lineRule="auto"/>
        <w:jc w:val="both"/>
        <w:sectPr>
          <w:pgSz w:w="11910" w:h="16840"/>
          <w:pgMar w:header="0" w:footer="881" w:top="1220" w:bottom="1080" w:left="1480" w:right="1020"/>
        </w:sect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
        <w:gridCol w:w="653"/>
        <w:gridCol w:w="2794"/>
        <w:gridCol w:w="6454"/>
        <w:gridCol w:w="5064"/>
        <w:gridCol w:w="113"/>
      </w:tblGrid>
      <w:tr>
        <w:trPr>
          <w:trHeight w:val="978" w:hRule="atLeast"/>
        </w:trPr>
        <w:tc>
          <w:tcPr>
            <w:tcW w:w="15191" w:type="dxa"/>
            <w:gridSpan w:val="6"/>
          </w:tcPr>
          <w:p>
            <w:pPr>
              <w:pStyle w:val="TableParagraph"/>
              <w:spacing w:before="149"/>
              <w:ind w:left="107"/>
              <w:jc w:val="left"/>
              <w:rPr>
                <w:sz w:val="28"/>
              </w:rPr>
            </w:pPr>
            <w:r>
              <w:rPr>
                <w:sz w:val="28"/>
              </w:rPr>
              <w:t>“三同时”验收一览表</w:t>
            </w:r>
            <w:r>
              <w:rPr>
                <w:w w:val="50"/>
                <w:sz w:val="28"/>
              </w:rPr>
              <w:t> </w:t>
            </w:r>
          </w:p>
          <w:p>
            <w:pPr>
              <w:pStyle w:val="TableParagraph"/>
              <w:spacing w:before="175"/>
              <w:ind w:left="6540" w:right="6541"/>
              <w:rPr>
                <w:sz w:val="21"/>
              </w:rPr>
            </w:pPr>
            <w:r>
              <w:rPr>
                <w:spacing w:val="-4"/>
                <w:sz w:val="21"/>
              </w:rPr>
              <w:t>“三同时”验收一览表</w:t>
            </w:r>
          </w:p>
        </w:tc>
      </w:tr>
      <w:tr>
        <w:trPr>
          <w:trHeight w:val="325" w:hRule="atLeast"/>
        </w:trPr>
        <w:tc>
          <w:tcPr>
            <w:tcW w:w="113" w:type="dxa"/>
            <w:tcBorders>
              <w:top w:val="nil"/>
              <w:bottom w:val="nil"/>
            </w:tcBorders>
          </w:tcPr>
          <w:p>
            <w:pPr>
              <w:pStyle w:val="TableParagraph"/>
              <w:jc w:val="left"/>
              <w:rPr>
                <w:rFonts w:ascii="Times New Roman"/>
                <w:sz w:val="20"/>
              </w:rPr>
            </w:pPr>
          </w:p>
        </w:tc>
        <w:tc>
          <w:tcPr>
            <w:tcW w:w="3447" w:type="dxa"/>
            <w:gridSpan w:val="2"/>
          </w:tcPr>
          <w:p>
            <w:pPr>
              <w:pStyle w:val="TableParagraph"/>
              <w:spacing w:before="29"/>
              <w:ind w:left="1492" w:right="1484"/>
              <w:rPr>
                <w:sz w:val="21"/>
              </w:rPr>
            </w:pPr>
            <w:r>
              <w:rPr>
                <w:sz w:val="21"/>
              </w:rPr>
              <w:t>项目</w:t>
            </w:r>
          </w:p>
        </w:tc>
        <w:tc>
          <w:tcPr>
            <w:tcW w:w="6454" w:type="dxa"/>
          </w:tcPr>
          <w:p>
            <w:pPr>
              <w:pStyle w:val="TableParagraph"/>
              <w:spacing w:before="29"/>
              <w:ind w:left="2574" w:right="2569"/>
              <w:rPr>
                <w:sz w:val="21"/>
              </w:rPr>
            </w:pPr>
            <w:r>
              <w:rPr>
                <w:sz w:val="21"/>
              </w:rPr>
              <w:t>设施（措施）</w:t>
            </w:r>
          </w:p>
        </w:tc>
        <w:tc>
          <w:tcPr>
            <w:tcW w:w="5064" w:type="dxa"/>
          </w:tcPr>
          <w:p>
            <w:pPr>
              <w:pStyle w:val="TableParagraph"/>
              <w:spacing w:before="29"/>
              <w:ind w:left="90" w:right="81"/>
              <w:rPr>
                <w:sz w:val="21"/>
              </w:rPr>
            </w:pPr>
            <w:r>
              <w:rPr>
                <w:sz w:val="21"/>
              </w:rPr>
              <w:t>验收要求</w:t>
            </w:r>
          </w:p>
        </w:tc>
        <w:tc>
          <w:tcPr>
            <w:tcW w:w="113" w:type="dxa"/>
            <w:tcBorders>
              <w:top w:val="nil"/>
              <w:bottom w:val="nil"/>
            </w:tcBorders>
          </w:tcPr>
          <w:p>
            <w:pPr>
              <w:pStyle w:val="TableParagraph"/>
              <w:jc w:val="left"/>
              <w:rPr>
                <w:rFonts w:ascii="Times New Roman"/>
                <w:sz w:val="20"/>
              </w:rPr>
            </w:pPr>
          </w:p>
        </w:tc>
      </w:tr>
      <w:tr>
        <w:trPr>
          <w:trHeight w:val="978" w:hRule="atLeast"/>
        </w:trPr>
        <w:tc>
          <w:tcPr>
            <w:tcW w:w="113" w:type="dxa"/>
            <w:tcBorders>
              <w:top w:val="nil"/>
              <w:bottom w:val="nil"/>
            </w:tcBorders>
          </w:tcPr>
          <w:p>
            <w:pPr>
              <w:pStyle w:val="TableParagraph"/>
              <w:jc w:val="left"/>
              <w:rPr>
                <w:rFonts w:ascii="Times New Roman"/>
                <w:sz w:val="20"/>
              </w:rPr>
            </w:pPr>
          </w:p>
        </w:tc>
        <w:tc>
          <w:tcPr>
            <w:tcW w:w="3447" w:type="dxa"/>
            <w:gridSpan w:val="2"/>
          </w:tcPr>
          <w:p>
            <w:pPr>
              <w:pStyle w:val="TableParagraph"/>
              <w:spacing w:before="10"/>
              <w:jc w:val="left"/>
              <w:rPr>
                <w:sz w:val="27"/>
              </w:rPr>
            </w:pPr>
          </w:p>
          <w:p>
            <w:pPr>
              <w:pStyle w:val="TableParagraph"/>
              <w:ind w:left="880"/>
              <w:jc w:val="left"/>
              <w:rPr>
                <w:sz w:val="21"/>
              </w:rPr>
            </w:pPr>
            <w:r>
              <w:rPr>
                <w:sz w:val="21"/>
              </w:rPr>
              <w:t>辐射安全管理机构</w:t>
            </w:r>
          </w:p>
        </w:tc>
        <w:tc>
          <w:tcPr>
            <w:tcW w:w="6454" w:type="dxa"/>
          </w:tcPr>
          <w:p>
            <w:pPr>
              <w:pStyle w:val="TableParagraph"/>
              <w:spacing w:before="10"/>
              <w:jc w:val="left"/>
              <w:rPr>
                <w:sz w:val="27"/>
              </w:rPr>
            </w:pPr>
          </w:p>
          <w:p>
            <w:pPr>
              <w:pStyle w:val="TableParagraph"/>
              <w:ind w:left="315"/>
              <w:jc w:val="left"/>
              <w:rPr>
                <w:sz w:val="21"/>
              </w:rPr>
            </w:pPr>
            <w:r>
              <w:rPr>
                <w:sz w:val="21"/>
              </w:rPr>
              <w:t>已建立辐射安全与环境保护管理机构，并以文件形式下发。</w:t>
            </w:r>
          </w:p>
        </w:tc>
        <w:tc>
          <w:tcPr>
            <w:tcW w:w="5064" w:type="dxa"/>
          </w:tcPr>
          <w:p>
            <w:pPr>
              <w:pStyle w:val="TableParagraph"/>
              <w:spacing w:line="290" w:lineRule="auto" w:before="29"/>
              <w:ind w:left="106" w:right="98"/>
              <w:jc w:val="left"/>
              <w:rPr>
                <w:sz w:val="21"/>
              </w:rPr>
            </w:pPr>
            <w:r>
              <w:rPr>
                <w:sz w:val="21"/>
              </w:rPr>
              <w:t>满足《放射性同位素与射线装置安全许可管理办法》的要求，辐射管理人员已取得辐射安全与防护培训证</w:t>
            </w:r>
          </w:p>
          <w:p>
            <w:pPr>
              <w:pStyle w:val="TableParagraph"/>
              <w:spacing w:before="2"/>
              <w:ind w:left="106"/>
              <w:jc w:val="left"/>
              <w:rPr>
                <w:sz w:val="21"/>
              </w:rPr>
            </w:pPr>
            <w:r>
              <w:rPr>
                <w:sz w:val="21"/>
              </w:rPr>
              <w:t>书，并在有效期内。</w:t>
            </w:r>
          </w:p>
        </w:tc>
        <w:tc>
          <w:tcPr>
            <w:tcW w:w="113" w:type="dxa"/>
            <w:tcBorders>
              <w:top w:val="nil"/>
              <w:bottom w:val="nil"/>
            </w:tcBorders>
          </w:tcPr>
          <w:p>
            <w:pPr>
              <w:pStyle w:val="TableParagraph"/>
              <w:jc w:val="left"/>
              <w:rPr>
                <w:rFonts w:ascii="Times New Roman"/>
                <w:sz w:val="20"/>
              </w:rPr>
            </w:pPr>
          </w:p>
        </w:tc>
      </w:tr>
      <w:tr>
        <w:trPr>
          <w:trHeight w:val="1629" w:hRule="atLeast"/>
        </w:trPr>
        <w:tc>
          <w:tcPr>
            <w:tcW w:w="113" w:type="dxa"/>
            <w:vMerge w:val="restart"/>
            <w:tcBorders>
              <w:top w:val="nil"/>
              <w:bottom w:val="nil"/>
            </w:tcBorders>
          </w:tcPr>
          <w:p>
            <w:pPr>
              <w:pStyle w:val="TableParagraph"/>
              <w:jc w:val="left"/>
              <w:rPr>
                <w:rFonts w:ascii="Times New Roman"/>
                <w:sz w:val="20"/>
              </w:rPr>
            </w:pPr>
          </w:p>
        </w:tc>
        <w:tc>
          <w:tcPr>
            <w:tcW w:w="653" w:type="dxa"/>
            <w:vMerge w:val="restart"/>
          </w:tcPr>
          <w:p>
            <w:pPr>
              <w:pStyle w:val="TableParagraph"/>
              <w:jc w:val="left"/>
              <w:rPr>
                <w:sz w:val="24"/>
              </w:rPr>
            </w:pPr>
          </w:p>
          <w:p>
            <w:pPr>
              <w:pStyle w:val="TableParagraph"/>
              <w:spacing w:before="8"/>
              <w:jc w:val="left"/>
              <w:rPr>
                <w:sz w:val="29"/>
              </w:rPr>
            </w:pPr>
          </w:p>
          <w:p>
            <w:pPr>
              <w:pStyle w:val="TableParagraph"/>
              <w:spacing w:line="290" w:lineRule="auto"/>
              <w:ind w:left="114" w:right="103"/>
              <w:jc w:val="both"/>
              <w:rPr>
                <w:sz w:val="21"/>
              </w:rPr>
            </w:pPr>
            <w:r>
              <w:rPr>
                <w:sz w:val="21"/>
              </w:rPr>
              <w:t>辐射安全与防护措施</w:t>
            </w:r>
          </w:p>
        </w:tc>
        <w:tc>
          <w:tcPr>
            <w:tcW w:w="2794" w:type="dxa"/>
          </w:tcPr>
          <w:p>
            <w:pPr>
              <w:pStyle w:val="TableParagraph"/>
              <w:jc w:val="left"/>
              <w:rPr>
                <w:sz w:val="24"/>
              </w:rPr>
            </w:pPr>
          </w:p>
          <w:p>
            <w:pPr>
              <w:pStyle w:val="TableParagraph"/>
              <w:spacing w:before="3"/>
              <w:jc w:val="left"/>
              <w:rPr>
                <w:sz w:val="29"/>
              </w:rPr>
            </w:pPr>
          </w:p>
          <w:p>
            <w:pPr>
              <w:pStyle w:val="TableParagraph"/>
              <w:ind w:left="114" w:right="108"/>
              <w:rPr>
                <w:sz w:val="21"/>
              </w:rPr>
            </w:pPr>
            <w:r>
              <w:rPr>
                <w:sz w:val="21"/>
              </w:rPr>
              <w:t>屏蔽措施</w:t>
            </w:r>
          </w:p>
        </w:tc>
        <w:tc>
          <w:tcPr>
            <w:tcW w:w="6454" w:type="dxa"/>
          </w:tcPr>
          <w:p>
            <w:pPr>
              <w:pStyle w:val="TableParagraph"/>
              <w:spacing w:line="290" w:lineRule="auto" w:before="29"/>
              <w:ind w:left="104" w:right="92" w:firstLine="211"/>
              <w:jc w:val="both"/>
              <w:rPr>
                <w:sz w:val="21"/>
              </w:rPr>
            </w:pPr>
            <w:r>
              <w:rPr>
                <w:spacing w:val="-8"/>
                <w:w w:val="100"/>
                <w:sz w:val="21"/>
              </w:rPr>
              <w:t>介入治疗室</w:t>
            </w:r>
            <w:r>
              <w:rPr>
                <w:spacing w:val="-1"/>
                <w:w w:val="100"/>
                <w:sz w:val="21"/>
              </w:rPr>
              <w:t>（</w:t>
            </w:r>
            <w:r>
              <w:rPr>
                <w:rFonts w:ascii="Times New Roman" w:eastAsia="Times New Roman"/>
                <w:w w:val="100"/>
                <w:sz w:val="21"/>
              </w:rPr>
              <w:t>54</w:t>
            </w:r>
            <w:r>
              <w:rPr>
                <w:rFonts w:ascii="Times New Roman" w:eastAsia="Times New Roman"/>
                <w:spacing w:val="-3"/>
                <w:w w:val="100"/>
                <w:sz w:val="21"/>
              </w:rPr>
              <w:t>.</w:t>
            </w:r>
            <w:r>
              <w:rPr>
                <w:rFonts w:ascii="Times New Roman" w:eastAsia="Times New Roman"/>
                <w:w w:val="100"/>
                <w:sz w:val="21"/>
              </w:rPr>
              <w:t>33</w:t>
            </w:r>
            <w:r>
              <w:rPr>
                <w:rFonts w:ascii="Times New Roman" w:eastAsia="Times New Roman"/>
                <w:spacing w:val="-2"/>
                <w:w w:val="100"/>
                <w:sz w:val="21"/>
              </w:rPr>
              <w:t>m</w:t>
            </w:r>
            <w:r>
              <w:rPr>
                <w:rFonts w:ascii="Times New Roman" w:eastAsia="Times New Roman"/>
                <w:w w:val="99"/>
                <w:position w:val="7"/>
                <w:sz w:val="14"/>
              </w:rPr>
              <w:t>2</w:t>
            </w:r>
            <w:r>
              <w:rPr>
                <w:spacing w:val="-106"/>
                <w:w w:val="100"/>
                <w:sz w:val="21"/>
              </w:rPr>
              <w:t>）</w:t>
            </w:r>
            <w:r>
              <w:rPr>
                <w:spacing w:val="-17"/>
                <w:w w:val="100"/>
                <w:sz w:val="21"/>
              </w:rPr>
              <w:t>：长</w:t>
            </w:r>
            <w:r>
              <w:rPr>
                <w:spacing w:val="-52"/>
                <w:sz w:val="21"/>
              </w:rPr>
              <w:t> </w:t>
            </w:r>
            <w:r>
              <w:rPr>
                <w:rFonts w:ascii="Times New Roman" w:eastAsia="Times New Roman"/>
                <w:w w:val="100"/>
                <w:sz w:val="21"/>
              </w:rPr>
              <w:t>10.</w:t>
            </w:r>
            <w:r>
              <w:rPr>
                <w:rFonts w:ascii="Times New Roman" w:eastAsia="Times New Roman"/>
                <w:spacing w:val="-3"/>
                <w:w w:val="100"/>
                <w:sz w:val="21"/>
              </w:rPr>
              <w:t>2</w:t>
            </w:r>
            <w:r>
              <w:rPr>
                <w:rFonts w:ascii="Times New Roman" w:eastAsia="Times New Roman"/>
                <w:w w:val="100"/>
                <w:sz w:val="21"/>
              </w:rPr>
              <w:t>5</w:t>
            </w:r>
            <w:r>
              <w:rPr>
                <w:rFonts w:ascii="Times New Roman" w:eastAsia="Times New Roman"/>
                <w:spacing w:val="-2"/>
                <w:w w:val="100"/>
                <w:sz w:val="21"/>
              </w:rPr>
              <w:t>m</w:t>
            </w:r>
            <w:r>
              <w:rPr>
                <w:spacing w:val="-17"/>
                <w:w w:val="100"/>
                <w:sz w:val="21"/>
              </w:rPr>
              <w:t>，宽</w:t>
            </w:r>
            <w:r>
              <w:rPr>
                <w:spacing w:val="-52"/>
                <w:sz w:val="21"/>
              </w:rPr>
              <w:t> </w:t>
            </w:r>
            <w:r>
              <w:rPr>
                <w:rFonts w:ascii="Times New Roman" w:eastAsia="Times New Roman"/>
                <w:w w:val="100"/>
                <w:sz w:val="21"/>
              </w:rPr>
              <w:t>5.</w:t>
            </w:r>
            <w:r>
              <w:rPr>
                <w:rFonts w:ascii="Times New Roman" w:eastAsia="Times New Roman"/>
                <w:spacing w:val="-3"/>
                <w:w w:val="100"/>
                <w:sz w:val="21"/>
              </w:rPr>
              <w:t>3</w:t>
            </w:r>
            <w:r>
              <w:rPr>
                <w:rFonts w:ascii="Times New Roman" w:eastAsia="Times New Roman"/>
                <w:w w:val="100"/>
                <w:sz w:val="21"/>
              </w:rPr>
              <w:t>0</w:t>
            </w:r>
            <w:r>
              <w:rPr>
                <w:rFonts w:ascii="Times New Roman" w:eastAsia="Times New Roman"/>
                <w:spacing w:val="-2"/>
                <w:w w:val="100"/>
                <w:sz w:val="21"/>
              </w:rPr>
              <w:t>m</w:t>
            </w:r>
            <w:r>
              <w:rPr>
                <w:spacing w:val="-16"/>
                <w:w w:val="100"/>
                <w:sz w:val="21"/>
              </w:rPr>
              <w:t>，高</w:t>
            </w:r>
            <w:r>
              <w:rPr>
                <w:spacing w:val="-55"/>
                <w:sz w:val="21"/>
              </w:rPr>
              <w:t> </w:t>
            </w:r>
            <w:r>
              <w:rPr>
                <w:rFonts w:ascii="Times New Roman" w:eastAsia="Times New Roman"/>
                <w:spacing w:val="-3"/>
                <w:w w:val="100"/>
                <w:sz w:val="21"/>
              </w:rPr>
              <w:t>3</w:t>
            </w:r>
            <w:r>
              <w:rPr>
                <w:rFonts w:ascii="Times New Roman" w:eastAsia="Times New Roman"/>
                <w:spacing w:val="-2"/>
                <w:w w:val="100"/>
                <w:sz w:val="21"/>
              </w:rPr>
              <w:t>m</w:t>
            </w:r>
            <w:r>
              <w:rPr>
                <w:spacing w:val="-7"/>
                <w:w w:val="100"/>
                <w:sz w:val="21"/>
              </w:rPr>
              <w:t>；四周墙体均</w:t>
            </w:r>
            <w:r>
              <w:rPr>
                <w:spacing w:val="-6"/>
                <w:sz w:val="21"/>
              </w:rPr>
              <w:t>采用钢架</w:t>
            </w:r>
            <w:r>
              <w:rPr>
                <w:rFonts w:ascii="Times New Roman" w:eastAsia="Times New Roman"/>
                <w:sz w:val="21"/>
              </w:rPr>
              <w:t>+3mm</w:t>
            </w:r>
            <w:r>
              <w:rPr>
                <w:rFonts w:ascii="Times New Roman" w:eastAsia="Times New Roman"/>
                <w:spacing w:val="25"/>
                <w:sz w:val="21"/>
              </w:rPr>
              <w:t> </w:t>
            </w:r>
            <w:r>
              <w:rPr>
                <w:spacing w:val="-7"/>
                <w:sz w:val="21"/>
              </w:rPr>
              <w:t>铅板；屋顶采用 </w:t>
            </w:r>
            <w:r>
              <w:rPr>
                <w:rFonts w:ascii="Times New Roman" w:eastAsia="Times New Roman"/>
                <w:sz w:val="21"/>
              </w:rPr>
              <w:t>120mm</w:t>
            </w:r>
            <w:r>
              <w:rPr>
                <w:rFonts w:ascii="Times New Roman" w:eastAsia="Times New Roman"/>
                <w:spacing w:val="23"/>
                <w:sz w:val="21"/>
              </w:rPr>
              <w:t> </w:t>
            </w:r>
            <w:r>
              <w:rPr>
                <w:spacing w:val="-2"/>
                <w:sz w:val="21"/>
              </w:rPr>
              <w:t>混凝土</w:t>
            </w:r>
            <w:r>
              <w:rPr>
                <w:rFonts w:ascii="Times New Roman" w:eastAsia="Times New Roman"/>
                <w:sz w:val="21"/>
              </w:rPr>
              <w:t>+3mm</w:t>
            </w:r>
            <w:r>
              <w:rPr>
                <w:rFonts w:ascii="Times New Roman" w:eastAsia="Times New Roman"/>
                <w:spacing w:val="26"/>
                <w:sz w:val="21"/>
              </w:rPr>
              <w:t> </w:t>
            </w:r>
            <w:r>
              <w:rPr>
                <w:spacing w:val="-2"/>
                <w:sz w:val="21"/>
              </w:rPr>
              <w:t>铅板；控制室</w:t>
            </w:r>
            <w:r>
              <w:rPr>
                <w:spacing w:val="-6"/>
                <w:sz w:val="21"/>
              </w:rPr>
              <w:t>观察窗及污物传递窗均设计为 </w:t>
            </w:r>
            <w:r>
              <w:rPr>
                <w:rFonts w:ascii="Times New Roman" w:eastAsia="Times New Roman"/>
                <w:sz w:val="21"/>
              </w:rPr>
              <w:t>3mm</w:t>
            </w:r>
            <w:r>
              <w:rPr>
                <w:rFonts w:ascii="Times New Roman" w:eastAsia="Times New Roman"/>
                <w:spacing w:val="30"/>
                <w:sz w:val="21"/>
              </w:rPr>
              <w:t> </w:t>
            </w:r>
            <w:r>
              <w:rPr>
                <w:spacing w:val="-4"/>
                <w:sz w:val="21"/>
              </w:rPr>
              <w:t>铅当量铅窗；铅门</w:t>
            </w:r>
            <w:r>
              <w:rPr>
                <w:spacing w:val="-3"/>
                <w:sz w:val="21"/>
              </w:rPr>
              <w:t>（病人至介入</w:t>
            </w:r>
            <w:r>
              <w:rPr>
                <w:spacing w:val="-4"/>
                <w:sz w:val="21"/>
              </w:rPr>
              <w:t>治疗室防护门及控制室至介入治疗室防护门</w:t>
            </w:r>
            <w:r>
              <w:rPr>
                <w:spacing w:val="-3"/>
                <w:sz w:val="21"/>
              </w:rPr>
              <w:t>）</w:t>
            </w:r>
            <w:r>
              <w:rPr>
                <w:spacing w:val="-7"/>
                <w:sz w:val="21"/>
              </w:rPr>
              <w:t>均设计为 </w:t>
            </w:r>
            <w:r>
              <w:rPr>
                <w:rFonts w:ascii="Times New Roman" w:eastAsia="Times New Roman"/>
                <w:sz w:val="21"/>
              </w:rPr>
              <w:t>3mm</w:t>
            </w:r>
            <w:r>
              <w:rPr>
                <w:rFonts w:ascii="Times New Roman" w:eastAsia="Times New Roman"/>
                <w:spacing w:val="31"/>
                <w:sz w:val="21"/>
              </w:rPr>
              <w:t> </w:t>
            </w:r>
            <w:r>
              <w:rPr>
                <w:spacing w:val="-2"/>
                <w:sz w:val="21"/>
              </w:rPr>
              <w:t>铅当量</w:t>
            </w:r>
          </w:p>
          <w:p>
            <w:pPr>
              <w:pStyle w:val="TableParagraph"/>
              <w:spacing w:before="1"/>
              <w:ind w:left="104"/>
              <w:jc w:val="left"/>
              <w:rPr>
                <w:sz w:val="21"/>
              </w:rPr>
            </w:pPr>
            <w:r>
              <w:rPr>
                <w:sz w:val="21"/>
              </w:rPr>
              <w:t>防护门。</w:t>
            </w:r>
          </w:p>
        </w:tc>
        <w:tc>
          <w:tcPr>
            <w:tcW w:w="5064" w:type="dxa"/>
          </w:tcPr>
          <w:p>
            <w:pPr>
              <w:pStyle w:val="TableParagraph"/>
              <w:spacing w:before="10"/>
              <w:jc w:val="left"/>
              <w:rPr>
                <w:sz w:val="27"/>
              </w:rPr>
            </w:pPr>
          </w:p>
          <w:p>
            <w:pPr>
              <w:pStyle w:val="TableParagraph"/>
              <w:ind w:left="106"/>
              <w:jc w:val="left"/>
              <w:rPr>
                <w:sz w:val="21"/>
              </w:rPr>
            </w:pPr>
            <w:r>
              <w:rPr>
                <w:sz w:val="21"/>
              </w:rPr>
              <w:t>满足《电离辐射防护与辐射源安全基本标准》</w:t>
            </w:r>
          </w:p>
          <w:p>
            <w:pPr>
              <w:pStyle w:val="TableParagraph"/>
              <w:spacing w:line="288" w:lineRule="auto" w:before="57"/>
              <w:ind w:left="106" w:right="43"/>
              <w:jc w:val="left"/>
              <w:rPr>
                <w:sz w:val="21"/>
              </w:rPr>
            </w:pPr>
            <w:r>
              <w:rPr>
                <w:sz w:val="21"/>
              </w:rPr>
              <w:t>（</w:t>
            </w:r>
            <w:r>
              <w:rPr>
                <w:rFonts w:ascii="Times New Roman" w:eastAsia="Times New Roman"/>
                <w:sz w:val="21"/>
              </w:rPr>
              <w:t>GB18871-2002</w:t>
            </w:r>
            <w:r>
              <w:rPr>
                <w:sz w:val="21"/>
              </w:rPr>
              <w:t>）中对职业人员和公众受照剂量限值要求以及本项目的目标管理值要求。</w:t>
            </w:r>
          </w:p>
        </w:tc>
        <w:tc>
          <w:tcPr>
            <w:tcW w:w="113" w:type="dxa"/>
            <w:tcBorders>
              <w:top w:val="nil"/>
              <w:bottom w:val="nil"/>
            </w:tcBorders>
          </w:tcPr>
          <w:p>
            <w:pPr>
              <w:pStyle w:val="TableParagraph"/>
              <w:jc w:val="left"/>
              <w:rPr>
                <w:rFonts w:ascii="Times New Roman"/>
                <w:sz w:val="20"/>
              </w:rPr>
            </w:pPr>
          </w:p>
        </w:tc>
      </w:tr>
      <w:tr>
        <w:trPr>
          <w:trHeight w:val="652" w:hRule="atLeast"/>
        </w:trPr>
        <w:tc>
          <w:tcPr>
            <w:tcW w:w="113" w:type="dxa"/>
            <w:vMerge/>
            <w:tcBorders>
              <w:top w:val="nil"/>
              <w:bottom w:val="nil"/>
            </w:tcBorders>
          </w:tcPr>
          <w:p>
            <w:pPr>
              <w:rPr>
                <w:sz w:val="2"/>
                <w:szCs w:val="2"/>
              </w:rPr>
            </w:pPr>
          </w:p>
        </w:tc>
        <w:tc>
          <w:tcPr>
            <w:tcW w:w="653" w:type="dxa"/>
            <w:vMerge/>
            <w:tcBorders>
              <w:top w:val="nil"/>
            </w:tcBorders>
          </w:tcPr>
          <w:p>
            <w:pPr>
              <w:rPr>
                <w:sz w:val="2"/>
                <w:szCs w:val="2"/>
              </w:rPr>
            </w:pPr>
          </w:p>
        </w:tc>
        <w:tc>
          <w:tcPr>
            <w:tcW w:w="2794" w:type="dxa"/>
            <w:vMerge w:val="restart"/>
          </w:tcPr>
          <w:p>
            <w:pPr>
              <w:pStyle w:val="TableParagraph"/>
              <w:spacing w:before="10"/>
              <w:jc w:val="left"/>
              <w:rPr>
                <w:sz w:val="27"/>
              </w:rPr>
            </w:pPr>
          </w:p>
          <w:p>
            <w:pPr>
              <w:pStyle w:val="TableParagraph"/>
              <w:spacing w:line="290" w:lineRule="auto"/>
              <w:ind w:left="107" w:right="93" w:firstLine="211"/>
              <w:jc w:val="left"/>
              <w:rPr>
                <w:sz w:val="21"/>
              </w:rPr>
            </w:pPr>
            <w:r>
              <w:rPr>
                <w:spacing w:val="-21"/>
                <w:sz w:val="21"/>
              </w:rPr>
              <w:t>安全措施</w:t>
            </w:r>
            <w:r>
              <w:rPr>
                <w:sz w:val="21"/>
              </w:rPr>
              <w:t>（</w:t>
            </w:r>
            <w:r>
              <w:rPr>
                <w:spacing w:val="-16"/>
                <w:sz w:val="21"/>
              </w:rPr>
              <w:t>联锁装置、警示</w:t>
            </w:r>
            <w:r>
              <w:rPr>
                <w:spacing w:val="-4"/>
                <w:sz w:val="21"/>
              </w:rPr>
              <w:t>标志、工作指示灯等</w:t>
            </w:r>
            <w:r>
              <w:rPr>
                <w:sz w:val="21"/>
              </w:rPr>
              <w:t>）</w:t>
            </w:r>
          </w:p>
        </w:tc>
        <w:tc>
          <w:tcPr>
            <w:tcW w:w="6454" w:type="dxa"/>
          </w:tcPr>
          <w:p>
            <w:pPr>
              <w:pStyle w:val="TableParagraph"/>
              <w:spacing w:before="30"/>
              <w:ind w:left="315"/>
              <w:jc w:val="left"/>
              <w:rPr>
                <w:sz w:val="21"/>
              </w:rPr>
            </w:pPr>
            <w:r>
              <w:rPr>
                <w:sz w:val="21"/>
              </w:rPr>
              <w:t>病人至介入治疗室防护门、控制室至介入治疗室防护门及污物通道</w:t>
            </w:r>
          </w:p>
          <w:p>
            <w:pPr>
              <w:pStyle w:val="TableParagraph"/>
              <w:spacing w:before="57"/>
              <w:ind w:left="104"/>
              <w:jc w:val="left"/>
              <w:rPr>
                <w:sz w:val="21"/>
              </w:rPr>
            </w:pPr>
            <w:r>
              <w:rPr>
                <w:sz w:val="21"/>
              </w:rPr>
              <w:t>门外的醒目位置设置“当心电离辐射警告”标志。</w:t>
            </w:r>
          </w:p>
        </w:tc>
        <w:tc>
          <w:tcPr>
            <w:tcW w:w="5064" w:type="dxa"/>
            <w:vMerge w:val="restart"/>
          </w:tcPr>
          <w:p>
            <w:pPr>
              <w:pStyle w:val="TableParagraph"/>
              <w:spacing w:line="290" w:lineRule="auto" w:before="30"/>
              <w:ind w:left="106" w:right="-15"/>
              <w:jc w:val="both"/>
              <w:rPr>
                <w:sz w:val="21"/>
              </w:rPr>
            </w:pPr>
            <w:r>
              <w:rPr>
                <w:spacing w:val="-4"/>
                <w:sz w:val="21"/>
              </w:rPr>
              <w:t>设置后可满足《放射性同位素与射线装置安全许可管</w:t>
            </w:r>
            <w:r>
              <w:rPr>
                <w:spacing w:val="-25"/>
                <w:sz w:val="21"/>
              </w:rPr>
              <w:t>理办法》、《放射诊断放射防护要求》</w:t>
            </w:r>
            <w:r>
              <w:rPr>
                <w:sz w:val="21"/>
              </w:rPr>
              <w:t>（</w:t>
            </w:r>
            <w:r>
              <w:rPr>
                <w:rFonts w:ascii="Times New Roman" w:eastAsia="Times New Roman"/>
                <w:sz w:val="21"/>
              </w:rPr>
              <w:t>GBZ130-2020</w:t>
            </w:r>
            <w:r>
              <w:rPr>
                <w:sz w:val="21"/>
              </w:rPr>
              <w:t>） </w:t>
            </w:r>
            <w:r>
              <w:rPr>
                <w:spacing w:val="-12"/>
                <w:sz w:val="21"/>
              </w:rPr>
              <w:t>及《四川省核技术利用辐射安全与防护监督检查大纲》</w:t>
            </w:r>
          </w:p>
          <w:p>
            <w:pPr>
              <w:pStyle w:val="TableParagraph"/>
              <w:spacing w:before="2"/>
              <w:ind w:left="106"/>
              <w:jc w:val="both"/>
              <w:rPr>
                <w:sz w:val="21"/>
              </w:rPr>
            </w:pPr>
            <w:r>
              <w:rPr>
                <w:sz w:val="21"/>
              </w:rPr>
              <w:t>（川环函﹝</w:t>
            </w:r>
            <w:r>
              <w:rPr>
                <w:rFonts w:ascii="Times New Roman" w:eastAsia="Times New Roman"/>
                <w:sz w:val="21"/>
              </w:rPr>
              <w:t>2016</w:t>
            </w:r>
            <w:r>
              <w:rPr>
                <w:sz w:val="21"/>
              </w:rPr>
              <w:t>﹞</w:t>
            </w:r>
            <w:r>
              <w:rPr>
                <w:rFonts w:ascii="Times New Roman" w:eastAsia="Times New Roman"/>
                <w:sz w:val="21"/>
              </w:rPr>
              <w:t>1400 </w:t>
            </w:r>
            <w:r>
              <w:rPr>
                <w:sz w:val="21"/>
              </w:rPr>
              <w:t>号）的要求</w:t>
            </w:r>
          </w:p>
        </w:tc>
        <w:tc>
          <w:tcPr>
            <w:tcW w:w="113" w:type="dxa"/>
            <w:vMerge w:val="restart"/>
            <w:tcBorders>
              <w:top w:val="nil"/>
              <w:bottom w:val="nil"/>
            </w:tcBorders>
          </w:tcPr>
          <w:p>
            <w:pPr>
              <w:pStyle w:val="TableParagraph"/>
              <w:jc w:val="left"/>
              <w:rPr>
                <w:rFonts w:ascii="Times New Roman"/>
                <w:sz w:val="20"/>
              </w:rPr>
            </w:pPr>
          </w:p>
        </w:tc>
      </w:tr>
      <w:tr>
        <w:trPr>
          <w:trHeight w:val="642" w:hRule="atLeast"/>
        </w:trPr>
        <w:tc>
          <w:tcPr>
            <w:tcW w:w="113" w:type="dxa"/>
            <w:vMerge/>
            <w:tcBorders>
              <w:top w:val="nil"/>
              <w:bottom w:val="nil"/>
            </w:tcBorders>
          </w:tcPr>
          <w:p>
            <w:pPr>
              <w:rPr>
                <w:sz w:val="2"/>
                <w:szCs w:val="2"/>
              </w:rPr>
            </w:pPr>
          </w:p>
        </w:tc>
        <w:tc>
          <w:tcPr>
            <w:tcW w:w="653" w:type="dxa"/>
            <w:vMerge/>
            <w:tcBorders>
              <w:top w:val="nil"/>
            </w:tcBorders>
          </w:tcPr>
          <w:p>
            <w:pPr>
              <w:rPr>
                <w:sz w:val="2"/>
                <w:szCs w:val="2"/>
              </w:rPr>
            </w:pPr>
          </w:p>
        </w:tc>
        <w:tc>
          <w:tcPr>
            <w:tcW w:w="2794" w:type="dxa"/>
            <w:vMerge/>
            <w:tcBorders>
              <w:top w:val="nil"/>
            </w:tcBorders>
          </w:tcPr>
          <w:p>
            <w:pPr>
              <w:rPr>
                <w:sz w:val="2"/>
                <w:szCs w:val="2"/>
              </w:rPr>
            </w:pPr>
          </w:p>
        </w:tc>
        <w:tc>
          <w:tcPr>
            <w:tcW w:w="6454" w:type="dxa"/>
          </w:tcPr>
          <w:p>
            <w:pPr>
              <w:pStyle w:val="TableParagraph"/>
              <w:spacing w:before="188"/>
              <w:ind w:left="315"/>
              <w:jc w:val="left"/>
              <w:rPr>
                <w:sz w:val="21"/>
              </w:rPr>
            </w:pPr>
            <w:r>
              <w:rPr>
                <w:sz w:val="21"/>
              </w:rPr>
              <w:t>各项辐射安全防护措施应根据表 </w:t>
            </w:r>
            <w:r>
              <w:rPr>
                <w:rFonts w:ascii="Times New Roman" w:eastAsia="Times New Roman"/>
                <w:sz w:val="21"/>
              </w:rPr>
              <w:t>10-6 </w:t>
            </w:r>
            <w:r>
              <w:rPr>
                <w:sz w:val="21"/>
              </w:rPr>
              <w:t>进行落实。</w:t>
            </w:r>
          </w:p>
        </w:tc>
        <w:tc>
          <w:tcPr>
            <w:tcW w:w="5064" w:type="dxa"/>
            <w:vMerge/>
            <w:tcBorders>
              <w:top w:val="nil"/>
            </w:tcBorders>
          </w:tcPr>
          <w:p>
            <w:pPr>
              <w:rPr>
                <w:sz w:val="2"/>
                <w:szCs w:val="2"/>
              </w:rPr>
            </w:pPr>
          </w:p>
        </w:tc>
        <w:tc>
          <w:tcPr>
            <w:tcW w:w="113" w:type="dxa"/>
            <w:vMerge/>
            <w:tcBorders>
              <w:top w:val="nil"/>
              <w:bottom w:val="nil"/>
            </w:tcBorders>
          </w:tcPr>
          <w:p>
            <w:pPr>
              <w:rPr>
                <w:sz w:val="2"/>
                <w:szCs w:val="2"/>
              </w:rPr>
            </w:pPr>
          </w:p>
        </w:tc>
      </w:tr>
      <w:tr>
        <w:trPr>
          <w:trHeight w:val="650" w:hRule="atLeast"/>
        </w:trPr>
        <w:tc>
          <w:tcPr>
            <w:tcW w:w="113" w:type="dxa"/>
            <w:vMerge w:val="restart"/>
            <w:tcBorders>
              <w:top w:val="nil"/>
              <w:bottom w:val="nil"/>
            </w:tcBorders>
          </w:tcPr>
          <w:p>
            <w:pPr>
              <w:pStyle w:val="TableParagraph"/>
              <w:jc w:val="left"/>
              <w:rPr>
                <w:rFonts w:ascii="Times New Roman"/>
                <w:sz w:val="20"/>
              </w:rPr>
            </w:pPr>
          </w:p>
        </w:tc>
        <w:tc>
          <w:tcPr>
            <w:tcW w:w="653" w:type="dxa"/>
            <w:vMerge w:val="restart"/>
          </w:tcPr>
          <w:p>
            <w:pPr>
              <w:pStyle w:val="TableParagraph"/>
              <w:jc w:val="left"/>
              <w:rPr>
                <w:sz w:val="24"/>
              </w:rPr>
            </w:pPr>
          </w:p>
          <w:p>
            <w:pPr>
              <w:pStyle w:val="TableParagraph"/>
              <w:jc w:val="left"/>
              <w:rPr>
                <w:sz w:val="24"/>
              </w:rPr>
            </w:pPr>
          </w:p>
          <w:p>
            <w:pPr>
              <w:pStyle w:val="TableParagraph"/>
              <w:spacing w:before="9"/>
              <w:jc w:val="left"/>
              <w:rPr>
                <w:sz w:val="18"/>
              </w:rPr>
            </w:pPr>
          </w:p>
          <w:p>
            <w:pPr>
              <w:pStyle w:val="TableParagraph"/>
              <w:spacing w:line="288" w:lineRule="auto"/>
              <w:ind w:left="114" w:right="103"/>
              <w:jc w:val="left"/>
              <w:rPr>
                <w:sz w:val="21"/>
              </w:rPr>
            </w:pPr>
            <w:r>
              <w:rPr>
                <w:sz w:val="21"/>
              </w:rPr>
              <w:t>人员配备</w:t>
            </w:r>
          </w:p>
        </w:tc>
        <w:tc>
          <w:tcPr>
            <w:tcW w:w="2794" w:type="dxa"/>
          </w:tcPr>
          <w:p>
            <w:pPr>
              <w:pStyle w:val="TableParagraph"/>
              <w:spacing w:before="193"/>
              <w:ind w:left="114" w:right="109"/>
              <w:rPr>
                <w:sz w:val="21"/>
              </w:rPr>
            </w:pPr>
            <w:r>
              <w:rPr>
                <w:sz w:val="21"/>
              </w:rPr>
              <w:t>辐射防护与安全培训和考核</w:t>
            </w:r>
          </w:p>
        </w:tc>
        <w:tc>
          <w:tcPr>
            <w:tcW w:w="6454" w:type="dxa"/>
          </w:tcPr>
          <w:p>
            <w:pPr>
              <w:pStyle w:val="TableParagraph"/>
              <w:spacing w:before="29"/>
              <w:ind w:left="315"/>
              <w:jc w:val="left"/>
              <w:rPr>
                <w:sz w:val="21"/>
              </w:rPr>
            </w:pPr>
            <w:r>
              <w:rPr>
                <w:sz w:val="21"/>
              </w:rPr>
              <w:t>辐射安全管理人员和辐射工作人员应参加辐射安全与防护培训，考</w:t>
            </w:r>
          </w:p>
          <w:p>
            <w:pPr>
              <w:pStyle w:val="TableParagraph"/>
              <w:spacing w:before="58"/>
              <w:ind w:left="104"/>
              <w:jc w:val="left"/>
              <w:rPr>
                <w:sz w:val="21"/>
              </w:rPr>
            </w:pPr>
            <w:r>
              <w:rPr>
                <w:sz w:val="21"/>
              </w:rPr>
              <w:t>核合格后上岗。</w:t>
            </w:r>
          </w:p>
        </w:tc>
        <w:tc>
          <w:tcPr>
            <w:tcW w:w="5064" w:type="dxa"/>
          </w:tcPr>
          <w:p>
            <w:pPr>
              <w:pStyle w:val="TableParagraph"/>
              <w:spacing w:before="29"/>
              <w:ind w:left="106"/>
              <w:jc w:val="left"/>
              <w:rPr>
                <w:sz w:val="21"/>
              </w:rPr>
            </w:pPr>
            <w:r>
              <w:rPr>
                <w:sz w:val="21"/>
              </w:rPr>
              <w:t>本项目所有辐射工作人员均已参加辐射安全与防护培</w:t>
            </w:r>
          </w:p>
          <w:p>
            <w:pPr>
              <w:pStyle w:val="TableParagraph"/>
              <w:spacing w:before="58"/>
              <w:ind w:left="106"/>
              <w:jc w:val="left"/>
              <w:rPr>
                <w:sz w:val="21"/>
              </w:rPr>
            </w:pPr>
            <w:r>
              <w:rPr>
                <w:sz w:val="21"/>
              </w:rPr>
              <w:t>训并取得合格证书。</w:t>
            </w:r>
          </w:p>
        </w:tc>
        <w:tc>
          <w:tcPr>
            <w:tcW w:w="113" w:type="dxa"/>
            <w:tcBorders>
              <w:top w:val="nil"/>
              <w:bottom w:val="nil"/>
            </w:tcBorders>
          </w:tcPr>
          <w:p>
            <w:pPr>
              <w:pStyle w:val="TableParagraph"/>
              <w:jc w:val="left"/>
              <w:rPr>
                <w:rFonts w:ascii="Times New Roman"/>
                <w:sz w:val="20"/>
              </w:rPr>
            </w:pPr>
          </w:p>
        </w:tc>
      </w:tr>
      <w:tr>
        <w:trPr>
          <w:trHeight w:val="978" w:hRule="atLeast"/>
        </w:trPr>
        <w:tc>
          <w:tcPr>
            <w:tcW w:w="113" w:type="dxa"/>
            <w:vMerge/>
            <w:tcBorders>
              <w:top w:val="nil"/>
              <w:bottom w:val="nil"/>
            </w:tcBorders>
          </w:tcPr>
          <w:p>
            <w:pPr>
              <w:rPr>
                <w:sz w:val="2"/>
                <w:szCs w:val="2"/>
              </w:rPr>
            </w:pPr>
          </w:p>
        </w:tc>
        <w:tc>
          <w:tcPr>
            <w:tcW w:w="653" w:type="dxa"/>
            <w:vMerge/>
            <w:tcBorders>
              <w:top w:val="nil"/>
            </w:tcBorders>
          </w:tcPr>
          <w:p>
            <w:pPr>
              <w:rPr>
                <w:sz w:val="2"/>
                <w:szCs w:val="2"/>
              </w:rPr>
            </w:pPr>
          </w:p>
        </w:tc>
        <w:tc>
          <w:tcPr>
            <w:tcW w:w="2794" w:type="dxa"/>
          </w:tcPr>
          <w:p>
            <w:pPr>
              <w:pStyle w:val="TableParagraph"/>
              <w:spacing w:before="10"/>
              <w:jc w:val="left"/>
              <w:rPr>
                <w:sz w:val="27"/>
              </w:rPr>
            </w:pPr>
          </w:p>
          <w:p>
            <w:pPr>
              <w:pStyle w:val="TableParagraph"/>
              <w:ind w:left="114" w:right="106"/>
              <w:rPr>
                <w:sz w:val="21"/>
              </w:rPr>
            </w:pPr>
            <w:r>
              <w:rPr>
                <w:sz w:val="21"/>
              </w:rPr>
              <w:t>个人剂量监测</w:t>
            </w:r>
          </w:p>
        </w:tc>
        <w:tc>
          <w:tcPr>
            <w:tcW w:w="6454" w:type="dxa"/>
          </w:tcPr>
          <w:p>
            <w:pPr>
              <w:pStyle w:val="TableParagraph"/>
              <w:spacing w:line="288" w:lineRule="auto" w:before="195"/>
              <w:ind w:left="104" w:right="92" w:firstLine="211"/>
              <w:jc w:val="left"/>
              <w:rPr>
                <w:sz w:val="21"/>
              </w:rPr>
            </w:pPr>
            <w:r>
              <w:rPr>
                <w:spacing w:val="-8"/>
                <w:sz w:val="21"/>
              </w:rPr>
              <w:t>辐射工作人员在上岗前佩戴个人剂量计，并定期送检，加强个人剂</w:t>
            </w:r>
            <w:r>
              <w:rPr>
                <w:spacing w:val="-5"/>
                <w:sz w:val="21"/>
              </w:rPr>
              <w:t>量监测，建立个人剂量档案。</w:t>
            </w:r>
          </w:p>
        </w:tc>
        <w:tc>
          <w:tcPr>
            <w:tcW w:w="5064" w:type="dxa"/>
          </w:tcPr>
          <w:p>
            <w:pPr>
              <w:pStyle w:val="TableParagraph"/>
              <w:spacing w:line="288" w:lineRule="auto" w:before="32"/>
              <w:ind w:left="106" w:right="42"/>
              <w:jc w:val="left"/>
              <w:rPr>
                <w:sz w:val="21"/>
              </w:rPr>
            </w:pPr>
            <w:r>
              <w:rPr>
                <w:spacing w:val="-4"/>
                <w:sz w:val="21"/>
              </w:rPr>
              <w:t>本项目所有辐射工作人员上岗前佩戴个人剂量计后可</w:t>
            </w:r>
            <w:r>
              <w:rPr>
                <w:spacing w:val="-11"/>
                <w:sz w:val="21"/>
              </w:rPr>
              <w:t>满足《职业性外照射个人监测规范》</w:t>
            </w:r>
            <w:r>
              <w:rPr>
                <w:sz w:val="21"/>
              </w:rPr>
              <w:t>（</w:t>
            </w:r>
            <w:r>
              <w:rPr>
                <w:rFonts w:ascii="Times New Roman" w:eastAsia="Times New Roman"/>
                <w:sz w:val="21"/>
              </w:rPr>
              <w:t>GBZ128-2019</w:t>
            </w:r>
            <w:r>
              <w:rPr>
                <w:sz w:val="21"/>
              </w:rPr>
              <w:t>）</w:t>
            </w:r>
          </w:p>
          <w:p>
            <w:pPr>
              <w:pStyle w:val="TableParagraph"/>
              <w:spacing w:before="5"/>
              <w:ind w:left="106"/>
              <w:jc w:val="left"/>
              <w:rPr>
                <w:sz w:val="21"/>
              </w:rPr>
            </w:pPr>
            <w:r>
              <w:rPr>
                <w:sz w:val="21"/>
              </w:rPr>
              <w:t>的要求</w:t>
            </w:r>
          </w:p>
        </w:tc>
        <w:tc>
          <w:tcPr>
            <w:tcW w:w="113" w:type="dxa"/>
            <w:tcBorders>
              <w:top w:val="nil"/>
              <w:bottom w:val="nil"/>
            </w:tcBorders>
          </w:tcPr>
          <w:p>
            <w:pPr>
              <w:pStyle w:val="TableParagraph"/>
              <w:jc w:val="left"/>
              <w:rPr>
                <w:rFonts w:ascii="Times New Roman"/>
                <w:sz w:val="20"/>
              </w:rPr>
            </w:pPr>
          </w:p>
        </w:tc>
      </w:tr>
      <w:tr>
        <w:trPr>
          <w:trHeight w:val="652" w:hRule="atLeast"/>
        </w:trPr>
        <w:tc>
          <w:tcPr>
            <w:tcW w:w="113" w:type="dxa"/>
            <w:vMerge/>
            <w:tcBorders>
              <w:top w:val="nil"/>
              <w:bottom w:val="nil"/>
            </w:tcBorders>
          </w:tcPr>
          <w:p>
            <w:pPr>
              <w:rPr>
                <w:sz w:val="2"/>
                <w:szCs w:val="2"/>
              </w:rPr>
            </w:pPr>
          </w:p>
        </w:tc>
        <w:tc>
          <w:tcPr>
            <w:tcW w:w="653" w:type="dxa"/>
            <w:vMerge/>
            <w:tcBorders>
              <w:top w:val="nil"/>
            </w:tcBorders>
          </w:tcPr>
          <w:p>
            <w:pPr>
              <w:rPr>
                <w:sz w:val="2"/>
                <w:szCs w:val="2"/>
              </w:rPr>
            </w:pPr>
          </w:p>
        </w:tc>
        <w:tc>
          <w:tcPr>
            <w:tcW w:w="2794" w:type="dxa"/>
          </w:tcPr>
          <w:p>
            <w:pPr>
              <w:pStyle w:val="TableParagraph"/>
              <w:spacing w:before="193"/>
              <w:ind w:left="114" w:right="108"/>
              <w:rPr>
                <w:sz w:val="21"/>
              </w:rPr>
            </w:pPr>
            <w:r>
              <w:rPr>
                <w:sz w:val="21"/>
              </w:rPr>
              <w:t>人员职业健康监护</w:t>
            </w:r>
          </w:p>
        </w:tc>
        <w:tc>
          <w:tcPr>
            <w:tcW w:w="6454" w:type="dxa"/>
          </w:tcPr>
          <w:p>
            <w:pPr>
              <w:pStyle w:val="TableParagraph"/>
              <w:spacing w:before="29"/>
              <w:ind w:left="315"/>
              <w:jc w:val="left"/>
              <w:rPr>
                <w:sz w:val="21"/>
              </w:rPr>
            </w:pPr>
            <w:r>
              <w:rPr>
                <w:sz w:val="21"/>
              </w:rPr>
              <w:t>辐射工作人员定期进行职业健康体检，并建立放射工作人员职业健</w:t>
            </w:r>
          </w:p>
          <w:p>
            <w:pPr>
              <w:pStyle w:val="TableParagraph"/>
              <w:spacing w:before="58"/>
              <w:ind w:left="104"/>
              <w:jc w:val="left"/>
              <w:rPr>
                <w:sz w:val="21"/>
              </w:rPr>
            </w:pPr>
            <w:r>
              <w:rPr>
                <w:sz w:val="21"/>
              </w:rPr>
              <w:t>康档案。</w:t>
            </w:r>
          </w:p>
        </w:tc>
        <w:tc>
          <w:tcPr>
            <w:tcW w:w="5064" w:type="dxa"/>
          </w:tcPr>
          <w:p>
            <w:pPr>
              <w:pStyle w:val="TableParagraph"/>
              <w:spacing w:before="29"/>
              <w:ind w:left="90" w:right="83"/>
              <w:rPr>
                <w:sz w:val="21"/>
              </w:rPr>
            </w:pPr>
            <w:r>
              <w:rPr>
                <w:sz w:val="21"/>
              </w:rPr>
              <w:t>本项目所有辐射工作人员需按时体检，两次体检的时</w:t>
            </w:r>
          </w:p>
          <w:p>
            <w:pPr>
              <w:pStyle w:val="TableParagraph"/>
              <w:spacing w:before="58"/>
              <w:ind w:left="90" w:right="80"/>
              <w:rPr>
                <w:sz w:val="21"/>
              </w:rPr>
            </w:pPr>
            <w:r>
              <w:rPr>
                <w:sz w:val="21"/>
              </w:rPr>
              <w:t>间间隔不应超过两年</w:t>
            </w:r>
          </w:p>
        </w:tc>
        <w:tc>
          <w:tcPr>
            <w:tcW w:w="113" w:type="dxa"/>
            <w:tcBorders>
              <w:top w:val="nil"/>
              <w:bottom w:val="nil"/>
            </w:tcBorders>
          </w:tcPr>
          <w:p>
            <w:pPr>
              <w:pStyle w:val="TableParagraph"/>
              <w:jc w:val="left"/>
              <w:rPr>
                <w:rFonts w:ascii="Times New Roman"/>
                <w:sz w:val="20"/>
              </w:rPr>
            </w:pPr>
          </w:p>
        </w:tc>
      </w:tr>
      <w:tr>
        <w:trPr>
          <w:trHeight w:val="978" w:hRule="atLeast"/>
        </w:trPr>
        <w:tc>
          <w:tcPr>
            <w:tcW w:w="113" w:type="dxa"/>
            <w:tcBorders>
              <w:top w:val="nil"/>
              <w:bottom w:val="nil"/>
            </w:tcBorders>
          </w:tcPr>
          <w:p>
            <w:pPr>
              <w:pStyle w:val="TableParagraph"/>
              <w:jc w:val="left"/>
              <w:rPr>
                <w:rFonts w:ascii="Times New Roman"/>
                <w:sz w:val="20"/>
              </w:rPr>
            </w:pPr>
          </w:p>
        </w:tc>
        <w:tc>
          <w:tcPr>
            <w:tcW w:w="3447" w:type="dxa"/>
            <w:gridSpan w:val="2"/>
          </w:tcPr>
          <w:p>
            <w:pPr>
              <w:pStyle w:val="TableParagraph"/>
              <w:spacing w:before="10"/>
              <w:jc w:val="left"/>
              <w:rPr>
                <w:sz w:val="27"/>
              </w:rPr>
            </w:pPr>
          </w:p>
          <w:p>
            <w:pPr>
              <w:pStyle w:val="TableParagraph"/>
              <w:ind w:left="774"/>
              <w:jc w:val="left"/>
              <w:rPr>
                <w:sz w:val="21"/>
              </w:rPr>
            </w:pPr>
            <w:r>
              <w:rPr>
                <w:sz w:val="21"/>
              </w:rPr>
              <w:t>监测设备及防护用品</w:t>
            </w:r>
          </w:p>
        </w:tc>
        <w:tc>
          <w:tcPr>
            <w:tcW w:w="6454" w:type="dxa"/>
          </w:tcPr>
          <w:p>
            <w:pPr>
              <w:pStyle w:val="TableParagraph"/>
              <w:spacing w:line="290" w:lineRule="auto" w:before="29"/>
              <w:ind w:left="104" w:right="94" w:firstLine="211"/>
              <w:jc w:val="left"/>
              <w:rPr>
                <w:rFonts w:ascii="Times New Roman" w:eastAsia="Times New Roman"/>
                <w:sz w:val="21"/>
              </w:rPr>
            </w:pPr>
            <w:r>
              <w:rPr>
                <w:spacing w:val="-10"/>
                <w:sz w:val="21"/>
              </w:rPr>
              <w:t>辐射巡检仪 </w:t>
            </w:r>
            <w:r>
              <w:rPr>
                <w:rFonts w:ascii="Times New Roman" w:eastAsia="Times New Roman"/>
                <w:sz w:val="21"/>
              </w:rPr>
              <w:t>1 </w:t>
            </w:r>
            <w:r>
              <w:rPr>
                <w:spacing w:val="-10"/>
                <w:sz w:val="21"/>
              </w:rPr>
              <w:t>台、个人剂量报警仪 </w:t>
            </w:r>
            <w:r>
              <w:rPr>
                <w:rFonts w:ascii="Times New Roman" w:eastAsia="Times New Roman"/>
                <w:sz w:val="21"/>
              </w:rPr>
              <w:t>2 </w:t>
            </w:r>
            <w:r>
              <w:rPr>
                <w:spacing w:val="-8"/>
                <w:sz w:val="21"/>
              </w:rPr>
              <w:t>台、个人剂量计；介入手术医</w:t>
            </w:r>
            <w:r>
              <w:rPr>
                <w:spacing w:val="-7"/>
                <w:sz w:val="21"/>
              </w:rPr>
              <w:t>生和护士配铅橡胶围裙、铅橡胶颈套、铅防护眼镜等个人防护用品 </w:t>
            </w:r>
            <w:r>
              <w:rPr>
                <w:rFonts w:ascii="Times New Roman" w:eastAsia="Times New Roman"/>
                <w:sz w:val="21"/>
              </w:rPr>
              <w:t>4</w:t>
            </w:r>
          </w:p>
          <w:p>
            <w:pPr>
              <w:pStyle w:val="TableParagraph"/>
              <w:spacing w:before="2"/>
              <w:ind w:left="104"/>
              <w:jc w:val="left"/>
              <w:rPr>
                <w:sz w:val="21"/>
              </w:rPr>
            </w:pPr>
            <w:r>
              <w:rPr>
                <w:sz w:val="21"/>
              </w:rPr>
              <w:t>套；患者配备铅方巾等个人防护用品至少 </w:t>
            </w:r>
            <w:r>
              <w:rPr>
                <w:rFonts w:ascii="Times New Roman" w:eastAsia="Times New Roman"/>
                <w:sz w:val="21"/>
              </w:rPr>
              <w:t>1 </w:t>
            </w:r>
            <w:r>
              <w:rPr>
                <w:sz w:val="21"/>
              </w:rPr>
              <w:t>套。</w:t>
            </w:r>
          </w:p>
        </w:tc>
        <w:tc>
          <w:tcPr>
            <w:tcW w:w="5064" w:type="dxa"/>
          </w:tcPr>
          <w:p>
            <w:pPr>
              <w:pStyle w:val="TableParagraph"/>
              <w:spacing w:before="10"/>
              <w:jc w:val="left"/>
              <w:rPr>
                <w:sz w:val="27"/>
              </w:rPr>
            </w:pPr>
          </w:p>
          <w:p>
            <w:pPr>
              <w:pStyle w:val="TableParagraph"/>
              <w:ind w:left="84" w:right="88"/>
              <w:rPr>
                <w:sz w:val="21"/>
              </w:rPr>
            </w:pPr>
            <w:r>
              <w:rPr>
                <w:sz w:val="21"/>
              </w:rPr>
              <w:t>本项目应配备相应的辐射监测设备和辐射防护用品。</w:t>
            </w:r>
          </w:p>
        </w:tc>
        <w:tc>
          <w:tcPr>
            <w:tcW w:w="113" w:type="dxa"/>
            <w:tcBorders>
              <w:top w:val="nil"/>
              <w:bottom w:val="nil"/>
            </w:tcBorders>
          </w:tcPr>
          <w:p>
            <w:pPr>
              <w:pStyle w:val="TableParagraph"/>
              <w:jc w:val="left"/>
              <w:rPr>
                <w:rFonts w:ascii="Times New Roman"/>
                <w:sz w:val="20"/>
              </w:rPr>
            </w:pPr>
          </w:p>
        </w:tc>
      </w:tr>
      <w:tr>
        <w:trPr>
          <w:trHeight w:val="1302" w:hRule="atLeast"/>
        </w:trPr>
        <w:tc>
          <w:tcPr>
            <w:tcW w:w="113" w:type="dxa"/>
            <w:tcBorders>
              <w:top w:val="nil"/>
            </w:tcBorders>
          </w:tcPr>
          <w:p>
            <w:pPr>
              <w:pStyle w:val="TableParagraph"/>
              <w:jc w:val="left"/>
              <w:rPr>
                <w:rFonts w:ascii="Times New Roman"/>
                <w:sz w:val="20"/>
              </w:rPr>
            </w:pPr>
          </w:p>
        </w:tc>
        <w:tc>
          <w:tcPr>
            <w:tcW w:w="653" w:type="dxa"/>
            <w:tcBorders>
              <w:bottom w:val="single" w:sz="8" w:space="0" w:color="000000"/>
            </w:tcBorders>
          </w:tcPr>
          <w:p>
            <w:pPr>
              <w:pStyle w:val="TableParagraph"/>
              <w:spacing w:line="290" w:lineRule="auto" w:before="29"/>
              <w:ind w:left="114" w:right="103"/>
              <w:jc w:val="both"/>
              <w:rPr>
                <w:sz w:val="21"/>
              </w:rPr>
            </w:pPr>
            <w:r>
              <w:rPr>
                <w:spacing w:val="-9"/>
                <w:sz w:val="21"/>
              </w:rPr>
              <w:t>辐射安全管理</w:t>
            </w:r>
          </w:p>
          <w:p>
            <w:pPr>
              <w:pStyle w:val="TableParagraph"/>
              <w:spacing w:before="1"/>
              <w:ind w:left="114"/>
              <w:jc w:val="both"/>
              <w:rPr>
                <w:sz w:val="21"/>
              </w:rPr>
            </w:pPr>
            <w:r>
              <w:rPr>
                <w:sz w:val="21"/>
              </w:rPr>
              <w:t>制度</w:t>
            </w:r>
          </w:p>
        </w:tc>
        <w:tc>
          <w:tcPr>
            <w:tcW w:w="2794" w:type="dxa"/>
            <w:tcBorders>
              <w:bottom w:val="single" w:sz="8" w:space="0" w:color="000000"/>
            </w:tcBorders>
          </w:tcPr>
          <w:p>
            <w:pPr>
              <w:pStyle w:val="TableParagraph"/>
              <w:spacing w:line="290" w:lineRule="auto" w:before="29"/>
              <w:ind w:left="133" w:right="126"/>
              <w:jc w:val="both"/>
              <w:rPr>
                <w:sz w:val="21"/>
              </w:rPr>
            </w:pPr>
            <w:r>
              <w:rPr>
                <w:sz w:val="21"/>
              </w:rPr>
              <w:t>操作规程、岗位职责、辐射防护和安全保卫制度、设备检修维护制度、辐射事故应</w:t>
            </w:r>
          </w:p>
          <w:p>
            <w:pPr>
              <w:pStyle w:val="TableParagraph"/>
              <w:spacing w:before="1"/>
              <w:ind w:left="764"/>
              <w:jc w:val="left"/>
              <w:rPr>
                <w:sz w:val="21"/>
              </w:rPr>
            </w:pPr>
            <w:r>
              <w:rPr>
                <w:sz w:val="21"/>
              </w:rPr>
              <w:t>急措施等制度</w:t>
            </w:r>
          </w:p>
        </w:tc>
        <w:tc>
          <w:tcPr>
            <w:tcW w:w="6454" w:type="dxa"/>
            <w:tcBorders>
              <w:bottom w:val="single" w:sz="8" w:space="0" w:color="000000"/>
            </w:tcBorders>
          </w:tcPr>
          <w:p>
            <w:pPr>
              <w:pStyle w:val="TableParagraph"/>
              <w:spacing w:before="10"/>
              <w:jc w:val="left"/>
              <w:rPr>
                <w:sz w:val="27"/>
              </w:rPr>
            </w:pPr>
          </w:p>
          <w:p>
            <w:pPr>
              <w:pStyle w:val="TableParagraph"/>
              <w:spacing w:line="288" w:lineRule="auto"/>
              <w:ind w:left="104" w:right="96"/>
              <w:jc w:val="left"/>
              <w:rPr>
                <w:sz w:val="21"/>
              </w:rPr>
            </w:pPr>
            <w:r>
              <w:rPr>
                <w:spacing w:val="-8"/>
                <w:sz w:val="21"/>
              </w:rPr>
              <w:t>根据环评要求，按照项目的实际情况，补充相关内容，建立完善、内</w:t>
            </w:r>
            <w:r>
              <w:rPr>
                <w:spacing w:val="-5"/>
                <w:sz w:val="21"/>
              </w:rPr>
              <w:t>容全面、具有可操作性的辐射安全规章制度。</w:t>
            </w:r>
          </w:p>
        </w:tc>
        <w:tc>
          <w:tcPr>
            <w:tcW w:w="5064" w:type="dxa"/>
            <w:tcBorders>
              <w:bottom w:val="single" w:sz="8" w:space="0" w:color="000000"/>
            </w:tcBorders>
          </w:tcPr>
          <w:p>
            <w:pPr>
              <w:pStyle w:val="TableParagraph"/>
              <w:spacing w:before="10"/>
              <w:jc w:val="left"/>
              <w:rPr>
                <w:sz w:val="27"/>
              </w:rPr>
            </w:pPr>
          </w:p>
          <w:p>
            <w:pPr>
              <w:pStyle w:val="TableParagraph"/>
              <w:spacing w:line="288" w:lineRule="auto"/>
              <w:ind w:left="1479" w:right="104" w:hanging="1366"/>
              <w:jc w:val="left"/>
              <w:rPr>
                <w:sz w:val="21"/>
              </w:rPr>
            </w:pPr>
            <w:r>
              <w:rPr>
                <w:sz w:val="21"/>
              </w:rPr>
              <w:t>制订并完善后可满足《放射性同位素与射线装置安全许可管理办法》的要求</w:t>
            </w:r>
          </w:p>
        </w:tc>
        <w:tc>
          <w:tcPr>
            <w:tcW w:w="113" w:type="dxa"/>
            <w:tcBorders>
              <w:top w:val="nil"/>
            </w:tcBorders>
          </w:tcPr>
          <w:p>
            <w:pPr>
              <w:pStyle w:val="TableParagraph"/>
              <w:jc w:val="left"/>
              <w:rPr>
                <w:rFonts w:ascii="Times New Roman"/>
                <w:sz w:val="20"/>
              </w:rPr>
            </w:pPr>
          </w:p>
        </w:tc>
      </w:tr>
    </w:tbl>
    <w:p>
      <w:pPr>
        <w:spacing w:before="68"/>
        <w:ind w:left="7487" w:right="7502" w:firstLine="0"/>
        <w:jc w:val="center"/>
        <w:rPr>
          <w:rFonts w:ascii="Times New Roman"/>
          <w:sz w:val="18"/>
        </w:rPr>
      </w:pPr>
      <w:r>
        <w:rPr>
          <w:rFonts w:ascii="Times New Roman"/>
          <w:sz w:val="18"/>
        </w:rPr>
        <w:t>- 68 -</w:t>
      </w:r>
    </w:p>
    <w:p>
      <w:pPr>
        <w:spacing w:after="0"/>
        <w:jc w:val="center"/>
        <w:rPr>
          <w:rFonts w:ascii="Times New Roman"/>
          <w:sz w:val="18"/>
        </w:rPr>
        <w:sectPr>
          <w:footerReference w:type="default" r:id="rId57"/>
          <w:pgSz w:w="16840" w:h="11910" w:orient="landscape"/>
          <w:pgMar w:footer="0" w:header="0" w:top="760" w:bottom="280" w:left="720" w:right="700"/>
        </w:sectPr>
      </w:pPr>
    </w:p>
    <w:p>
      <w:pPr>
        <w:pStyle w:val="Heading1"/>
        <w:spacing w:before="36"/>
        <w:ind w:left="181"/>
      </w:pPr>
      <w:r>
        <w:rPr/>
        <w:t>表 14 审批</w:t>
      </w:r>
      <w:r>
        <w:rPr>
          <w:w w:val="50"/>
        </w:rPr>
        <w:t> </w:t>
      </w:r>
    </w:p>
    <w:p>
      <w:pPr>
        <w:pStyle w:val="BodyText"/>
        <w:spacing w:before="4"/>
        <w:rPr>
          <w:sz w:val="11"/>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07"/>
        <w:gridCol w:w="1894"/>
        <w:gridCol w:w="825"/>
        <w:gridCol w:w="299"/>
        <w:gridCol w:w="419"/>
        <w:gridCol w:w="424"/>
      </w:tblGrid>
      <w:tr>
        <w:trPr>
          <w:trHeight w:val="7010" w:hRule="atLeast"/>
        </w:trPr>
        <w:tc>
          <w:tcPr>
            <w:tcW w:w="5207" w:type="dxa"/>
            <w:tcBorders>
              <w:right w:val="nil"/>
            </w:tcBorders>
          </w:tcPr>
          <w:p>
            <w:pPr>
              <w:pStyle w:val="TableParagraph"/>
              <w:spacing w:before="147"/>
              <w:ind w:left="544"/>
              <w:jc w:val="left"/>
              <w:rPr>
                <w:sz w:val="28"/>
              </w:rPr>
            </w:pPr>
            <w:r>
              <w:rPr>
                <w:sz w:val="28"/>
              </w:rPr>
              <w:t>下一级生态环境部门预审意见：</w:t>
            </w:r>
          </w:p>
        </w:tc>
        <w:tc>
          <w:tcPr>
            <w:tcW w:w="1894" w:type="dxa"/>
            <w:tcBorders>
              <w:left w:val="nil"/>
              <w:right w:val="nil"/>
            </w:tcBorders>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spacing w:before="219"/>
              <w:ind w:left="1105"/>
              <w:jc w:val="left"/>
              <w:rPr>
                <w:sz w:val="24"/>
              </w:rPr>
            </w:pPr>
            <w:r>
              <w:rPr>
                <w:sz w:val="24"/>
              </w:rPr>
              <w:t>经办人</w:t>
            </w:r>
          </w:p>
        </w:tc>
        <w:tc>
          <w:tcPr>
            <w:tcW w:w="825" w:type="dxa"/>
            <w:tcBorders>
              <w:left w:val="nil"/>
              <w:right w:val="nil"/>
            </w:tcBorders>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35"/>
              </w:rPr>
            </w:pPr>
          </w:p>
          <w:p>
            <w:pPr>
              <w:pStyle w:val="TableParagraph"/>
              <w:spacing w:before="1"/>
              <w:ind w:left="79"/>
              <w:jc w:val="left"/>
              <w:rPr>
                <w:sz w:val="24"/>
              </w:rPr>
            </w:pPr>
            <w:r>
              <w:rPr>
                <w:sz w:val="24"/>
              </w:rPr>
              <w:t>公章</w:t>
            </w:r>
          </w:p>
          <w:p>
            <w:pPr>
              <w:pStyle w:val="TableParagraph"/>
              <w:spacing w:before="179"/>
              <w:ind w:left="531"/>
              <w:jc w:val="left"/>
              <w:rPr>
                <w:sz w:val="24"/>
              </w:rPr>
            </w:pPr>
            <w:r>
              <w:rPr>
                <w:sz w:val="24"/>
              </w:rPr>
              <w:t>年</w:t>
            </w:r>
          </w:p>
        </w:tc>
        <w:tc>
          <w:tcPr>
            <w:tcW w:w="299" w:type="dxa"/>
            <w:tcBorders>
              <w:left w:val="nil"/>
              <w:right w:val="nil"/>
            </w:tcBorders>
          </w:tcPr>
          <w:p>
            <w:pPr>
              <w:pStyle w:val="TableParagraph"/>
              <w:jc w:val="left"/>
              <w:rPr>
                <w:rFonts w:ascii="Times New Roman"/>
                <w:sz w:val="24"/>
              </w:rPr>
            </w:pPr>
          </w:p>
        </w:tc>
        <w:tc>
          <w:tcPr>
            <w:tcW w:w="419" w:type="dxa"/>
            <w:tcBorders>
              <w:left w:val="nil"/>
              <w:right w:val="nil"/>
            </w:tcBorders>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spacing w:before="219"/>
              <w:ind w:left="7"/>
              <w:jc w:val="left"/>
              <w:rPr>
                <w:sz w:val="24"/>
              </w:rPr>
            </w:pPr>
            <w:r>
              <w:rPr>
                <w:sz w:val="24"/>
              </w:rPr>
              <w:t>月</w:t>
            </w:r>
          </w:p>
        </w:tc>
        <w:tc>
          <w:tcPr>
            <w:tcW w:w="424" w:type="dxa"/>
            <w:tcBorders>
              <w:left w:val="nil"/>
            </w:tcBorders>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spacing w:before="219"/>
              <w:ind w:left="188" w:right="-15"/>
              <w:jc w:val="left"/>
              <w:rPr>
                <w:sz w:val="24"/>
              </w:rPr>
            </w:pPr>
            <w:r>
              <w:rPr>
                <w:sz w:val="24"/>
              </w:rPr>
              <w:t>日</w:t>
            </w:r>
          </w:p>
        </w:tc>
      </w:tr>
      <w:tr>
        <w:trPr>
          <w:trHeight w:val="6520" w:hRule="atLeast"/>
        </w:trPr>
        <w:tc>
          <w:tcPr>
            <w:tcW w:w="5207" w:type="dxa"/>
            <w:tcBorders>
              <w:right w:val="nil"/>
            </w:tcBorders>
          </w:tcPr>
          <w:p>
            <w:pPr>
              <w:pStyle w:val="TableParagraph"/>
              <w:spacing w:before="147"/>
              <w:ind w:left="544"/>
              <w:jc w:val="left"/>
              <w:rPr>
                <w:sz w:val="28"/>
              </w:rPr>
            </w:pPr>
            <w:r>
              <w:rPr>
                <w:sz w:val="28"/>
              </w:rPr>
              <w:t>审批意见</w:t>
            </w:r>
          </w:p>
        </w:tc>
        <w:tc>
          <w:tcPr>
            <w:tcW w:w="1894" w:type="dxa"/>
            <w:tcBorders>
              <w:left w:val="nil"/>
              <w:right w:val="nil"/>
            </w:tcBorders>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spacing w:before="4"/>
              <w:jc w:val="left"/>
              <w:rPr>
                <w:sz w:val="32"/>
              </w:rPr>
            </w:pPr>
          </w:p>
          <w:p>
            <w:pPr>
              <w:pStyle w:val="TableParagraph"/>
              <w:ind w:left="744"/>
              <w:jc w:val="left"/>
              <w:rPr>
                <w:sz w:val="24"/>
              </w:rPr>
            </w:pPr>
            <w:r>
              <w:rPr>
                <w:sz w:val="24"/>
              </w:rPr>
              <w:t>经办人</w:t>
            </w:r>
          </w:p>
        </w:tc>
        <w:tc>
          <w:tcPr>
            <w:tcW w:w="825" w:type="dxa"/>
            <w:tcBorders>
              <w:left w:val="nil"/>
              <w:right w:val="nil"/>
            </w:tcBorders>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spacing w:before="1"/>
              <w:jc w:val="left"/>
              <w:rPr>
                <w:sz w:val="22"/>
              </w:rPr>
            </w:pPr>
          </w:p>
          <w:p>
            <w:pPr>
              <w:pStyle w:val="TableParagraph"/>
              <w:spacing w:line="381" w:lineRule="auto" w:before="1"/>
              <w:ind w:left="171" w:right="83" w:firstLine="88"/>
              <w:jc w:val="left"/>
              <w:rPr>
                <w:sz w:val="24"/>
              </w:rPr>
            </w:pPr>
            <w:r>
              <w:rPr>
                <w:sz w:val="24"/>
              </w:rPr>
              <w:t>公章年</w:t>
            </w:r>
          </w:p>
        </w:tc>
        <w:tc>
          <w:tcPr>
            <w:tcW w:w="299" w:type="dxa"/>
            <w:tcBorders>
              <w:left w:val="nil"/>
              <w:right w:val="nil"/>
            </w:tcBorders>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spacing w:before="4"/>
              <w:jc w:val="left"/>
              <w:rPr>
                <w:sz w:val="32"/>
              </w:rPr>
            </w:pPr>
          </w:p>
          <w:p>
            <w:pPr>
              <w:pStyle w:val="TableParagraph"/>
              <w:ind w:left="66" w:right="-15"/>
              <w:jc w:val="left"/>
              <w:rPr>
                <w:sz w:val="24"/>
              </w:rPr>
            </w:pPr>
            <w:r>
              <w:rPr>
                <w:sz w:val="24"/>
              </w:rPr>
              <w:t>月</w:t>
            </w:r>
          </w:p>
        </w:tc>
        <w:tc>
          <w:tcPr>
            <w:tcW w:w="843" w:type="dxa"/>
            <w:gridSpan w:val="2"/>
            <w:tcBorders>
              <w:left w:val="nil"/>
            </w:tcBorders>
          </w:tcPr>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jc w:val="left"/>
              <w:rPr>
                <w:sz w:val="28"/>
              </w:rPr>
            </w:pPr>
          </w:p>
          <w:p>
            <w:pPr>
              <w:pStyle w:val="TableParagraph"/>
              <w:spacing w:before="4"/>
              <w:jc w:val="left"/>
              <w:rPr>
                <w:sz w:val="32"/>
              </w:rPr>
            </w:pPr>
          </w:p>
          <w:p>
            <w:pPr>
              <w:pStyle w:val="TableParagraph"/>
              <w:ind w:right="-15"/>
              <w:jc w:val="right"/>
              <w:rPr>
                <w:sz w:val="24"/>
              </w:rPr>
            </w:pPr>
            <w:r>
              <w:rPr>
                <w:sz w:val="24"/>
              </w:rPr>
              <w:t>日</w:t>
            </w:r>
          </w:p>
        </w:tc>
      </w:tr>
    </w:tbl>
    <w:p>
      <w:pPr>
        <w:pStyle w:val="BodyText"/>
        <w:spacing w:before="1"/>
        <w:rPr>
          <w:sz w:val="25"/>
        </w:rPr>
      </w:pPr>
    </w:p>
    <w:p>
      <w:pPr>
        <w:spacing w:before="0"/>
        <w:ind w:left="4448" w:right="4432" w:firstLine="0"/>
        <w:jc w:val="center"/>
        <w:rPr>
          <w:rFonts w:ascii="Times New Roman"/>
          <w:sz w:val="18"/>
        </w:rPr>
      </w:pPr>
      <w:r>
        <w:rPr>
          <w:rFonts w:ascii="Times New Roman"/>
          <w:sz w:val="18"/>
        </w:rPr>
        <w:t>- 69 -</w:t>
      </w:r>
    </w:p>
    <w:sectPr>
      <w:footerReference w:type="default" r:id="rId58"/>
      <w:pgSz w:w="11910" w:h="16840"/>
      <w:pgMar w:footer="0" w:header="0" w:top="1340" w:bottom="280" w:left="152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PMingLiU">
    <w:altName w:val="PMingLiU"/>
    <w:charset w:val="0"/>
    <w:family w:val="roman"/>
    <w:pitch w:val="variable"/>
  </w:font>
  <w:font w:name="Microsoft JhengHei">
    <w:altName w:val="Microsoft JhengHei"/>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298.040009pt;margin-top:779.466187pt;width:22pt;height:15.3pt;mso-position-horizontal-relative:page;mso-position-vertical-relative:page;z-index:-212224" type="#_x0000_t202" filled="false" stroked="false">
          <v:textbox inset="0,0,0,0">
            <w:txbxContent>
              <w:p>
                <w:pPr>
                  <w:pStyle w:val="BodyText"/>
                  <w:spacing w:before="10"/>
                  <w:ind w:left="20"/>
                  <w:rPr>
                    <w:rFonts w:ascii="Times New Roman"/>
                  </w:rPr>
                </w:pPr>
                <w:r>
                  <w:rPr>
                    <w:rFonts w:ascii="Times New Roman"/>
                  </w:rPr>
                  <w:t>- </w:t>
                </w:r>
                <w:r>
                  <w:rPr/>
                  <w:fldChar w:fldCharType="begin"/>
                </w:r>
                <w:r>
                  <w:rPr>
                    <w:rFonts w:ascii="Times New Roman"/>
                  </w:rPr>
                  <w:instrText> PAGE </w:instrText>
                </w:r>
                <w:r>
                  <w:rPr/>
                  <w:fldChar w:fldCharType="separate"/>
                </w:r>
                <w:r>
                  <w:rPr/>
                  <w:t>4</w:t>
                </w:r>
                <w:r>
                  <w:rPr/>
                  <w:fldChar w:fldCharType="end"/>
                </w:r>
                <w:r>
                  <w:rPr>
                    <w:rFonts w:ascii="Times New Roman"/>
                  </w:rPr>
                  <w:t>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2.519989pt;margin-top:536.14032pt;width:17.1pt;height:12pt;mso-position-horizontal-relative:page;mso-position-vertical-relative:page;z-index:-212200"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8</w:t>
                </w:r>
                <w:r>
                  <w:rPr/>
                  <w:fldChar w:fldCharType="end"/>
                </w:r>
                <w:r>
                  <w:rPr>
                    <w:rFonts w:ascii="Times New Roman"/>
                    <w:sz w:val="18"/>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23999pt;margin-top:536.14032pt;width:21.6pt;height:12pt;mso-position-horizontal-relative:page;mso-position-vertical-relative:page;z-index:-212176" type="#_x0000_t202" filled="false" stroked="false">
          <v:textbox inset="0,0,0,0">
            <w:txbxContent>
              <w:p>
                <w:pPr>
                  <w:spacing w:before="12"/>
                  <w:ind w:left="20" w:right="0" w:firstLine="0"/>
                  <w:jc w:val="left"/>
                  <w:rPr>
                    <w:rFonts w:ascii="Times New Roman"/>
                    <w:sz w:val="18"/>
                  </w:rPr>
                </w:pPr>
                <w:r>
                  <w:rPr>
                    <w:rFonts w:ascii="Times New Roman"/>
                    <w:sz w:val="18"/>
                  </w:rPr>
                  <w:t>- 10 -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82.859558pt;width:21.6pt;height:12pt;mso-position-horizontal-relative:page;mso-position-vertical-relative:page;z-index:-212152"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12</w:t>
                </w:r>
                <w:r>
                  <w:rPr/>
                  <w:fldChar w:fldCharType="end"/>
                </w:r>
                <w:r>
                  <w:rPr>
                    <w:rFonts w:ascii="Times New Roman"/>
                    <w:sz w:val="18"/>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82.859558pt;width:21.6pt;height:12pt;mso-position-horizontal-relative:page;mso-position-vertical-relative:page;z-index:-212128"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20</w:t>
                </w:r>
                <w:r>
                  <w:rPr/>
                  <w:fldChar w:fldCharType="end"/>
                </w:r>
                <w:r>
                  <w:rPr>
                    <w:rFonts w:ascii="Times New Roman"/>
                    <w:sz w:val="18"/>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8.279999pt;margin-top:782.859558pt;width:21.6pt;height:12pt;mso-position-horizontal-relative:page;mso-position-vertical-relative:page;z-index:-212104"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32</w:t>
                </w:r>
                <w:r>
                  <w:rPr/>
                  <w:fldChar w:fldCharType="end"/>
                </w:r>
                <w:r>
                  <w:rPr>
                    <w:rFonts w:ascii="Times New Roman"/>
                    <w:sz w:val="18"/>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82.859558pt;width:21.6pt;height:12pt;mso-position-horizontal-relative:page;mso-position-vertical-relative:page;z-index:-212080"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40</w:t>
                </w:r>
                <w:r>
                  <w:rPr/>
                  <w:fldChar w:fldCharType="end"/>
                </w:r>
                <w:r>
                  <w:rPr>
                    <w:rFonts w:ascii="Times New Roman"/>
                    <w:sz w:val="18"/>
                  </w:rPr>
                  <w:t>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98.279999pt;margin-top:782.859558pt;width:21.6pt;height:12pt;mso-position-horizontal-relative:page;mso-position-vertical-relative:page;z-index:-212056"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51</w:t>
                </w:r>
                <w:r>
                  <w:rPr/>
                  <w:fldChar w:fldCharType="end"/>
                </w:r>
                <w:r>
                  <w:rPr>
                    <w:rFonts w:ascii="Times New Roman"/>
                    <w:sz w:val="18"/>
                  </w:rPr>
                  <w:t>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279999pt;margin-top:782.859558pt;width:21.6pt;height:12pt;mso-position-horizontal-relative:page;mso-position-vertical-relative:page;z-index:-212032" type="#_x0000_t202" filled="false" stroked="false">
          <v:textbox inset="0,0,0,0">
            <w:txbxContent>
              <w:p>
                <w:pPr>
                  <w:spacing w:before="12"/>
                  <w:ind w:left="20" w:right="0" w:firstLine="0"/>
                  <w:jc w:val="left"/>
                  <w:rPr>
                    <w:rFonts w:ascii="Times New Roman"/>
                    <w:sz w:val="18"/>
                  </w:rPr>
                </w:pPr>
                <w:r>
                  <w:rPr>
                    <w:rFonts w:ascii="Times New Roman"/>
                    <w:sz w:val="18"/>
                  </w:rPr>
                  <w:t>- </w:t>
                </w:r>
                <w:r>
                  <w:rPr/>
                  <w:fldChar w:fldCharType="begin"/>
                </w:r>
                <w:r>
                  <w:rPr>
                    <w:rFonts w:ascii="Times New Roman"/>
                    <w:sz w:val="18"/>
                  </w:rPr>
                  <w:instrText> PAGE </w:instrText>
                </w:r>
                <w:r>
                  <w:rPr/>
                  <w:fldChar w:fldCharType="separate"/>
                </w:r>
                <w:r>
                  <w:rPr/>
                  <w:t>60</w:t>
                </w:r>
                <w:r>
                  <w:rPr/>
                  <w:fldChar w:fldCharType="end"/>
                </w:r>
                <w:r>
                  <w:rPr>
                    <w:rFonts w:ascii="Times New Roman"/>
                    <w:sz w:val="18"/>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272" w:hanging="601"/>
        <w:jc w:val="left"/>
      </w:pPr>
      <w:rPr>
        <w:rFonts w:hint="default" w:ascii="宋体" w:hAnsi="宋体" w:eastAsia="宋体" w:cs="宋体"/>
        <w:spacing w:val="-36"/>
        <w:w w:val="100"/>
        <w:sz w:val="22"/>
        <w:szCs w:val="22"/>
        <w:lang w:val="zh-CN" w:eastAsia="zh-CN" w:bidi="zh-CN"/>
      </w:rPr>
    </w:lvl>
    <w:lvl w:ilvl="1">
      <w:start w:val="0"/>
      <w:numFmt w:val="bullet"/>
      <w:lvlText w:val="•"/>
      <w:lvlJc w:val="left"/>
      <w:pPr>
        <w:ind w:left="1192" w:hanging="601"/>
      </w:pPr>
      <w:rPr>
        <w:rFonts w:hint="default"/>
        <w:lang w:val="zh-CN" w:eastAsia="zh-CN" w:bidi="zh-CN"/>
      </w:rPr>
    </w:lvl>
    <w:lvl w:ilvl="2">
      <w:start w:val="0"/>
      <w:numFmt w:val="bullet"/>
      <w:lvlText w:val="•"/>
      <w:lvlJc w:val="left"/>
      <w:pPr>
        <w:ind w:left="2105" w:hanging="601"/>
      </w:pPr>
      <w:rPr>
        <w:rFonts w:hint="default"/>
        <w:lang w:val="zh-CN" w:eastAsia="zh-CN" w:bidi="zh-CN"/>
      </w:rPr>
    </w:lvl>
    <w:lvl w:ilvl="3">
      <w:start w:val="0"/>
      <w:numFmt w:val="bullet"/>
      <w:lvlText w:val="•"/>
      <w:lvlJc w:val="left"/>
      <w:pPr>
        <w:ind w:left="3017" w:hanging="601"/>
      </w:pPr>
      <w:rPr>
        <w:rFonts w:hint="default"/>
        <w:lang w:val="zh-CN" w:eastAsia="zh-CN" w:bidi="zh-CN"/>
      </w:rPr>
    </w:lvl>
    <w:lvl w:ilvl="4">
      <w:start w:val="0"/>
      <w:numFmt w:val="bullet"/>
      <w:lvlText w:val="•"/>
      <w:lvlJc w:val="left"/>
      <w:pPr>
        <w:ind w:left="3930" w:hanging="601"/>
      </w:pPr>
      <w:rPr>
        <w:rFonts w:hint="default"/>
        <w:lang w:val="zh-CN" w:eastAsia="zh-CN" w:bidi="zh-CN"/>
      </w:rPr>
    </w:lvl>
    <w:lvl w:ilvl="5">
      <w:start w:val="0"/>
      <w:numFmt w:val="bullet"/>
      <w:lvlText w:val="•"/>
      <w:lvlJc w:val="left"/>
      <w:pPr>
        <w:ind w:left="4843" w:hanging="601"/>
      </w:pPr>
      <w:rPr>
        <w:rFonts w:hint="default"/>
        <w:lang w:val="zh-CN" w:eastAsia="zh-CN" w:bidi="zh-CN"/>
      </w:rPr>
    </w:lvl>
    <w:lvl w:ilvl="6">
      <w:start w:val="0"/>
      <w:numFmt w:val="bullet"/>
      <w:lvlText w:val="•"/>
      <w:lvlJc w:val="left"/>
      <w:pPr>
        <w:ind w:left="5755" w:hanging="601"/>
      </w:pPr>
      <w:rPr>
        <w:rFonts w:hint="default"/>
        <w:lang w:val="zh-CN" w:eastAsia="zh-CN" w:bidi="zh-CN"/>
      </w:rPr>
    </w:lvl>
    <w:lvl w:ilvl="7">
      <w:start w:val="0"/>
      <w:numFmt w:val="bullet"/>
      <w:lvlText w:val="•"/>
      <w:lvlJc w:val="left"/>
      <w:pPr>
        <w:ind w:left="6668" w:hanging="601"/>
      </w:pPr>
      <w:rPr>
        <w:rFonts w:hint="default"/>
        <w:lang w:val="zh-CN" w:eastAsia="zh-CN" w:bidi="zh-CN"/>
      </w:rPr>
    </w:lvl>
    <w:lvl w:ilvl="8">
      <w:start w:val="0"/>
      <w:numFmt w:val="bullet"/>
      <w:lvlText w:val="•"/>
      <w:lvlJc w:val="left"/>
      <w:pPr>
        <w:ind w:left="7581" w:hanging="601"/>
      </w:pPr>
      <w:rPr>
        <w:rFonts w:hint="default"/>
        <w:lang w:val="zh-CN" w:eastAsia="zh-CN" w:bidi="zh-CN"/>
      </w:rPr>
    </w:lvl>
  </w:abstractNum>
  <w:abstractNum w:abstractNumId="33">
    <w:multiLevelType w:val="hybridMultilevel"/>
    <w:lvl w:ilvl="0">
      <w:start w:val="1"/>
      <w:numFmt w:val="decimal"/>
      <w:lvlText w:val="（%1）"/>
      <w:lvlJc w:val="left"/>
      <w:pPr>
        <w:ind w:left="272" w:hanging="594"/>
        <w:jc w:val="left"/>
      </w:pPr>
      <w:rPr>
        <w:rFonts w:hint="default" w:ascii="宋体" w:hAnsi="宋体" w:eastAsia="宋体" w:cs="宋体"/>
        <w:spacing w:val="-5"/>
        <w:w w:val="100"/>
        <w:sz w:val="22"/>
        <w:szCs w:val="22"/>
        <w:lang w:val="zh-CN" w:eastAsia="zh-CN" w:bidi="zh-CN"/>
      </w:rPr>
    </w:lvl>
    <w:lvl w:ilvl="1">
      <w:start w:val="0"/>
      <w:numFmt w:val="bullet"/>
      <w:lvlText w:val="•"/>
      <w:lvlJc w:val="left"/>
      <w:pPr>
        <w:ind w:left="1192" w:hanging="594"/>
      </w:pPr>
      <w:rPr>
        <w:rFonts w:hint="default"/>
        <w:lang w:val="zh-CN" w:eastAsia="zh-CN" w:bidi="zh-CN"/>
      </w:rPr>
    </w:lvl>
    <w:lvl w:ilvl="2">
      <w:start w:val="0"/>
      <w:numFmt w:val="bullet"/>
      <w:lvlText w:val="•"/>
      <w:lvlJc w:val="left"/>
      <w:pPr>
        <w:ind w:left="2105" w:hanging="594"/>
      </w:pPr>
      <w:rPr>
        <w:rFonts w:hint="default"/>
        <w:lang w:val="zh-CN" w:eastAsia="zh-CN" w:bidi="zh-CN"/>
      </w:rPr>
    </w:lvl>
    <w:lvl w:ilvl="3">
      <w:start w:val="0"/>
      <w:numFmt w:val="bullet"/>
      <w:lvlText w:val="•"/>
      <w:lvlJc w:val="left"/>
      <w:pPr>
        <w:ind w:left="3017" w:hanging="594"/>
      </w:pPr>
      <w:rPr>
        <w:rFonts w:hint="default"/>
        <w:lang w:val="zh-CN" w:eastAsia="zh-CN" w:bidi="zh-CN"/>
      </w:rPr>
    </w:lvl>
    <w:lvl w:ilvl="4">
      <w:start w:val="0"/>
      <w:numFmt w:val="bullet"/>
      <w:lvlText w:val="•"/>
      <w:lvlJc w:val="left"/>
      <w:pPr>
        <w:ind w:left="3930" w:hanging="594"/>
      </w:pPr>
      <w:rPr>
        <w:rFonts w:hint="default"/>
        <w:lang w:val="zh-CN" w:eastAsia="zh-CN" w:bidi="zh-CN"/>
      </w:rPr>
    </w:lvl>
    <w:lvl w:ilvl="5">
      <w:start w:val="0"/>
      <w:numFmt w:val="bullet"/>
      <w:lvlText w:val="•"/>
      <w:lvlJc w:val="left"/>
      <w:pPr>
        <w:ind w:left="4843" w:hanging="594"/>
      </w:pPr>
      <w:rPr>
        <w:rFonts w:hint="default"/>
        <w:lang w:val="zh-CN" w:eastAsia="zh-CN" w:bidi="zh-CN"/>
      </w:rPr>
    </w:lvl>
    <w:lvl w:ilvl="6">
      <w:start w:val="0"/>
      <w:numFmt w:val="bullet"/>
      <w:lvlText w:val="•"/>
      <w:lvlJc w:val="left"/>
      <w:pPr>
        <w:ind w:left="5755" w:hanging="594"/>
      </w:pPr>
      <w:rPr>
        <w:rFonts w:hint="default"/>
        <w:lang w:val="zh-CN" w:eastAsia="zh-CN" w:bidi="zh-CN"/>
      </w:rPr>
    </w:lvl>
    <w:lvl w:ilvl="7">
      <w:start w:val="0"/>
      <w:numFmt w:val="bullet"/>
      <w:lvlText w:val="•"/>
      <w:lvlJc w:val="left"/>
      <w:pPr>
        <w:ind w:left="6668" w:hanging="594"/>
      </w:pPr>
      <w:rPr>
        <w:rFonts w:hint="default"/>
        <w:lang w:val="zh-CN" w:eastAsia="zh-CN" w:bidi="zh-CN"/>
      </w:rPr>
    </w:lvl>
    <w:lvl w:ilvl="8">
      <w:start w:val="0"/>
      <w:numFmt w:val="bullet"/>
      <w:lvlText w:val="•"/>
      <w:lvlJc w:val="left"/>
      <w:pPr>
        <w:ind w:left="7581" w:hanging="594"/>
      </w:pPr>
      <w:rPr>
        <w:rFonts w:hint="default"/>
        <w:lang w:val="zh-CN" w:eastAsia="zh-CN" w:bidi="zh-CN"/>
      </w:rPr>
    </w:lvl>
  </w:abstractNum>
  <w:abstractNum w:abstractNumId="32">
    <w:multiLevelType w:val="hybridMultilevel"/>
    <w:lvl w:ilvl="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64" w:hanging="601"/>
      </w:pPr>
      <w:rPr>
        <w:rFonts w:hint="default"/>
        <w:lang w:val="zh-CN" w:eastAsia="zh-CN" w:bidi="zh-CN"/>
      </w:rPr>
    </w:lvl>
    <w:lvl w:ilvl="2">
      <w:start w:val="0"/>
      <w:numFmt w:val="bullet"/>
      <w:lvlText w:val="•"/>
      <w:lvlJc w:val="left"/>
      <w:pPr>
        <w:ind w:left="2969" w:hanging="601"/>
      </w:pPr>
      <w:rPr>
        <w:rFonts w:hint="default"/>
        <w:lang w:val="zh-CN" w:eastAsia="zh-CN" w:bidi="zh-CN"/>
      </w:rPr>
    </w:lvl>
    <w:lvl w:ilvl="3">
      <w:start w:val="0"/>
      <w:numFmt w:val="bullet"/>
      <w:lvlText w:val="•"/>
      <w:lvlJc w:val="left"/>
      <w:pPr>
        <w:ind w:left="3773" w:hanging="601"/>
      </w:pPr>
      <w:rPr>
        <w:rFonts w:hint="default"/>
        <w:lang w:val="zh-CN" w:eastAsia="zh-CN" w:bidi="zh-CN"/>
      </w:rPr>
    </w:lvl>
    <w:lvl w:ilvl="4">
      <w:start w:val="0"/>
      <w:numFmt w:val="bullet"/>
      <w:lvlText w:val="•"/>
      <w:lvlJc w:val="left"/>
      <w:pPr>
        <w:ind w:left="4578" w:hanging="601"/>
      </w:pPr>
      <w:rPr>
        <w:rFonts w:hint="default"/>
        <w:lang w:val="zh-CN" w:eastAsia="zh-CN" w:bidi="zh-CN"/>
      </w:rPr>
    </w:lvl>
    <w:lvl w:ilvl="5">
      <w:start w:val="0"/>
      <w:numFmt w:val="bullet"/>
      <w:lvlText w:val="•"/>
      <w:lvlJc w:val="left"/>
      <w:pPr>
        <w:ind w:left="5383" w:hanging="601"/>
      </w:pPr>
      <w:rPr>
        <w:rFonts w:hint="default"/>
        <w:lang w:val="zh-CN" w:eastAsia="zh-CN" w:bidi="zh-CN"/>
      </w:rPr>
    </w:lvl>
    <w:lvl w:ilvl="6">
      <w:start w:val="0"/>
      <w:numFmt w:val="bullet"/>
      <w:lvlText w:val="•"/>
      <w:lvlJc w:val="left"/>
      <w:pPr>
        <w:ind w:left="6187" w:hanging="601"/>
      </w:pPr>
      <w:rPr>
        <w:rFonts w:hint="default"/>
        <w:lang w:val="zh-CN" w:eastAsia="zh-CN" w:bidi="zh-CN"/>
      </w:rPr>
    </w:lvl>
    <w:lvl w:ilvl="7">
      <w:start w:val="0"/>
      <w:numFmt w:val="bullet"/>
      <w:lvlText w:val="•"/>
      <w:lvlJc w:val="left"/>
      <w:pPr>
        <w:ind w:left="6992" w:hanging="601"/>
      </w:pPr>
      <w:rPr>
        <w:rFonts w:hint="default"/>
        <w:lang w:val="zh-CN" w:eastAsia="zh-CN" w:bidi="zh-CN"/>
      </w:rPr>
    </w:lvl>
    <w:lvl w:ilvl="8">
      <w:start w:val="0"/>
      <w:numFmt w:val="bullet"/>
      <w:lvlText w:val="•"/>
      <w:lvlJc w:val="left"/>
      <w:pPr>
        <w:ind w:left="7797" w:hanging="601"/>
      </w:pPr>
      <w:rPr>
        <w:rFonts w:hint="default"/>
        <w:lang w:val="zh-CN" w:eastAsia="zh-CN" w:bidi="zh-CN"/>
      </w:rPr>
    </w:lvl>
  </w:abstractNum>
  <w:abstractNum w:abstractNumId="31">
    <w:multiLevelType w:val="hybridMultilevel"/>
    <w:lvl w:ilvl="0">
      <w:start w:val="1"/>
      <w:numFmt w:val="decimal"/>
      <w:lvlText w:val="（%1）"/>
      <w:lvlJc w:val="left"/>
      <w:pPr>
        <w:ind w:left="1353" w:hanging="601"/>
        <w:jc w:val="left"/>
      </w:pPr>
      <w:rPr>
        <w:rFonts w:hint="default" w:ascii="宋体" w:hAnsi="宋体" w:eastAsia="宋体" w:cs="宋体"/>
        <w:spacing w:val="-72"/>
        <w:w w:val="100"/>
        <w:sz w:val="22"/>
        <w:szCs w:val="22"/>
        <w:lang w:val="zh-CN" w:eastAsia="zh-CN" w:bidi="zh-CN"/>
      </w:rPr>
    </w:lvl>
    <w:lvl w:ilvl="1">
      <w:start w:val="0"/>
      <w:numFmt w:val="bullet"/>
      <w:lvlText w:val="•"/>
      <w:lvlJc w:val="left"/>
      <w:pPr>
        <w:ind w:left="2164" w:hanging="601"/>
      </w:pPr>
      <w:rPr>
        <w:rFonts w:hint="default"/>
        <w:lang w:val="zh-CN" w:eastAsia="zh-CN" w:bidi="zh-CN"/>
      </w:rPr>
    </w:lvl>
    <w:lvl w:ilvl="2">
      <w:start w:val="0"/>
      <w:numFmt w:val="bullet"/>
      <w:lvlText w:val="•"/>
      <w:lvlJc w:val="left"/>
      <w:pPr>
        <w:ind w:left="2969" w:hanging="601"/>
      </w:pPr>
      <w:rPr>
        <w:rFonts w:hint="default"/>
        <w:lang w:val="zh-CN" w:eastAsia="zh-CN" w:bidi="zh-CN"/>
      </w:rPr>
    </w:lvl>
    <w:lvl w:ilvl="3">
      <w:start w:val="0"/>
      <w:numFmt w:val="bullet"/>
      <w:lvlText w:val="•"/>
      <w:lvlJc w:val="left"/>
      <w:pPr>
        <w:ind w:left="3773" w:hanging="601"/>
      </w:pPr>
      <w:rPr>
        <w:rFonts w:hint="default"/>
        <w:lang w:val="zh-CN" w:eastAsia="zh-CN" w:bidi="zh-CN"/>
      </w:rPr>
    </w:lvl>
    <w:lvl w:ilvl="4">
      <w:start w:val="0"/>
      <w:numFmt w:val="bullet"/>
      <w:lvlText w:val="•"/>
      <w:lvlJc w:val="left"/>
      <w:pPr>
        <w:ind w:left="4578" w:hanging="601"/>
      </w:pPr>
      <w:rPr>
        <w:rFonts w:hint="default"/>
        <w:lang w:val="zh-CN" w:eastAsia="zh-CN" w:bidi="zh-CN"/>
      </w:rPr>
    </w:lvl>
    <w:lvl w:ilvl="5">
      <w:start w:val="0"/>
      <w:numFmt w:val="bullet"/>
      <w:lvlText w:val="•"/>
      <w:lvlJc w:val="left"/>
      <w:pPr>
        <w:ind w:left="5383" w:hanging="601"/>
      </w:pPr>
      <w:rPr>
        <w:rFonts w:hint="default"/>
        <w:lang w:val="zh-CN" w:eastAsia="zh-CN" w:bidi="zh-CN"/>
      </w:rPr>
    </w:lvl>
    <w:lvl w:ilvl="6">
      <w:start w:val="0"/>
      <w:numFmt w:val="bullet"/>
      <w:lvlText w:val="•"/>
      <w:lvlJc w:val="left"/>
      <w:pPr>
        <w:ind w:left="6187" w:hanging="601"/>
      </w:pPr>
      <w:rPr>
        <w:rFonts w:hint="default"/>
        <w:lang w:val="zh-CN" w:eastAsia="zh-CN" w:bidi="zh-CN"/>
      </w:rPr>
    </w:lvl>
    <w:lvl w:ilvl="7">
      <w:start w:val="0"/>
      <w:numFmt w:val="bullet"/>
      <w:lvlText w:val="•"/>
      <w:lvlJc w:val="left"/>
      <w:pPr>
        <w:ind w:left="6992" w:hanging="601"/>
      </w:pPr>
      <w:rPr>
        <w:rFonts w:hint="default"/>
        <w:lang w:val="zh-CN" w:eastAsia="zh-CN" w:bidi="zh-CN"/>
      </w:rPr>
    </w:lvl>
    <w:lvl w:ilvl="8">
      <w:start w:val="0"/>
      <w:numFmt w:val="bullet"/>
      <w:lvlText w:val="•"/>
      <w:lvlJc w:val="left"/>
      <w:pPr>
        <w:ind w:left="7797" w:hanging="601"/>
      </w:pPr>
      <w:rPr>
        <w:rFonts w:hint="default"/>
        <w:lang w:val="zh-CN" w:eastAsia="zh-CN" w:bidi="zh-CN"/>
      </w:rPr>
    </w:lvl>
  </w:abstractNum>
  <w:abstractNum w:abstractNumId="29">
    <w:multiLevelType w:val="hybridMultilevel"/>
    <w:lvl w:ilvl="0">
      <w:start w:val="1"/>
      <w:numFmt w:val="decimal"/>
      <w:lvlText w:val="（%1）"/>
      <w:lvlJc w:val="left"/>
      <w:pPr>
        <w:ind w:left="272" w:hanging="529"/>
        <w:jc w:val="left"/>
      </w:pPr>
      <w:rPr>
        <w:rFonts w:hint="default"/>
        <w:spacing w:val="-3"/>
        <w:w w:val="100"/>
        <w:lang w:val="zh-CN" w:eastAsia="zh-CN" w:bidi="zh-CN"/>
      </w:rPr>
    </w:lvl>
    <w:lvl w:ilvl="1">
      <w:start w:val="0"/>
      <w:numFmt w:val="bullet"/>
      <w:lvlText w:val="•"/>
      <w:lvlJc w:val="left"/>
      <w:pPr>
        <w:ind w:left="1192" w:hanging="529"/>
      </w:pPr>
      <w:rPr>
        <w:rFonts w:hint="default"/>
        <w:lang w:val="zh-CN" w:eastAsia="zh-CN" w:bidi="zh-CN"/>
      </w:rPr>
    </w:lvl>
    <w:lvl w:ilvl="2">
      <w:start w:val="0"/>
      <w:numFmt w:val="bullet"/>
      <w:lvlText w:val="•"/>
      <w:lvlJc w:val="left"/>
      <w:pPr>
        <w:ind w:left="2105" w:hanging="529"/>
      </w:pPr>
      <w:rPr>
        <w:rFonts w:hint="default"/>
        <w:lang w:val="zh-CN" w:eastAsia="zh-CN" w:bidi="zh-CN"/>
      </w:rPr>
    </w:lvl>
    <w:lvl w:ilvl="3">
      <w:start w:val="0"/>
      <w:numFmt w:val="bullet"/>
      <w:lvlText w:val="•"/>
      <w:lvlJc w:val="left"/>
      <w:pPr>
        <w:ind w:left="3017" w:hanging="529"/>
      </w:pPr>
      <w:rPr>
        <w:rFonts w:hint="default"/>
        <w:lang w:val="zh-CN" w:eastAsia="zh-CN" w:bidi="zh-CN"/>
      </w:rPr>
    </w:lvl>
    <w:lvl w:ilvl="4">
      <w:start w:val="0"/>
      <w:numFmt w:val="bullet"/>
      <w:lvlText w:val="•"/>
      <w:lvlJc w:val="left"/>
      <w:pPr>
        <w:ind w:left="3930" w:hanging="529"/>
      </w:pPr>
      <w:rPr>
        <w:rFonts w:hint="default"/>
        <w:lang w:val="zh-CN" w:eastAsia="zh-CN" w:bidi="zh-CN"/>
      </w:rPr>
    </w:lvl>
    <w:lvl w:ilvl="5">
      <w:start w:val="0"/>
      <w:numFmt w:val="bullet"/>
      <w:lvlText w:val="•"/>
      <w:lvlJc w:val="left"/>
      <w:pPr>
        <w:ind w:left="4843" w:hanging="529"/>
      </w:pPr>
      <w:rPr>
        <w:rFonts w:hint="default"/>
        <w:lang w:val="zh-CN" w:eastAsia="zh-CN" w:bidi="zh-CN"/>
      </w:rPr>
    </w:lvl>
    <w:lvl w:ilvl="6">
      <w:start w:val="0"/>
      <w:numFmt w:val="bullet"/>
      <w:lvlText w:val="•"/>
      <w:lvlJc w:val="left"/>
      <w:pPr>
        <w:ind w:left="5755" w:hanging="529"/>
      </w:pPr>
      <w:rPr>
        <w:rFonts w:hint="default"/>
        <w:lang w:val="zh-CN" w:eastAsia="zh-CN" w:bidi="zh-CN"/>
      </w:rPr>
    </w:lvl>
    <w:lvl w:ilvl="7">
      <w:start w:val="0"/>
      <w:numFmt w:val="bullet"/>
      <w:lvlText w:val="•"/>
      <w:lvlJc w:val="left"/>
      <w:pPr>
        <w:ind w:left="6668" w:hanging="529"/>
      </w:pPr>
      <w:rPr>
        <w:rFonts w:hint="default"/>
        <w:lang w:val="zh-CN" w:eastAsia="zh-CN" w:bidi="zh-CN"/>
      </w:rPr>
    </w:lvl>
    <w:lvl w:ilvl="8">
      <w:start w:val="0"/>
      <w:numFmt w:val="bullet"/>
      <w:lvlText w:val="•"/>
      <w:lvlJc w:val="left"/>
      <w:pPr>
        <w:ind w:left="7581" w:hanging="529"/>
      </w:pPr>
      <w:rPr>
        <w:rFonts w:hint="default"/>
        <w:lang w:val="zh-CN" w:eastAsia="zh-CN" w:bidi="zh-CN"/>
      </w:rPr>
    </w:lvl>
  </w:abstractNum>
  <w:abstractNum w:abstractNumId="28">
    <w:multiLevelType w:val="hybridMultilevel"/>
    <w:lvl w:ilvl="0">
      <w:start w:val="4"/>
      <w:numFmt w:val="decimal"/>
      <w:lvlText w:val="（%1）"/>
      <w:lvlJc w:val="left"/>
      <w:pPr>
        <w:ind w:left="107" w:hanging="601"/>
        <w:jc w:val="left"/>
      </w:pPr>
      <w:rPr>
        <w:rFonts w:hint="default" w:ascii="宋体" w:hAnsi="宋体" w:eastAsia="宋体" w:cs="宋体"/>
        <w:spacing w:val="-36"/>
        <w:w w:val="100"/>
        <w:sz w:val="22"/>
        <w:szCs w:val="22"/>
        <w:lang w:val="zh-CN" w:eastAsia="zh-CN" w:bidi="zh-CN"/>
      </w:rPr>
    </w:lvl>
    <w:lvl w:ilvl="1">
      <w:start w:val="0"/>
      <w:numFmt w:val="bullet"/>
      <w:lvlText w:val="•"/>
      <w:lvlJc w:val="left"/>
      <w:pPr>
        <w:ind w:left="996" w:hanging="601"/>
      </w:pPr>
      <w:rPr>
        <w:rFonts w:hint="default"/>
        <w:lang w:val="zh-CN" w:eastAsia="zh-CN" w:bidi="zh-CN"/>
      </w:rPr>
    </w:lvl>
    <w:lvl w:ilvl="2">
      <w:start w:val="0"/>
      <w:numFmt w:val="bullet"/>
      <w:lvlText w:val="•"/>
      <w:lvlJc w:val="left"/>
      <w:pPr>
        <w:ind w:left="1892" w:hanging="601"/>
      </w:pPr>
      <w:rPr>
        <w:rFonts w:hint="default"/>
        <w:lang w:val="zh-CN" w:eastAsia="zh-CN" w:bidi="zh-CN"/>
      </w:rPr>
    </w:lvl>
    <w:lvl w:ilvl="3">
      <w:start w:val="0"/>
      <w:numFmt w:val="bullet"/>
      <w:lvlText w:val="•"/>
      <w:lvlJc w:val="left"/>
      <w:pPr>
        <w:ind w:left="2788" w:hanging="601"/>
      </w:pPr>
      <w:rPr>
        <w:rFonts w:hint="default"/>
        <w:lang w:val="zh-CN" w:eastAsia="zh-CN" w:bidi="zh-CN"/>
      </w:rPr>
    </w:lvl>
    <w:lvl w:ilvl="4">
      <w:start w:val="0"/>
      <w:numFmt w:val="bullet"/>
      <w:lvlText w:val="•"/>
      <w:lvlJc w:val="left"/>
      <w:pPr>
        <w:ind w:left="3685" w:hanging="601"/>
      </w:pPr>
      <w:rPr>
        <w:rFonts w:hint="default"/>
        <w:lang w:val="zh-CN" w:eastAsia="zh-CN" w:bidi="zh-CN"/>
      </w:rPr>
    </w:lvl>
    <w:lvl w:ilvl="5">
      <w:start w:val="0"/>
      <w:numFmt w:val="bullet"/>
      <w:lvlText w:val="•"/>
      <w:lvlJc w:val="left"/>
      <w:pPr>
        <w:ind w:left="4581" w:hanging="601"/>
      </w:pPr>
      <w:rPr>
        <w:rFonts w:hint="default"/>
        <w:lang w:val="zh-CN" w:eastAsia="zh-CN" w:bidi="zh-CN"/>
      </w:rPr>
    </w:lvl>
    <w:lvl w:ilvl="6">
      <w:start w:val="0"/>
      <w:numFmt w:val="bullet"/>
      <w:lvlText w:val="•"/>
      <w:lvlJc w:val="left"/>
      <w:pPr>
        <w:ind w:left="5477" w:hanging="601"/>
      </w:pPr>
      <w:rPr>
        <w:rFonts w:hint="default"/>
        <w:lang w:val="zh-CN" w:eastAsia="zh-CN" w:bidi="zh-CN"/>
      </w:rPr>
    </w:lvl>
    <w:lvl w:ilvl="7">
      <w:start w:val="0"/>
      <w:numFmt w:val="bullet"/>
      <w:lvlText w:val="•"/>
      <w:lvlJc w:val="left"/>
      <w:pPr>
        <w:ind w:left="6374" w:hanging="601"/>
      </w:pPr>
      <w:rPr>
        <w:rFonts w:hint="default"/>
        <w:lang w:val="zh-CN" w:eastAsia="zh-CN" w:bidi="zh-CN"/>
      </w:rPr>
    </w:lvl>
    <w:lvl w:ilvl="8">
      <w:start w:val="0"/>
      <w:numFmt w:val="bullet"/>
      <w:lvlText w:val="•"/>
      <w:lvlJc w:val="left"/>
      <w:pPr>
        <w:ind w:left="7270" w:hanging="601"/>
      </w:pPr>
      <w:rPr>
        <w:rFonts w:hint="default"/>
        <w:lang w:val="zh-CN" w:eastAsia="zh-CN" w:bidi="zh-CN"/>
      </w:rPr>
    </w:lvl>
  </w:abstractNum>
  <w:abstractNum w:abstractNumId="27">
    <w:multiLevelType w:val="hybridMultilevel"/>
    <w:lvl w:ilvl="0">
      <w:start w:val="1"/>
      <w:numFmt w:val="decimal"/>
      <w:lvlText w:val="（%1）"/>
      <w:lvlJc w:val="left"/>
      <w:pPr>
        <w:ind w:left="1188" w:hanging="601"/>
        <w:jc w:val="left"/>
      </w:pPr>
      <w:rPr>
        <w:rFonts w:hint="default" w:ascii="宋体" w:hAnsi="宋体" w:eastAsia="宋体" w:cs="宋体"/>
        <w:spacing w:val="-1"/>
        <w:w w:val="99"/>
        <w:sz w:val="22"/>
        <w:szCs w:val="22"/>
        <w:lang w:val="zh-CN" w:eastAsia="zh-CN" w:bidi="zh-CN"/>
      </w:rPr>
    </w:lvl>
    <w:lvl w:ilvl="1">
      <w:start w:val="0"/>
      <w:numFmt w:val="bullet"/>
      <w:lvlText w:val="•"/>
      <w:lvlJc w:val="left"/>
      <w:pPr>
        <w:ind w:left="1968" w:hanging="601"/>
      </w:pPr>
      <w:rPr>
        <w:rFonts w:hint="default"/>
        <w:lang w:val="zh-CN" w:eastAsia="zh-CN" w:bidi="zh-CN"/>
      </w:rPr>
    </w:lvl>
    <w:lvl w:ilvl="2">
      <w:start w:val="0"/>
      <w:numFmt w:val="bullet"/>
      <w:lvlText w:val="•"/>
      <w:lvlJc w:val="left"/>
      <w:pPr>
        <w:ind w:left="2756" w:hanging="601"/>
      </w:pPr>
      <w:rPr>
        <w:rFonts w:hint="default"/>
        <w:lang w:val="zh-CN" w:eastAsia="zh-CN" w:bidi="zh-CN"/>
      </w:rPr>
    </w:lvl>
    <w:lvl w:ilvl="3">
      <w:start w:val="0"/>
      <w:numFmt w:val="bullet"/>
      <w:lvlText w:val="•"/>
      <w:lvlJc w:val="left"/>
      <w:pPr>
        <w:ind w:left="3544" w:hanging="601"/>
      </w:pPr>
      <w:rPr>
        <w:rFonts w:hint="default"/>
        <w:lang w:val="zh-CN" w:eastAsia="zh-CN" w:bidi="zh-CN"/>
      </w:rPr>
    </w:lvl>
    <w:lvl w:ilvl="4">
      <w:start w:val="0"/>
      <w:numFmt w:val="bullet"/>
      <w:lvlText w:val="•"/>
      <w:lvlJc w:val="left"/>
      <w:pPr>
        <w:ind w:left="4333" w:hanging="601"/>
      </w:pPr>
      <w:rPr>
        <w:rFonts w:hint="default"/>
        <w:lang w:val="zh-CN" w:eastAsia="zh-CN" w:bidi="zh-CN"/>
      </w:rPr>
    </w:lvl>
    <w:lvl w:ilvl="5">
      <w:start w:val="0"/>
      <w:numFmt w:val="bullet"/>
      <w:lvlText w:val="•"/>
      <w:lvlJc w:val="left"/>
      <w:pPr>
        <w:ind w:left="5121" w:hanging="601"/>
      </w:pPr>
      <w:rPr>
        <w:rFonts w:hint="default"/>
        <w:lang w:val="zh-CN" w:eastAsia="zh-CN" w:bidi="zh-CN"/>
      </w:rPr>
    </w:lvl>
    <w:lvl w:ilvl="6">
      <w:start w:val="0"/>
      <w:numFmt w:val="bullet"/>
      <w:lvlText w:val="•"/>
      <w:lvlJc w:val="left"/>
      <w:pPr>
        <w:ind w:left="5909" w:hanging="601"/>
      </w:pPr>
      <w:rPr>
        <w:rFonts w:hint="default"/>
        <w:lang w:val="zh-CN" w:eastAsia="zh-CN" w:bidi="zh-CN"/>
      </w:rPr>
    </w:lvl>
    <w:lvl w:ilvl="7">
      <w:start w:val="0"/>
      <w:numFmt w:val="bullet"/>
      <w:lvlText w:val="•"/>
      <w:lvlJc w:val="left"/>
      <w:pPr>
        <w:ind w:left="6698" w:hanging="601"/>
      </w:pPr>
      <w:rPr>
        <w:rFonts w:hint="default"/>
        <w:lang w:val="zh-CN" w:eastAsia="zh-CN" w:bidi="zh-CN"/>
      </w:rPr>
    </w:lvl>
    <w:lvl w:ilvl="8">
      <w:start w:val="0"/>
      <w:numFmt w:val="bullet"/>
      <w:lvlText w:val="•"/>
      <w:lvlJc w:val="left"/>
      <w:pPr>
        <w:ind w:left="7486" w:hanging="601"/>
      </w:pPr>
      <w:rPr>
        <w:rFonts w:hint="default"/>
        <w:lang w:val="zh-CN" w:eastAsia="zh-CN" w:bidi="zh-CN"/>
      </w:rPr>
    </w:lvl>
  </w:abstractNum>
  <w:abstractNum w:abstractNumId="26">
    <w:multiLevelType w:val="hybridMultilevel"/>
    <w:lvl w:ilvl="0">
      <w:start w:val="1"/>
      <w:numFmt w:val="decimal"/>
      <w:lvlText w:val="（%1）"/>
      <w:lvlJc w:val="left"/>
      <w:pPr>
        <w:ind w:left="272" w:hanging="601"/>
        <w:jc w:val="left"/>
      </w:pPr>
      <w:rPr>
        <w:rFonts w:hint="default" w:ascii="宋体" w:hAnsi="宋体" w:eastAsia="宋体" w:cs="宋体"/>
        <w:spacing w:val="-48"/>
        <w:w w:val="100"/>
        <w:sz w:val="22"/>
        <w:szCs w:val="22"/>
        <w:lang w:val="zh-CN" w:eastAsia="zh-CN" w:bidi="zh-CN"/>
      </w:rPr>
    </w:lvl>
    <w:lvl w:ilvl="1">
      <w:start w:val="0"/>
      <w:numFmt w:val="bullet"/>
      <w:lvlText w:val="•"/>
      <w:lvlJc w:val="left"/>
      <w:pPr>
        <w:ind w:left="1192" w:hanging="601"/>
      </w:pPr>
      <w:rPr>
        <w:rFonts w:hint="default"/>
        <w:lang w:val="zh-CN" w:eastAsia="zh-CN" w:bidi="zh-CN"/>
      </w:rPr>
    </w:lvl>
    <w:lvl w:ilvl="2">
      <w:start w:val="0"/>
      <w:numFmt w:val="bullet"/>
      <w:lvlText w:val="•"/>
      <w:lvlJc w:val="left"/>
      <w:pPr>
        <w:ind w:left="2105" w:hanging="601"/>
      </w:pPr>
      <w:rPr>
        <w:rFonts w:hint="default"/>
        <w:lang w:val="zh-CN" w:eastAsia="zh-CN" w:bidi="zh-CN"/>
      </w:rPr>
    </w:lvl>
    <w:lvl w:ilvl="3">
      <w:start w:val="0"/>
      <w:numFmt w:val="bullet"/>
      <w:lvlText w:val="•"/>
      <w:lvlJc w:val="left"/>
      <w:pPr>
        <w:ind w:left="3017" w:hanging="601"/>
      </w:pPr>
      <w:rPr>
        <w:rFonts w:hint="default"/>
        <w:lang w:val="zh-CN" w:eastAsia="zh-CN" w:bidi="zh-CN"/>
      </w:rPr>
    </w:lvl>
    <w:lvl w:ilvl="4">
      <w:start w:val="0"/>
      <w:numFmt w:val="bullet"/>
      <w:lvlText w:val="•"/>
      <w:lvlJc w:val="left"/>
      <w:pPr>
        <w:ind w:left="3930" w:hanging="601"/>
      </w:pPr>
      <w:rPr>
        <w:rFonts w:hint="default"/>
        <w:lang w:val="zh-CN" w:eastAsia="zh-CN" w:bidi="zh-CN"/>
      </w:rPr>
    </w:lvl>
    <w:lvl w:ilvl="5">
      <w:start w:val="0"/>
      <w:numFmt w:val="bullet"/>
      <w:lvlText w:val="•"/>
      <w:lvlJc w:val="left"/>
      <w:pPr>
        <w:ind w:left="4843" w:hanging="601"/>
      </w:pPr>
      <w:rPr>
        <w:rFonts w:hint="default"/>
        <w:lang w:val="zh-CN" w:eastAsia="zh-CN" w:bidi="zh-CN"/>
      </w:rPr>
    </w:lvl>
    <w:lvl w:ilvl="6">
      <w:start w:val="0"/>
      <w:numFmt w:val="bullet"/>
      <w:lvlText w:val="•"/>
      <w:lvlJc w:val="left"/>
      <w:pPr>
        <w:ind w:left="5755" w:hanging="601"/>
      </w:pPr>
      <w:rPr>
        <w:rFonts w:hint="default"/>
        <w:lang w:val="zh-CN" w:eastAsia="zh-CN" w:bidi="zh-CN"/>
      </w:rPr>
    </w:lvl>
    <w:lvl w:ilvl="7">
      <w:start w:val="0"/>
      <w:numFmt w:val="bullet"/>
      <w:lvlText w:val="•"/>
      <w:lvlJc w:val="left"/>
      <w:pPr>
        <w:ind w:left="6668" w:hanging="601"/>
      </w:pPr>
      <w:rPr>
        <w:rFonts w:hint="default"/>
        <w:lang w:val="zh-CN" w:eastAsia="zh-CN" w:bidi="zh-CN"/>
      </w:rPr>
    </w:lvl>
    <w:lvl w:ilvl="8">
      <w:start w:val="0"/>
      <w:numFmt w:val="bullet"/>
      <w:lvlText w:val="•"/>
      <w:lvlJc w:val="left"/>
      <w:pPr>
        <w:ind w:left="7581" w:hanging="601"/>
      </w:pPr>
      <w:rPr>
        <w:rFonts w:hint="default"/>
        <w:lang w:val="zh-CN" w:eastAsia="zh-CN" w:bidi="zh-CN"/>
      </w:rPr>
    </w:lvl>
  </w:abstractNum>
  <w:abstractNum w:abstractNumId="25">
    <w:multiLevelType w:val="hybridMultilevel"/>
    <w:lvl w:ilvl="0">
      <w:start w:val="1"/>
      <w:numFmt w:val="decimal"/>
      <w:lvlText w:val="（%1）"/>
      <w:lvlJc w:val="left"/>
      <w:pPr>
        <w:ind w:left="1350" w:hanging="60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2164" w:hanging="601"/>
      </w:pPr>
      <w:rPr>
        <w:rFonts w:hint="default"/>
        <w:lang w:val="zh-CN" w:eastAsia="zh-CN" w:bidi="zh-CN"/>
      </w:rPr>
    </w:lvl>
    <w:lvl w:ilvl="2">
      <w:start w:val="0"/>
      <w:numFmt w:val="bullet"/>
      <w:lvlText w:val="•"/>
      <w:lvlJc w:val="left"/>
      <w:pPr>
        <w:ind w:left="2969" w:hanging="601"/>
      </w:pPr>
      <w:rPr>
        <w:rFonts w:hint="default"/>
        <w:lang w:val="zh-CN" w:eastAsia="zh-CN" w:bidi="zh-CN"/>
      </w:rPr>
    </w:lvl>
    <w:lvl w:ilvl="3">
      <w:start w:val="0"/>
      <w:numFmt w:val="bullet"/>
      <w:lvlText w:val="•"/>
      <w:lvlJc w:val="left"/>
      <w:pPr>
        <w:ind w:left="3773" w:hanging="601"/>
      </w:pPr>
      <w:rPr>
        <w:rFonts w:hint="default"/>
        <w:lang w:val="zh-CN" w:eastAsia="zh-CN" w:bidi="zh-CN"/>
      </w:rPr>
    </w:lvl>
    <w:lvl w:ilvl="4">
      <w:start w:val="0"/>
      <w:numFmt w:val="bullet"/>
      <w:lvlText w:val="•"/>
      <w:lvlJc w:val="left"/>
      <w:pPr>
        <w:ind w:left="4578" w:hanging="601"/>
      </w:pPr>
      <w:rPr>
        <w:rFonts w:hint="default"/>
        <w:lang w:val="zh-CN" w:eastAsia="zh-CN" w:bidi="zh-CN"/>
      </w:rPr>
    </w:lvl>
    <w:lvl w:ilvl="5">
      <w:start w:val="0"/>
      <w:numFmt w:val="bullet"/>
      <w:lvlText w:val="•"/>
      <w:lvlJc w:val="left"/>
      <w:pPr>
        <w:ind w:left="5383" w:hanging="601"/>
      </w:pPr>
      <w:rPr>
        <w:rFonts w:hint="default"/>
        <w:lang w:val="zh-CN" w:eastAsia="zh-CN" w:bidi="zh-CN"/>
      </w:rPr>
    </w:lvl>
    <w:lvl w:ilvl="6">
      <w:start w:val="0"/>
      <w:numFmt w:val="bullet"/>
      <w:lvlText w:val="•"/>
      <w:lvlJc w:val="left"/>
      <w:pPr>
        <w:ind w:left="6187" w:hanging="601"/>
      </w:pPr>
      <w:rPr>
        <w:rFonts w:hint="default"/>
        <w:lang w:val="zh-CN" w:eastAsia="zh-CN" w:bidi="zh-CN"/>
      </w:rPr>
    </w:lvl>
    <w:lvl w:ilvl="7">
      <w:start w:val="0"/>
      <w:numFmt w:val="bullet"/>
      <w:lvlText w:val="•"/>
      <w:lvlJc w:val="left"/>
      <w:pPr>
        <w:ind w:left="6992" w:hanging="601"/>
      </w:pPr>
      <w:rPr>
        <w:rFonts w:hint="default"/>
        <w:lang w:val="zh-CN" w:eastAsia="zh-CN" w:bidi="zh-CN"/>
      </w:rPr>
    </w:lvl>
    <w:lvl w:ilvl="8">
      <w:start w:val="0"/>
      <w:numFmt w:val="bullet"/>
      <w:lvlText w:val="•"/>
      <w:lvlJc w:val="left"/>
      <w:pPr>
        <w:ind w:left="7797" w:hanging="601"/>
      </w:pPr>
      <w:rPr>
        <w:rFonts w:hint="default"/>
        <w:lang w:val="zh-CN" w:eastAsia="zh-CN" w:bidi="zh-CN"/>
      </w:rPr>
    </w:lvl>
  </w:abstractNum>
  <w:abstractNum w:abstractNumId="24">
    <w:multiLevelType w:val="hybridMultilevel"/>
    <w:lvl w:ilvl="0">
      <w:start w:val="1"/>
      <w:numFmt w:val="decimal"/>
      <w:lvlText w:val="（%1）"/>
      <w:lvlJc w:val="left"/>
      <w:pPr>
        <w:ind w:left="1350"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64" w:hanging="601"/>
      </w:pPr>
      <w:rPr>
        <w:rFonts w:hint="default"/>
        <w:lang w:val="zh-CN" w:eastAsia="zh-CN" w:bidi="zh-CN"/>
      </w:rPr>
    </w:lvl>
    <w:lvl w:ilvl="2">
      <w:start w:val="0"/>
      <w:numFmt w:val="bullet"/>
      <w:lvlText w:val="•"/>
      <w:lvlJc w:val="left"/>
      <w:pPr>
        <w:ind w:left="2969" w:hanging="601"/>
      </w:pPr>
      <w:rPr>
        <w:rFonts w:hint="default"/>
        <w:lang w:val="zh-CN" w:eastAsia="zh-CN" w:bidi="zh-CN"/>
      </w:rPr>
    </w:lvl>
    <w:lvl w:ilvl="3">
      <w:start w:val="0"/>
      <w:numFmt w:val="bullet"/>
      <w:lvlText w:val="•"/>
      <w:lvlJc w:val="left"/>
      <w:pPr>
        <w:ind w:left="3773" w:hanging="601"/>
      </w:pPr>
      <w:rPr>
        <w:rFonts w:hint="default"/>
        <w:lang w:val="zh-CN" w:eastAsia="zh-CN" w:bidi="zh-CN"/>
      </w:rPr>
    </w:lvl>
    <w:lvl w:ilvl="4">
      <w:start w:val="0"/>
      <w:numFmt w:val="bullet"/>
      <w:lvlText w:val="•"/>
      <w:lvlJc w:val="left"/>
      <w:pPr>
        <w:ind w:left="4578" w:hanging="601"/>
      </w:pPr>
      <w:rPr>
        <w:rFonts w:hint="default"/>
        <w:lang w:val="zh-CN" w:eastAsia="zh-CN" w:bidi="zh-CN"/>
      </w:rPr>
    </w:lvl>
    <w:lvl w:ilvl="5">
      <w:start w:val="0"/>
      <w:numFmt w:val="bullet"/>
      <w:lvlText w:val="•"/>
      <w:lvlJc w:val="left"/>
      <w:pPr>
        <w:ind w:left="5383" w:hanging="601"/>
      </w:pPr>
      <w:rPr>
        <w:rFonts w:hint="default"/>
        <w:lang w:val="zh-CN" w:eastAsia="zh-CN" w:bidi="zh-CN"/>
      </w:rPr>
    </w:lvl>
    <w:lvl w:ilvl="6">
      <w:start w:val="0"/>
      <w:numFmt w:val="bullet"/>
      <w:lvlText w:val="•"/>
      <w:lvlJc w:val="left"/>
      <w:pPr>
        <w:ind w:left="6187" w:hanging="601"/>
      </w:pPr>
      <w:rPr>
        <w:rFonts w:hint="default"/>
        <w:lang w:val="zh-CN" w:eastAsia="zh-CN" w:bidi="zh-CN"/>
      </w:rPr>
    </w:lvl>
    <w:lvl w:ilvl="7">
      <w:start w:val="0"/>
      <w:numFmt w:val="bullet"/>
      <w:lvlText w:val="•"/>
      <w:lvlJc w:val="left"/>
      <w:pPr>
        <w:ind w:left="6992" w:hanging="601"/>
      </w:pPr>
      <w:rPr>
        <w:rFonts w:hint="default"/>
        <w:lang w:val="zh-CN" w:eastAsia="zh-CN" w:bidi="zh-CN"/>
      </w:rPr>
    </w:lvl>
    <w:lvl w:ilvl="8">
      <w:start w:val="0"/>
      <w:numFmt w:val="bullet"/>
      <w:lvlText w:val="•"/>
      <w:lvlJc w:val="left"/>
      <w:pPr>
        <w:ind w:left="7797" w:hanging="601"/>
      </w:pPr>
      <w:rPr>
        <w:rFonts w:hint="default"/>
        <w:lang w:val="zh-CN" w:eastAsia="zh-CN" w:bidi="zh-CN"/>
      </w:rPr>
    </w:lvl>
  </w:abstractNum>
  <w:abstractNum w:abstractNumId="23">
    <w:multiLevelType w:val="hybridMultilevel"/>
    <w:lvl w:ilvl="0">
      <w:start w:val="1"/>
      <w:numFmt w:val="decimal"/>
      <w:lvlText w:val="（%1）"/>
      <w:lvlJc w:val="left"/>
      <w:pPr>
        <w:ind w:left="272" w:hanging="601"/>
        <w:jc w:val="left"/>
      </w:pPr>
      <w:rPr>
        <w:rFonts w:hint="default" w:ascii="宋体" w:hAnsi="宋体" w:eastAsia="宋体" w:cs="宋体"/>
        <w:spacing w:val="-48"/>
        <w:w w:val="100"/>
        <w:sz w:val="22"/>
        <w:szCs w:val="22"/>
        <w:lang w:val="zh-CN" w:eastAsia="zh-CN" w:bidi="zh-CN"/>
      </w:rPr>
    </w:lvl>
    <w:lvl w:ilvl="1">
      <w:start w:val="0"/>
      <w:numFmt w:val="bullet"/>
      <w:lvlText w:val="•"/>
      <w:lvlJc w:val="left"/>
      <w:pPr>
        <w:ind w:left="1192" w:hanging="601"/>
      </w:pPr>
      <w:rPr>
        <w:rFonts w:hint="default"/>
        <w:lang w:val="zh-CN" w:eastAsia="zh-CN" w:bidi="zh-CN"/>
      </w:rPr>
    </w:lvl>
    <w:lvl w:ilvl="2">
      <w:start w:val="0"/>
      <w:numFmt w:val="bullet"/>
      <w:lvlText w:val="•"/>
      <w:lvlJc w:val="left"/>
      <w:pPr>
        <w:ind w:left="2105" w:hanging="601"/>
      </w:pPr>
      <w:rPr>
        <w:rFonts w:hint="default"/>
        <w:lang w:val="zh-CN" w:eastAsia="zh-CN" w:bidi="zh-CN"/>
      </w:rPr>
    </w:lvl>
    <w:lvl w:ilvl="3">
      <w:start w:val="0"/>
      <w:numFmt w:val="bullet"/>
      <w:lvlText w:val="•"/>
      <w:lvlJc w:val="left"/>
      <w:pPr>
        <w:ind w:left="3017" w:hanging="601"/>
      </w:pPr>
      <w:rPr>
        <w:rFonts w:hint="default"/>
        <w:lang w:val="zh-CN" w:eastAsia="zh-CN" w:bidi="zh-CN"/>
      </w:rPr>
    </w:lvl>
    <w:lvl w:ilvl="4">
      <w:start w:val="0"/>
      <w:numFmt w:val="bullet"/>
      <w:lvlText w:val="•"/>
      <w:lvlJc w:val="left"/>
      <w:pPr>
        <w:ind w:left="3930" w:hanging="601"/>
      </w:pPr>
      <w:rPr>
        <w:rFonts w:hint="default"/>
        <w:lang w:val="zh-CN" w:eastAsia="zh-CN" w:bidi="zh-CN"/>
      </w:rPr>
    </w:lvl>
    <w:lvl w:ilvl="5">
      <w:start w:val="0"/>
      <w:numFmt w:val="bullet"/>
      <w:lvlText w:val="•"/>
      <w:lvlJc w:val="left"/>
      <w:pPr>
        <w:ind w:left="4843" w:hanging="601"/>
      </w:pPr>
      <w:rPr>
        <w:rFonts w:hint="default"/>
        <w:lang w:val="zh-CN" w:eastAsia="zh-CN" w:bidi="zh-CN"/>
      </w:rPr>
    </w:lvl>
    <w:lvl w:ilvl="6">
      <w:start w:val="0"/>
      <w:numFmt w:val="bullet"/>
      <w:lvlText w:val="•"/>
      <w:lvlJc w:val="left"/>
      <w:pPr>
        <w:ind w:left="5755" w:hanging="601"/>
      </w:pPr>
      <w:rPr>
        <w:rFonts w:hint="default"/>
        <w:lang w:val="zh-CN" w:eastAsia="zh-CN" w:bidi="zh-CN"/>
      </w:rPr>
    </w:lvl>
    <w:lvl w:ilvl="7">
      <w:start w:val="0"/>
      <w:numFmt w:val="bullet"/>
      <w:lvlText w:val="•"/>
      <w:lvlJc w:val="left"/>
      <w:pPr>
        <w:ind w:left="6668" w:hanging="601"/>
      </w:pPr>
      <w:rPr>
        <w:rFonts w:hint="default"/>
        <w:lang w:val="zh-CN" w:eastAsia="zh-CN" w:bidi="zh-CN"/>
      </w:rPr>
    </w:lvl>
    <w:lvl w:ilvl="8">
      <w:start w:val="0"/>
      <w:numFmt w:val="bullet"/>
      <w:lvlText w:val="•"/>
      <w:lvlJc w:val="left"/>
      <w:pPr>
        <w:ind w:left="7581" w:hanging="601"/>
      </w:pPr>
      <w:rPr>
        <w:rFonts w:hint="default"/>
        <w:lang w:val="zh-CN" w:eastAsia="zh-CN" w:bidi="zh-CN"/>
      </w:rPr>
    </w:lvl>
  </w:abstractNum>
  <w:abstractNum w:abstractNumId="22">
    <w:multiLevelType w:val="hybridMultilevel"/>
    <w:lvl w:ilvl="0">
      <w:start w:val="1"/>
      <w:numFmt w:val="decimal"/>
      <w:lvlText w:val="（%1）"/>
      <w:lvlJc w:val="left"/>
      <w:pPr>
        <w:ind w:left="107" w:hanging="601"/>
        <w:jc w:val="left"/>
      </w:pPr>
      <w:rPr>
        <w:rFonts w:hint="default" w:ascii="宋体" w:hAnsi="宋体" w:eastAsia="宋体" w:cs="宋体"/>
        <w:spacing w:val="-72"/>
        <w:w w:val="100"/>
        <w:sz w:val="22"/>
        <w:szCs w:val="22"/>
        <w:lang w:val="zh-CN" w:eastAsia="zh-CN" w:bidi="zh-CN"/>
      </w:rPr>
    </w:lvl>
    <w:lvl w:ilvl="1">
      <w:start w:val="0"/>
      <w:numFmt w:val="bullet"/>
      <w:lvlText w:val="•"/>
      <w:lvlJc w:val="left"/>
      <w:pPr>
        <w:ind w:left="996" w:hanging="601"/>
      </w:pPr>
      <w:rPr>
        <w:rFonts w:hint="default"/>
        <w:lang w:val="zh-CN" w:eastAsia="zh-CN" w:bidi="zh-CN"/>
      </w:rPr>
    </w:lvl>
    <w:lvl w:ilvl="2">
      <w:start w:val="0"/>
      <w:numFmt w:val="bullet"/>
      <w:lvlText w:val="•"/>
      <w:lvlJc w:val="left"/>
      <w:pPr>
        <w:ind w:left="1893" w:hanging="601"/>
      </w:pPr>
      <w:rPr>
        <w:rFonts w:hint="default"/>
        <w:lang w:val="zh-CN" w:eastAsia="zh-CN" w:bidi="zh-CN"/>
      </w:rPr>
    </w:lvl>
    <w:lvl w:ilvl="3">
      <w:start w:val="0"/>
      <w:numFmt w:val="bullet"/>
      <w:lvlText w:val="•"/>
      <w:lvlJc w:val="left"/>
      <w:pPr>
        <w:ind w:left="2790" w:hanging="601"/>
      </w:pPr>
      <w:rPr>
        <w:rFonts w:hint="default"/>
        <w:lang w:val="zh-CN" w:eastAsia="zh-CN" w:bidi="zh-CN"/>
      </w:rPr>
    </w:lvl>
    <w:lvl w:ilvl="4">
      <w:start w:val="0"/>
      <w:numFmt w:val="bullet"/>
      <w:lvlText w:val="•"/>
      <w:lvlJc w:val="left"/>
      <w:pPr>
        <w:ind w:left="3686" w:hanging="601"/>
      </w:pPr>
      <w:rPr>
        <w:rFonts w:hint="default"/>
        <w:lang w:val="zh-CN" w:eastAsia="zh-CN" w:bidi="zh-CN"/>
      </w:rPr>
    </w:lvl>
    <w:lvl w:ilvl="5">
      <w:start w:val="0"/>
      <w:numFmt w:val="bullet"/>
      <w:lvlText w:val="•"/>
      <w:lvlJc w:val="left"/>
      <w:pPr>
        <w:ind w:left="4583" w:hanging="601"/>
      </w:pPr>
      <w:rPr>
        <w:rFonts w:hint="default"/>
        <w:lang w:val="zh-CN" w:eastAsia="zh-CN" w:bidi="zh-CN"/>
      </w:rPr>
    </w:lvl>
    <w:lvl w:ilvl="6">
      <w:start w:val="0"/>
      <w:numFmt w:val="bullet"/>
      <w:lvlText w:val="•"/>
      <w:lvlJc w:val="left"/>
      <w:pPr>
        <w:ind w:left="5480" w:hanging="601"/>
      </w:pPr>
      <w:rPr>
        <w:rFonts w:hint="default"/>
        <w:lang w:val="zh-CN" w:eastAsia="zh-CN" w:bidi="zh-CN"/>
      </w:rPr>
    </w:lvl>
    <w:lvl w:ilvl="7">
      <w:start w:val="0"/>
      <w:numFmt w:val="bullet"/>
      <w:lvlText w:val="•"/>
      <w:lvlJc w:val="left"/>
      <w:pPr>
        <w:ind w:left="6376" w:hanging="601"/>
      </w:pPr>
      <w:rPr>
        <w:rFonts w:hint="default"/>
        <w:lang w:val="zh-CN" w:eastAsia="zh-CN" w:bidi="zh-CN"/>
      </w:rPr>
    </w:lvl>
    <w:lvl w:ilvl="8">
      <w:start w:val="0"/>
      <w:numFmt w:val="bullet"/>
      <w:lvlText w:val="•"/>
      <w:lvlJc w:val="left"/>
      <w:pPr>
        <w:ind w:left="7273" w:hanging="601"/>
      </w:pPr>
      <w:rPr>
        <w:rFonts w:hint="default"/>
        <w:lang w:val="zh-CN" w:eastAsia="zh-CN" w:bidi="zh-CN"/>
      </w:rPr>
    </w:lvl>
  </w:abstractNum>
  <w:abstractNum w:abstractNumId="21">
    <w:multiLevelType w:val="hybridMultilevel"/>
    <w:lvl w:ilvl="0">
      <w:start w:val="1"/>
      <w:numFmt w:val="decimal"/>
      <w:lvlText w:val="（%1）"/>
      <w:lvlJc w:val="left"/>
      <w:pPr>
        <w:ind w:left="1353" w:hanging="602"/>
        <w:jc w:val="left"/>
      </w:pPr>
      <w:rPr>
        <w:rFonts w:hint="default" w:ascii="宋体" w:hAnsi="宋体" w:eastAsia="宋体" w:cs="宋体"/>
        <w:w w:val="100"/>
        <w:sz w:val="22"/>
        <w:szCs w:val="22"/>
        <w:lang w:val="zh-CN" w:eastAsia="zh-CN" w:bidi="zh-CN"/>
      </w:rPr>
    </w:lvl>
    <w:lvl w:ilvl="1">
      <w:start w:val="0"/>
      <w:numFmt w:val="bullet"/>
      <w:lvlText w:val="•"/>
      <w:lvlJc w:val="left"/>
      <w:pPr>
        <w:ind w:left="2164" w:hanging="602"/>
      </w:pPr>
      <w:rPr>
        <w:rFonts w:hint="default"/>
        <w:lang w:val="zh-CN" w:eastAsia="zh-CN" w:bidi="zh-CN"/>
      </w:rPr>
    </w:lvl>
    <w:lvl w:ilvl="2">
      <w:start w:val="0"/>
      <w:numFmt w:val="bullet"/>
      <w:lvlText w:val="•"/>
      <w:lvlJc w:val="left"/>
      <w:pPr>
        <w:ind w:left="2969" w:hanging="602"/>
      </w:pPr>
      <w:rPr>
        <w:rFonts w:hint="default"/>
        <w:lang w:val="zh-CN" w:eastAsia="zh-CN" w:bidi="zh-CN"/>
      </w:rPr>
    </w:lvl>
    <w:lvl w:ilvl="3">
      <w:start w:val="0"/>
      <w:numFmt w:val="bullet"/>
      <w:lvlText w:val="•"/>
      <w:lvlJc w:val="left"/>
      <w:pPr>
        <w:ind w:left="3773" w:hanging="602"/>
      </w:pPr>
      <w:rPr>
        <w:rFonts w:hint="default"/>
        <w:lang w:val="zh-CN" w:eastAsia="zh-CN" w:bidi="zh-CN"/>
      </w:rPr>
    </w:lvl>
    <w:lvl w:ilvl="4">
      <w:start w:val="0"/>
      <w:numFmt w:val="bullet"/>
      <w:lvlText w:val="•"/>
      <w:lvlJc w:val="left"/>
      <w:pPr>
        <w:ind w:left="4578" w:hanging="602"/>
      </w:pPr>
      <w:rPr>
        <w:rFonts w:hint="default"/>
        <w:lang w:val="zh-CN" w:eastAsia="zh-CN" w:bidi="zh-CN"/>
      </w:rPr>
    </w:lvl>
    <w:lvl w:ilvl="5">
      <w:start w:val="0"/>
      <w:numFmt w:val="bullet"/>
      <w:lvlText w:val="•"/>
      <w:lvlJc w:val="left"/>
      <w:pPr>
        <w:ind w:left="5383" w:hanging="602"/>
      </w:pPr>
      <w:rPr>
        <w:rFonts w:hint="default"/>
        <w:lang w:val="zh-CN" w:eastAsia="zh-CN" w:bidi="zh-CN"/>
      </w:rPr>
    </w:lvl>
    <w:lvl w:ilvl="6">
      <w:start w:val="0"/>
      <w:numFmt w:val="bullet"/>
      <w:lvlText w:val="•"/>
      <w:lvlJc w:val="left"/>
      <w:pPr>
        <w:ind w:left="6187" w:hanging="602"/>
      </w:pPr>
      <w:rPr>
        <w:rFonts w:hint="default"/>
        <w:lang w:val="zh-CN" w:eastAsia="zh-CN" w:bidi="zh-CN"/>
      </w:rPr>
    </w:lvl>
    <w:lvl w:ilvl="7">
      <w:start w:val="0"/>
      <w:numFmt w:val="bullet"/>
      <w:lvlText w:val="•"/>
      <w:lvlJc w:val="left"/>
      <w:pPr>
        <w:ind w:left="6992" w:hanging="602"/>
      </w:pPr>
      <w:rPr>
        <w:rFonts w:hint="default"/>
        <w:lang w:val="zh-CN" w:eastAsia="zh-CN" w:bidi="zh-CN"/>
      </w:rPr>
    </w:lvl>
    <w:lvl w:ilvl="8">
      <w:start w:val="0"/>
      <w:numFmt w:val="bullet"/>
      <w:lvlText w:val="•"/>
      <w:lvlJc w:val="left"/>
      <w:pPr>
        <w:ind w:left="7797" w:hanging="602"/>
      </w:pPr>
      <w:rPr>
        <w:rFonts w:hint="default"/>
        <w:lang w:val="zh-CN" w:eastAsia="zh-CN" w:bidi="zh-CN"/>
      </w:rPr>
    </w:lvl>
  </w:abstractNum>
  <w:abstractNum w:abstractNumId="20">
    <w:multiLevelType w:val="hybridMultilevel"/>
    <w:lvl w:ilvl="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64" w:hanging="601"/>
      </w:pPr>
      <w:rPr>
        <w:rFonts w:hint="default"/>
        <w:lang w:val="zh-CN" w:eastAsia="zh-CN" w:bidi="zh-CN"/>
      </w:rPr>
    </w:lvl>
    <w:lvl w:ilvl="2">
      <w:start w:val="0"/>
      <w:numFmt w:val="bullet"/>
      <w:lvlText w:val="•"/>
      <w:lvlJc w:val="left"/>
      <w:pPr>
        <w:ind w:left="2969" w:hanging="601"/>
      </w:pPr>
      <w:rPr>
        <w:rFonts w:hint="default"/>
        <w:lang w:val="zh-CN" w:eastAsia="zh-CN" w:bidi="zh-CN"/>
      </w:rPr>
    </w:lvl>
    <w:lvl w:ilvl="3">
      <w:start w:val="0"/>
      <w:numFmt w:val="bullet"/>
      <w:lvlText w:val="•"/>
      <w:lvlJc w:val="left"/>
      <w:pPr>
        <w:ind w:left="3773" w:hanging="601"/>
      </w:pPr>
      <w:rPr>
        <w:rFonts w:hint="default"/>
        <w:lang w:val="zh-CN" w:eastAsia="zh-CN" w:bidi="zh-CN"/>
      </w:rPr>
    </w:lvl>
    <w:lvl w:ilvl="4">
      <w:start w:val="0"/>
      <w:numFmt w:val="bullet"/>
      <w:lvlText w:val="•"/>
      <w:lvlJc w:val="left"/>
      <w:pPr>
        <w:ind w:left="4578" w:hanging="601"/>
      </w:pPr>
      <w:rPr>
        <w:rFonts w:hint="default"/>
        <w:lang w:val="zh-CN" w:eastAsia="zh-CN" w:bidi="zh-CN"/>
      </w:rPr>
    </w:lvl>
    <w:lvl w:ilvl="5">
      <w:start w:val="0"/>
      <w:numFmt w:val="bullet"/>
      <w:lvlText w:val="•"/>
      <w:lvlJc w:val="left"/>
      <w:pPr>
        <w:ind w:left="5383" w:hanging="601"/>
      </w:pPr>
      <w:rPr>
        <w:rFonts w:hint="default"/>
        <w:lang w:val="zh-CN" w:eastAsia="zh-CN" w:bidi="zh-CN"/>
      </w:rPr>
    </w:lvl>
    <w:lvl w:ilvl="6">
      <w:start w:val="0"/>
      <w:numFmt w:val="bullet"/>
      <w:lvlText w:val="•"/>
      <w:lvlJc w:val="left"/>
      <w:pPr>
        <w:ind w:left="6187" w:hanging="601"/>
      </w:pPr>
      <w:rPr>
        <w:rFonts w:hint="default"/>
        <w:lang w:val="zh-CN" w:eastAsia="zh-CN" w:bidi="zh-CN"/>
      </w:rPr>
    </w:lvl>
    <w:lvl w:ilvl="7">
      <w:start w:val="0"/>
      <w:numFmt w:val="bullet"/>
      <w:lvlText w:val="•"/>
      <w:lvlJc w:val="left"/>
      <w:pPr>
        <w:ind w:left="6992" w:hanging="601"/>
      </w:pPr>
      <w:rPr>
        <w:rFonts w:hint="default"/>
        <w:lang w:val="zh-CN" w:eastAsia="zh-CN" w:bidi="zh-CN"/>
      </w:rPr>
    </w:lvl>
    <w:lvl w:ilvl="8">
      <w:start w:val="0"/>
      <w:numFmt w:val="bullet"/>
      <w:lvlText w:val="•"/>
      <w:lvlJc w:val="left"/>
      <w:pPr>
        <w:ind w:left="7797" w:hanging="601"/>
      </w:pPr>
      <w:rPr>
        <w:rFonts w:hint="default"/>
        <w:lang w:val="zh-CN" w:eastAsia="zh-CN" w:bidi="zh-CN"/>
      </w:rPr>
    </w:lvl>
  </w:abstractNum>
  <w:abstractNum w:abstractNumId="19">
    <w:multiLevelType w:val="hybridMultilevel"/>
    <w:lvl w:ilvl="0">
      <w:start w:val="1"/>
      <w:numFmt w:val="decimal"/>
      <w:lvlText w:val="（%1）"/>
      <w:lvlJc w:val="left"/>
      <w:pPr>
        <w:ind w:left="1336" w:hanging="594"/>
        <w:jc w:val="left"/>
      </w:pPr>
      <w:rPr>
        <w:rFonts w:hint="default" w:ascii="宋体" w:hAnsi="宋体" w:eastAsia="宋体" w:cs="宋体"/>
        <w:spacing w:val="-5"/>
        <w:w w:val="100"/>
        <w:sz w:val="22"/>
        <w:szCs w:val="22"/>
        <w:lang w:val="zh-CN" w:eastAsia="zh-CN" w:bidi="zh-CN"/>
      </w:rPr>
    </w:lvl>
    <w:lvl w:ilvl="1">
      <w:start w:val="0"/>
      <w:numFmt w:val="bullet"/>
      <w:lvlText w:val="•"/>
      <w:lvlJc w:val="left"/>
      <w:pPr>
        <w:ind w:left="2146" w:hanging="594"/>
      </w:pPr>
      <w:rPr>
        <w:rFonts w:hint="default"/>
        <w:lang w:val="zh-CN" w:eastAsia="zh-CN" w:bidi="zh-CN"/>
      </w:rPr>
    </w:lvl>
    <w:lvl w:ilvl="2">
      <w:start w:val="0"/>
      <w:numFmt w:val="bullet"/>
      <w:lvlText w:val="•"/>
      <w:lvlJc w:val="left"/>
      <w:pPr>
        <w:ind w:left="2953" w:hanging="594"/>
      </w:pPr>
      <w:rPr>
        <w:rFonts w:hint="default"/>
        <w:lang w:val="zh-CN" w:eastAsia="zh-CN" w:bidi="zh-CN"/>
      </w:rPr>
    </w:lvl>
    <w:lvl w:ilvl="3">
      <w:start w:val="0"/>
      <w:numFmt w:val="bullet"/>
      <w:lvlText w:val="•"/>
      <w:lvlJc w:val="left"/>
      <w:pPr>
        <w:ind w:left="3759" w:hanging="594"/>
      </w:pPr>
      <w:rPr>
        <w:rFonts w:hint="default"/>
        <w:lang w:val="zh-CN" w:eastAsia="zh-CN" w:bidi="zh-CN"/>
      </w:rPr>
    </w:lvl>
    <w:lvl w:ilvl="4">
      <w:start w:val="0"/>
      <w:numFmt w:val="bullet"/>
      <w:lvlText w:val="•"/>
      <w:lvlJc w:val="left"/>
      <w:pPr>
        <w:ind w:left="4566" w:hanging="594"/>
      </w:pPr>
      <w:rPr>
        <w:rFonts w:hint="default"/>
        <w:lang w:val="zh-CN" w:eastAsia="zh-CN" w:bidi="zh-CN"/>
      </w:rPr>
    </w:lvl>
    <w:lvl w:ilvl="5">
      <w:start w:val="0"/>
      <w:numFmt w:val="bullet"/>
      <w:lvlText w:val="•"/>
      <w:lvlJc w:val="left"/>
      <w:pPr>
        <w:ind w:left="5373" w:hanging="594"/>
      </w:pPr>
      <w:rPr>
        <w:rFonts w:hint="default"/>
        <w:lang w:val="zh-CN" w:eastAsia="zh-CN" w:bidi="zh-CN"/>
      </w:rPr>
    </w:lvl>
    <w:lvl w:ilvl="6">
      <w:start w:val="0"/>
      <w:numFmt w:val="bullet"/>
      <w:lvlText w:val="•"/>
      <w:lvlJc w:val="left"/>
      <w:pPr>
        <w:ind w:left="6179" w:hanging="594"/>
      </w:pPr>
      <w:rPr>
        <w:rFonts w:hint="default"/>
        <w:lang w:val="zh-CN" w:eastAsia="zh-CN" w:bidi="zh-CN"/>
      </w:rPr>
    </w:lvl>
    <w:lvl w:ilvl="7">
      <w:start w:val="0"/>
      <w:numFmt w:val="bullet"/>
      <w:lvlText w:val="•"/>
      <w:lvlJc w:val="left"/>
      <w:pPr>
        <w:ind w:left="6986" w:hanging="594"/>
      </w:pPr>
      <w:rPr>
        <w:rFonts w:hint="default"/>
        <w:lang w:val="zh-CN" w:eastAsia="zh-CN" w:bidi="zh-CN"/>
      </w:rPr>
    </w:lvl>
    <w:lvl w:ilvl="8">
      <w:start w:val="0"/>
      <w:numFmt w:val="bullet"/>
      <w:lvlText w:val="•"/>
      <w:lvlJc w:val="left"/>
      <w:pPr>
        <w:ind w:left="7793" w:hanging="594"/>
      </w:pPr>
      <w:rPr>
        <w:rFonts w:hint="default"/>
        <w:lang w:val="zh-CN" w:eastAsia="zh-CN" w:bidi="zh-CN"/>
      </w:rPr>
    </w:lvl>
  </w:abstractNum>
  <w:abstractNum w:abstractNumId="18">
    <w:multiLevelType w:val="hybridMultilevel"/>
    <w:lvl w:ilvl="0">
      <w:start w:val="1"/>
      <w:numFmt w:val="decimal"/>
      <w:lvlText w:val="（%1）"/>
      <w:lvlJc w:val="left"/>
      <w:pPr>
        <w:ind w:left="1353"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64" w:hanging="601"/>
      </w:pPr>
      <w:rPr>
        <w:rFonts w:hint="default"/>
        <w:lang w:val="zh-CN" w:eastAsia="zh-CN" w:bidi="zh-CN"/>
      </w:rPr>
    </w:lvl>
    <w:lvl w:ilvl="2">
      <w:start w:val="0"/>
      <w:numFmt w:val="bullet"/>
      <w:lvlText w:val="•"/>
      <w:lvlJc w:val="left"/>
      <w:pPr>
        <w:ind w:left="2969" w:hanging="601"/>
      </w:pPr>
      <w:rPr>
        <w:rFonts w:hint="default"/>
        <w:lang w:val="zh-CN" w:eastAsia="zh-CN" w:bidi="zh-CN"/>
      </w:rPr>
    </w:lvl>
    <w:lvl w:ilvl="3">
      <w:start w:val="0"/>
      <w:numFmt w:val="bullet"/>
      <w:lvlText w:val="•"/>
      <w:lvlJc w:val="left"/>
      <w:pPr>
        <w:ind w:left="3773" w:hanging="601"/>
      </w:pPr>
      <w:rPr>
        <w:rFonts w:hint="default"/>
        <w:lang w:val="zh-CN" w:eastAsia="zh-CN" w:bidi="zh-CN"/>
      </w:rPr>
    </w:lvl>
    <w:lvl w:ilvl="4">
      <w:start w:val="0"/>
      <w:numFmt w:val="bullet"/>
      <w:lvlText w:val="•"/>
      <w:lvlJc w:val="left"/>
      <w:pPr>
        <w:ind w:left="4578" w:hanging="601"/>
      </w:pPr>
      <w:rPr>
        <w:rFonts w:hint="default"/>
        <w:lang w:val="zh-CN" w:eastAsia="zh-CN" w:bidi="zh-CN"/>
      </w:rPr>
    </w:lvl>
    <w:lvl w:ilvl="5">
      <w:start w:val="0"/>
      <w:numFmt w:val="bullet"/>
      <w:lvlText w:val="•"/>
      <w:lvlJc w:val="left"/>
      <w:pPr>
        <w:ind w:left="5383" w:hanging="601"/>
      </w:pPr>
      <w:rPr>
        <w:rFonts w:hint="default"/>
        <w:lang w:val="zh-CN" w:eastAsia="zh-CN" w:bidi="zh-CN"/>
      </w:rPr>
    </w:lvl>
    <w:lvl w:ilvl="6">
      <w:start w:val="0"/>
      <w:numFmt w:val="bullet"/>
      <w:lvlText w:val="•"/>
      <w:lvlJc w:val="left"/>
      <w:pPr>
        <w:ind w:left="6187" w:hanging="601"/>
      </w:pPr>
      <w:rPr>
        <w:rFonts w:hint="default"/>
        <w:lang w:val="zh-CN" w:eastAsia="zh-CN" w:bidi="zh-CN"/>
      </w:rPr>
    </w:lvl>
    <w:lvl w:ilvl="7">
      <w:start w:val="0"/>
      <w:numFmt w:val="bullet"/>
      <w:lvlText w:val="•"/>
      <w:lvlJc w:val="left"/>
      <w:pPr>
        <w:ind w:left="6992" w:hanging="601"/>
      </w:pPr>
      <w:rPr>
        <w:rFonts w:hint="default"/>
        <w:lang w:val="zh-CN" w:eastAsia="zh-CN" w:bidi="zh-CN"/>
      </w:rPr>
    </w:lvl>
    <w:lvl w:ilvl="8">
      <w:start w:val="0"/>
      <w:numFmt w:val="bullet"/>
      <w:lvlText w:val="•"/>
      <w:lvlJc w:val="left"/>
      <w:pPr>
        <w:ind w:left="7797" w:hanging="601"/>
      </w:pPr>
      <w:rPr>
        <w:rFonts w:hint="default"/>
        <w:lang w:val="zh-CN" w:eastAsia="zh-CN" w:bidi="zh-CN"/>
      </w:rPr>
    </w:lvl>
  </w:abstractNum>
  <w:abstractNum w:abstractNumId="17">
    <w:multiLevelType w:val="hybridMultilevel"/>
    <w:lvl w:ilvl="0">
      <w:start w:val="1"/>
      <w:numFmt w:val="decimal"/>
      <w:lvlText w:val="（%1）"/>
      <w:lvlJc w:val="left"/>
      <w:pPr>
        <w:ind w:left="1472" w:hanging="720"/>
        <w:jc w:val="left"/>
      </w:pPr>
      <w:rPr>
        <w:rFonts w:hint="default" w:ascii="宋体" w:hAnsi="宋体" w:eastAsia="宋体" w:cs="宋体"/>
        <w:w w:val="100"/>
        <w:sz w:val="24"/>
        <w:szCs w:val="24"/>
        <w:lang w:val="zh-CN" w:eastAsia="zh-CN" w:bidi="zh-CN"/>
      </w:rPr>
    </w:lvl>
    <w:lvl w:ilvl="1">
      <w:start w:val="0"/>
      <w:numFmt w:val="bullet"/>
      <w:lvlText w:val="•"/>
      <w:lvlJc w:val="left"/>
      <w:pPr>
        <w:ind w:left="2272" w:hanging="720"/>
      </w:pPr>
      <w:rPr>
        <w:rFonts w:hint="default"/>
        <w:lang w:val="zh-CN" w:eastAsia="zh-CN" w:bidi="zh-CN"/>
      </w:rPr>
    </w:lvl>
    <w:lvl w:ilvl="2">
      <w:start w:val="0"/>
      <w:numFmt w:val="bullet"/>
      <w:lvlText w:val="•"/>
      <w:lvlJc w:val="left"/>
      <w:pPr>
        <w:ind w:left="3065" w:hanging="720"/>
      </w:pPr>
      <w:rPr>
        <w:rFonts w:hint="default"/>
        <w:lang w:val="zh-CN" w:eastAsia="zh-CN" w:bidi="zh-CN"/>
      </w:rPr>
    </w:lvl>
    <w:lvl w:ilvl="3">
      <w:start w:val="0"/>
      <w:numFmt w:val="bullet"/>
      <w:lvlText w:val="•"/>
      <w:lvlJc w:val="left"/>
      <w:pPr>
        <w:ind w:left="3857" w:hanging="720"/>
      </w:pPr>
      <w:rPr>
        <w:rFonts w:hint="default"/>
        <w:lang w:val="zh-CN" w:eastAsia="zh-CN" w:bidi="zh-CN"/>
      </w:rPr>
    </w:lvl>
    <w:lvl w:ilvl="4">
      <w:start w:val="0"/>
      <w:numFmt w:val="bullet"/>
      <w:lvlText w:val="•"/>
      <w:lvlJc w:val="left"/>
      <w:pPr>
        <w:ind w:left="4650" w:hanging="720"/>
      </w:pPr>
      <w:rPr>
        <w:rFonts w:hint="default"/>
        <w:lang w:val="zh-CN" w:eastAsia="zh-CN" w:bidi="zh-CN"/>
      </w:rPr>
    </w:lvl>
    <w:lvl w:ilvl="5">
      <w:start w:val="0"/>
      <w:numFmt w:val="bullet"/>
      <w:lvlText w:val="•"/>
      <w:lvlJc w:val="left"/>
      <w:pPr>
        <w:ind w:left="5443" w:hanging="720"/>
      </w:pPr>
      <w:rPr>
        <w:rFonts w:hint="default"/>
        <w:lang w:val="zh-CN" w:eastAsia="zh-CN" w:bidi="zh-CN"/>
      </w:rPr>
    </w:lvl>
    <w:lvl w:ilvl="6">
      <w:start w:val="0"/>
      <w:numFmt w:val="bullet"/>
      <w:lvlText w:val="•"/>
      <w:lvlJc w:val="left"/>
      <w:pPr>
        <w:ind w:left="6235" w:hanging="720"/>
      </w:pPr>
      <w:rPr>
        <w:rFonts w:hint="default"/>
        <w:lang w:val="zh-CN" w:eastAsia="zh-CN" w:bidi="zh-CN"/>
      </w:rPr>
    </w:lvl>
    <w:lvl w:ilvl="7">
      <w:start w:val="0"/>
      <w:numFmt w:val="bullet"/>
      <w:lvlText w:val="•"/>
      <w:lvlJc w:val="left"/>
      <w:pPr>
        <w:ind w:left="7028" w:hanging="720"/>
      </w:pPr>
      <w:rPr>
        <w:rFonts w:hint="default"/>
        <w:lang w:val="zh-CN" w:eastAsia="zh-CN" w:bidi="zh-CN"/>
      </w:rPr>
    </w:lvl>
    <w:lvl w:ilvl="8">
      <w:start w:val="0"/>
      <w:numFmt w:val="bullet"/>
      <w:lvlText w:val="•"/>
      <w:lvlJc w:val="left"/>
      <w:pPr>
        <w:ind w:left="7821" w:hanging="720"/>
      </w:pPr>
      <w:rPr>
        <w:rFonts w:hint="default"/>
        <w:lang w:val="zh-CN" w:eastAsia="zh-CN" w:bidi="zh-CN"/>
      </w:rPr>
    </w:lvl>
  </w:abstractNum>
  <w:abstractNum w:abstractNumId="16">
    <w:multiLevelType w:val="hybridMultilevel"/>
    <w:lvl w:ilvl="0">
      <w:start w:val="2"/>
      <w:numFmt w:val="decimal"/>
      <w:lvlText w:val="（%1）"/>
      <w:lvlJc w:val="left"/>
      <w:pPr>
        <w:ind w:left="1205"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997" w:hanging="601"/>
      </w:pPr>
      <w:rPr>
        <w:rFonts w:hint="default"/>
        <w:lang w:val="zh-CN" w:eastAsia="zh-CN" w:bidi="zh-CN"/>
      </w:rPr>
    </w:lvl>
    <w:lvl w:ilvl="2">
      <w:start w:val="0"/>
      <w:numFmt w:val="bullet"/>
      <w:lvlText w:val="•"/>
      <w:lvlJc w:val="left"/>
      <w:pPr>
        <w:ind w:left="2795" w:hanging="601"/>
      </w:pPr>
      <w:rPr>
        <w:rFonts w:hint="default"/>
        <w:lang w:val="zh-CN" w:eastAsia="zh-CN" w:bidi="zh-CN"/>
      </w:rPr>
    </w:lvl>
    <w:lvl w:ilvl="3">
      <w:start w:val="0"/>
      <w:numFmt w:val="bullet"/>
      <w:lvlText w:val="•"/>
      <w:lvlJc w:val="left"/>
      <w:pPr>
        <w:ind w:left="3592" w:hanging="601"/>
      </w:pPr>
      <w:rPr>
        <w:rFonts w:hint="default"/>
        <w:lang w:val="zh-CN" w:eastAsia="zh-CN" w:bidi="zh-CN"/>
      </w:rPr>
    </w:lvl>
    <w:lvl w:ilvl="4">
      <w:start w:val="0"/>
      <w:numFmt w:val="bullet"/>
      <w:lvlText w:val="•"/>
      <w:lvlJc w:val="left"/>
      <w:pPr>
        <w:ind w:left="4390" w:hanging="601"/>
      </w:pPr>
      <w:rPr>
        <w:rFonts w:hint="default"/>
        <w:lang w:val="zh-CN" w:eastAsia="zh-CN" w:bidi="zh-CN"/>
      </w:rPr>
    </w:lvl>
    <w:lvl w:ilvl="5">
      <w:start w:val="0"/>
      <w:numFmt w:val="bullet"/>
      <w:lvlText w:val="•"/>
      <w:lvlJc w:val="left"/>
      <w:pPr>
        <w:ind w:left="5188" w:hanging="601"/>
      </w:pPr>
      <w:rPr>
        <w:rFonts w:hint="default"/>
        <w:lang w:val="zh-CN" w:eastAsia="zh-CN" w:bidi="zh-CN"/>
      </w:rPr>
    </w:lvl>
    <w:lvl w:ilvl="6">
      <w:start w:val="0"/>
      <w:numFmt w:val="bullet"/>
      <w:lvlText w:val="•"/>
      <w:lvlJc w:val="left"/>
      <w:pPr>
        <w:ind w:left="5985" w:hanging="601"/>
      </w:pPr>
      <w:rPr>
        <w:rFonts w:hint="default"/>
        <w:lang w:val="zh-CN" w:eastAsia="zh-CN" w:bidi="zh-CN"/>
      </w:rPr>
    </w:lvl>
    <w:lvl w:ilvl="7">
      <w:start w:val="0"/>
      <w:numFmt w:val="bullet"/>
      <w:lvlText w:val="•"/>
      <w:lvlJc w:val="left"/>
      <w:pPr>
        <w:ind w:left="6783" w:hanging="601"/>
      </w:pPr>
      <w:rPr>
        <w:rFonts w:hint="default"/>
        <w:lang w:val="zh-CN" w:eastAsia="zh-CN" w:bidi="zh-CN"/>
      </w:rPr>
    </w:lvl>
    <w:lvl w:ilvl="8">
      <w:start w:val="0"/>
      <w:numFmt w:val="bullet"/>
      <w:lvlText w:val="•"/>
      <w:lvlJc w:val="left"/>
      <w:pPr>
        <w:ind w:left="7580" w:hanging="601"/>
      </w:pPr>
      <w:rPr>
        <w:rFonts w:hint="default"/>
        <w:lang w:val="zh-CN" w:eastAsia="zh-CN" w:bidi="zh-CN"/>
      </w:rPr>
    </w:lvl>
  </w:abstractNum>
  <w:abstractNum w:abstractNumId="15">
    <w:multiLevelType w:val="hybridMultilevel"/>
    <w:lvl w:ilvl="0">
      <w:start w:val="1"/>
      <w:numFmt w:val="decimal"/>
      <w:lvlText w:val="（%1）"/>
      <w:lvlJc w:val="left"/>
      <w:pPr>
        <w:ind w:left="1295"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110" w:hanging="601"/>
      </w:pPr>
      <w:rPr>
        <w:rFonts w:hint="default"/>
        <w:lang w:val="zh-CN" w:eastAsia="zh-CN" w:bidi="zh-CN"/>
      </w:rPr>
    </w:lvl>
    <w:lvl w:ilvl="2">
      <w:start w:val="0"/>
      <w:numFmt w:val="bullet"/>
      <w:lvlText w:val="•"/>
      <w:lvlJc w:val="left"/>
      <w:pPr>
        <w:ind w:left="2921" w:hanging="601"/>
      </w:pPr>
      <w:rPr>
        <w:rFonts w:hint="default"/>
        <w:lang w:val="zh-CN" w:eastAsia="zh-CN" w:bidi="zh-CN"/>
      </w:rPr>
    </w:lvl>
    <w:lvl w:ilvl="3">
      <w:start w:val="0"/>
      <w:numFmt w:val="bullet"/>
      <w:lvlText w:val="•"/>
      <w:lvlJc w:val="left"/>
      <w:pPr>
        <w:ind w:left="3731" w:hanging="601"/>
      </w:pPr>
      <w:rPr>
        <w:rFonts w:hint="default"/>
        <w:lang w:val="zh-CN" w:eastAsia="zh-CN" w:bidi="zh-CN"/>
      </w:rPr>
    </w:lvl>
    <w:lvl w:ilvl="4">
      <w:start w:val="0"/>
      <w:numFmt w:val="bullet"/>
      <w:lvlText w:val="•"/>
      <w:lvlJc w:val="left"/>
      <w:pPr>
        <w:ind w:left="4542" w:hanging="601"/>
      </w:pPr>
      <w:rPr>
        <w:rFonts w:hint="default"/>
        <w:lang w:val="zh-CN" w:eastAsia="zh-CN" w:bidi="zh-CN"/>
      </w:rPr>
    </w:lvl>
    <w:lvl w:ilvl="5">
      <w:start w:val="0"/>
      <w:numFmt w:val="bullet"/>
      <w:lvlText w:val="•"/>
      <w:lvlJc w:val="left"/>
      <w:pPr>
        <w:ind w:left="5353" w:hanging="601"/>
      </w:pPr>
      <w:rPr>
        <w:rFonts w:hint="default"/>
        <w:lang w:val="zh-CN" w:eastAsia="zh-CN" w:bidi="zh-CN"/>
      </w:rPr>
    </w:lvl>
    <w:lvl w:ilvl="6">
      <w:start w:val="0"/>
      <w:numFmt w:val="bullet"/>
      <w:lvlText w:val="•"/>
      <w:lvlJc w:val="left"/>
      <w:pPr>
        <w:ind w:left="6163" w:hanging="601"/>
      </w:pPr>
      <w:rPr>
        <w:rFonts w:hint="default"/>
        <w:lang w:val="zh-CN" w:eastAsia="zh-CN" w:bidi="zh-CN"/>
      </w:rPr>
    </w:lvl>
    <w:lvl w:ilvl="7">
      <w:start w:val="0"/>
      <w:numFmt w:val="bullet"/>
      <w:lvlText w:val="•"/>
      <w:lvlJc w:val="left"/>
      <w:pPr>
        <w:ind w:left="6974" w:hanging="601"/>
      </w:pPr>
      <w:rPr>
        <w:rFonts w:hint="default"/>
        <w:lang w:val="zh-CN" w:eastAsia="zh-CN" w:bidi="zh-CN"/>
      </w:rPr>
    </w:lvl>
    <w:lvl w:ilvl="8">
      <w:start w:val="0"/>
      <w:numFmt w:val="bullet"/>
      <w:lvlText w:val="•"/>
      <w:lvlJc w:val="left"/>
      <w:pPr>
        <w:ind w:left="7785" w:hanging="601"/>
      </w:pPr>
      <w:rPr>
        <w:rFonts w:hint="default"/>
        <w:lang w:val="zh-CN" w:eastAsia="zh-CN" w:bidi="zh-CN"/>
      </w:rPr>
    </w:lvl>
  </w:abstractNum>
  <w:abstractNum w:abstractNumId="14">
    <w:multiLevelType w:val="hybridMultilevel"/>
    <w:lvl w:ilvl="0">
      <w:start w:val="1"/>
      <w:numFmt w:val="decimal"/>
      <w:lvlText w:val="%1）"/>
      <w:lvlJc w:val="left"/>
      <w:pPr>
        <w:ind w:left="1038" w:hanging="36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876" w:hanging="361"/>
      </w:pPr>
      <w:rPr>
        <w:rFonts w:hint="default"/>
        <w:lang w:val="zh-CN" w:eastAsia="zh-CN" w:bidi="zh-CN"/>
      </w:rPr>
    </w:lvl>
    <w:lvl w:ilvl="2">
      <w:start w:val="0"/>
      <w:numFmt w:val="bullet"/>
      <w:lvlText w:val="•"/>
      <w:lvlJc w:val="left"/>
      <w:pPr>
        <w:ind w:left="2713" w:hanging="361"/>
      </w:pPr>
      <w:rPr>
        <w:rFonts w:hint="default"/>
        <w:lang w:val="zh-CN" w:eastAsia="zh-CN" w:bidi="zh-CN"/>
      </w:rPr>
    </w:lvl>
    <w:lvl w:ilvl="3">
      <w:start w:val="0"/>
      <w:numFmt w:val="bullet"/>
      <w:lvlText w:val="•"/>
      <w:lvlJc w:val="left"/>
      <w:pPr>
        <w:ind w:left="3549" w:hanging="361"/>
      </w:pPr>
      <w:rPr>
        <w:rFonts w:hint="default"/>
        <w:lang w:val="zh-CN" w:eastAsia="zh-CN" w:bidi="zh-CN"/>
      </w:rPr>
    </w:lvl>
    <w:lvl w:ilvl="4">
      <w:start w:val="0"/>
      <w:numFmt w:val="bullet"/>
      <w:lvlText w:val="•"/>
      <w:lvlJc w:val="left"/>
      <w:pPr>
        <w:ind w:left="4386" w:hanging="361"/>
      </w:pPr>
      <w:rPr>
        <w:rFonts w:hint="default"/>
        <w:lang w:val="zh-CN" w:eastAsia="zh-CN" w:bidi="zh-CN"/>
      </w:rPr>
    </w:lvl>
    <w:lvl w:ilvl="5">
      <w:start w:val="0"/>
      <w:numFmt w:val="bullet"/>
      <w:lvlText w:val="•"/>
      <w:lvlJc w:val="left"/>
      <w:pPr>
        <w:ind w:left="5223" w:hanging="361"/>
      </w:pPr>
      <w:rPr>
        <w:rFonts w:hint="default"/>
        <w:lang w:val="zh-CN" w:eastAsia="zh-CN" w:bidi="zh-CN"/>
      </w:rPr>
    </w:lvl>
    <w:lvl w:ilvl="6">
      <w:start w:val="0"/>
      <w:numFmt w:val="bullet"/>
      <w:lvlText w:val="•"/>
      <w:lvlJc w:val="left"/>
      <w:pPr>
        <w:ind w:left="6059" w:hanging="361"/>
      </w:pPr>
      <w:rPr>
        <w:rFonts w:hint="default"/>
        <w:lang w:val="zh-CN" w:eastAsia="zh-CN" w:bidi="zh-CN"/>
      </w:rPr>
    </w:lvl>
    <w:lvl w:ilvl="7">
      <w:start w:val="0"/>
      <w:numFmt w:val="bullet"/>
      <w:lvlText w:val="•"/>
      <w:lvlJc w:val="left"/>
      <w:pPr>
        <w:ind w:left="6896" w:hanging="361"/>
      </w:pPr>
      <w:rPr>
        <w:rFonts w:hint="default"/>
        <w:lang w:val="zh-CN" w:eastAsia="zh-CN" w:bidi="zh-CN"/>
      </w:rPr>
    </w:lvl>
    <w:lvl w:ilvl="8">
      <w:start w:val="0"/>
      <w:numFmt w:val="bullet"/>
      <w:lvlText w:val="•"/>
      <w:lvlJc w:val="left"/>
      <w:pPr>
        <w:ind w:left="7733" w:hanging="361"/>
      </w:pPr>
      <w:rPr>
        <w:rFonts w:hint="default"/>
        <w:lang w:val="zh-CN" w:eastAsia="zh-CN" w:bidi="zh-CN"/>
      </w:rPr>
    </w:lvl>
  </w:abstractNum>
  <w:abstractNum w:abstractNumId="13">
    <w:multiLevelType w:val="hybridMultilevel"/>
    <w:lvl w:ilvl="0">
      <w:start w:val="1"/>
      <w:numFmt w:val="decimal"/>
      <w:lvlText w:val="（%1）"/>
      <w:lvlJc w:val="left"/>
      <w:pPr>
        <w:ind w:left="1278"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2092" w:hanging="601"/>
      </w:pPr>
      <w:rPr>
        <w:rFonts w:hint="default"/>
        <w:lang w:val="zh-CN" w:eastAsia="zh-CN" w:bidi="zh-CN"/>
      </w:rPr>
    </w:lvl>
    <w:lvl w:ilvl="2">
      <w:start w:val="0"/>
      <w:numFmt w:val="bullet"/>
      <w:lvlText w:val="•"/>
      <w:lvlJc w:val="left"/>
      <w:pPr>
        <w:ind w:left="2905" w:hanging="601"/>
      </w:pPr>
      <w:rPr>
        <w:rFonts w:hint="default"/>
        <w:lang w:val="zh-CN" w:eastAsia="zh-CN" w:bidi="zh-CN"/>
      </w:rPr>
    </w:lvl>
    <w:lvl w:ilvl="3">
      <w:start w:val="0"/>
      <w:numFmt w:val="bullet"/>
      <w:lvlText w:val="•"/>
      <w:lvlJc w:val="left"/>
      <w:pPr>
        <w:ind w:left="3717" w:hanging="601"/>
      </w:pPr>
      <w:rPr>
        <w:rFonts w:hint="default"/>
        <w:lang w:val="zh-CN" w:eastAsia="zh-CN" w:bidi="zh-CN"/>
      </w:rPr>
    </w:lvl>
    <w:lvl w:ilvl="4">
      <w:start w:val="0"/>
      <w:numFmt w:val="bullet"/>
      <w:lvlText w:val="•"/>
      <w:lvlJc w:val="left"/>
      <w:pPr>
        <w:ind w:left="4530" w:hanging="601"/>
      </w:pPr>
      <w:rPr>
        <w:rFonts w:hint="default"/>
        <w:lang w:val="zh-CN" w:eastAsia="zh-CN" w:bidi="zh-CN"/>
      </w:rPr>
    </w:lvl>
    <w:lvl w:ilvl="5">
      <w:start w:val="0"/>
      <w:numFmt w:val="bullet"/>
      <w:lvlText w:val="•"/>
      <w:lvlJc w:val="left"/>
      <w:pPr>
        <w:ind w:left="5343" w:hanging="601"/>
      </w:pPr>
      <w:rPr>
        <w:rFonts w:hint="default"/>
        <w:lang w:val="zh-CN" w:eastAsia="zh-CN" w:bidi="zh-CN"/>
      </w:rPr>
    </w:lvl>
    <w:lvl w:ilvl="6">
      <w:start w:val="0"/>
      <w:numFmt w:val="bullet"/>
      <w:lvlText w:val="•"/>
      <w:lvlJc w:val="left"/>
      <w:pPr>
        <w:ind w:left="6155" w:hanging="601"/>
      </w:pPr>
      <w:rPr>
        <w:rFonts w:hint="default"/>
        <w:lang w:val="zh-CN" w:eastAsia="zh-CN" w:bidi="zh-CN"/>
      </w:rPr>
    </w:lvl>
    <w:lvl w:ilvl="7">
      <w:start w:val="0"/>
      <w:numFmt w:val="bullet"/>
      <w:lvlText w:val="•"/>
      <w:lvlJc w:val="left"/>
      <w:pPr>
        <w:ind w:left="6968" w:hanging="601"/>
      </w:pPr>
      <w:rPr>
        <w:rFonts w:hint="default"/>
        <w:lang w:val="zh-CN" w:eastAsia="zh-CN" w:bidi="zh-CN"/>
      </w:rPr>
    </w:lvl>
    <w:lvl w:ilvl="8">
      <w:start w:val="0"/>
      <w:numFmt w:val="bullet"/>
      <w:lvlText w:val="•"/>
      <w:lvlJc w:val="left"/>
      <w:pPr>
        <w:ind w:left="7781" w:hanging="601"/>
      </w:pPr>
      <w:rPr>
        <w:rFonts w:hint="default"/>
        <w:lang w:val="zh-CN" w:eastAsia="zh-CN" w:bidi="zh-CN"/>
      </w:rPr>
    </w:lvl>
  </w:abstractNum>
  <w:abstractNum w:abstractNumId="12">
    <w:multiLevelType w:val="hybridMultilevel"/>
    <w:lvl w:ilvl="0">
      <w:start w:val="1"/>
      <w:numFmt w:val="decimal"/>
      <w:lvlText w:val="（%1）"/>
      <w:lvlJc w:val="left"/>
      <w:pPr>
        <w:ind w:left="214" w:hanging="601"/>
        <w:jc w:val="left"/>
      </w:pPr>
      <w:rPr>
        <w:rFonts w:hint="default" w:ascii="宋体" w:hAnsi="宋体" w:eastAsia="宋体" w:cs="宋体"/>
        <w:spacing w:val="-32"/>
        <w:w w:val="100"/>
        <w:sz w:val="22"/>
        <w:szCs w:val="22"/>
        <w:lang w:val="zh-CN" w:eastAsia="zh-CN" w:bidi="zh-CN"/>
      </w:rPr>
    </w:lvl>
    <w:lvl w:ilvl="1">
      <w:start w:val="0"/>
      <w:numFmt w:val="bullet"/>
      <w:lvlText w:val="•"/>
      <w:lvlJc w:val="left"/>
      <w:pPr>
        <w:ind w:left="1138" w:hanging="601"/>
      </w:pPr>
      <w:rPr>
        <w:rFonts w:hint="default"/>
        <w:lang w:val="zh-CN" w:eastAsia="zh-CN" w:bidi="zh-CN"/>
      </w:rPr>
    </w:lvl>
    <w:lvl w:ilvl="2">
      <w:start w:val="0"/>
      <w:numFmt w:val="bullet"/>
      <w:lvlText w:val="•"/>
      <w:lvlJc w:val="left"/>
      <w:pPr>
        <w:ind w:left="2057" w:hanging="601"/>
      </w:pPr>
      <w:rPr>
        <w:rFonts w:hint="default"/>
        <w:lang w:val="zh-CN" w:eastAsia="zh-CN" w:bidi="zh-CN"/>
      </w:rPr>
    </w:lvl>
    <w:lvl w:ilvl="3">
      <w:start w:val="0"/>
      <w:numFmt w:val="bullet"/>
      <w:lvlText w:val="•"/>
      <w:lvlJc w:val="left"/>
      <w:pPr>
        <w:ind w:left="2975" w:hanging="601"/>
      </w:pPr>
      <w:rPr>
        <w:rFonts w:hint="default"/>
        <w:lang w:val="zh-CN" w:eastAsia="zh-CN" w:bidi="zh-CN"/>
      </w:rPr>
    </w:lvl>
    <w:lvl w:ilvl="4">
      <w:start w:val="0"/>
      <w:numFmt w:val="bullet"/>
      <w:lvlText w:val="•"/>
      <w:lvlJc w:val="left"/>
      <w:pPr>
        <w:ind w:left="3894" w:hanging="601"/>
      </w:pPr>
      <w:rPr>
        <w:rFonts w:hint="default"/>
        <w:lang w:val="zh-CN" w:eastAsia="zh-CN" w:bidi="zh-CN"/>
      </w:rPr>
    </w:lvl>
    <w:lvl w:ilvl="5">
      <w:start w:val="0"/>
      <w:numFmt w:val="bullet"/>
      <w:lvlText w:val="•"/>
      <w:lvlJc w:val="left"/>
      <w:pPr>
        <w:ind w:left="4813" w:hanging="601"/>
      </w:pPr>
      <w:rPr>
        <w:rFonts w:hint="default"/>
        <w:lang w:val="zh-CN" w:eastAsia="zh-CN" w:bidi="zh-CN"/>
      </w:rPr>
    </w:lvl>
    <w:lvl w:ilvl="6">
      <w:start w:val="0"/>
      <w:numFmt w:val="bullet"/>
      <w:lvlText w:val="•"/>
      <w:lvlJc w:val="left"/>
      <w:pPr>
        <w:ind w:left="5731" w:hanging="601"/>
      </w:pPr>
      <w:rPr>
        <w:rFonts w:hint="default"/>
        <w:lang w:val="zh-CN" w:eastAsia="zh-CN" w:bidi="zh-CN"/>
      </w:rPr>
    </w:lvl>
    <w:lvl w:ilvl="7">
      <w:start w:val="0"/>
      <w:numFmt w:val="bullet"/>
      <w:lvlText w:val="•"/>
      <w:lvlJc w:val="left"/>
      <w:pPr>
        <w:ind w:left="6650" w:hanging="601"/>
      </w:pPr>
      <w:rPr>
        <w:rFonts w:hint="default"/>
        <w:lang w:val="zh-CN" w:eastAsia="zh-CN" w:bidi="zh-CN"/>
      </w:rPr>
    </w:lvl>
    <w:lvl w:ilvl="8">
      <w:start w:val="0"/>
      <w:numFmt w:val="bullet"/>
      <w:lvlText w:val="•"/>
      <w:lvlJc w:val="left"/>
      <w:pPr>
        <w:ind w:left="7569" w:hanging="601"/>
      </w:pPr>
      <w:rPr>
        <w:rFonts w:hint="default"/>
        <w:lang w:val="zh-CN" w:eastAsia="zh-CN" w:bidi="zh-CN"/>
      </w:rPr>
    </w:lvl>
  </w:abstractNum>
  <w:abstractNum w:abstractNumId="11">
    <w:multiLevelType w:val="hybridMultilevel"/>
    <w:lvl w:ilvl="0">
      <w:start w:val="1"/>
      <w:numFmt w:val="decimal"/>
      <w:lvlText w:val="（%1）"/>
      <w:lvlJc w:val="left"/>
      <w:pPr>
        <w:ind w:left="1295"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401" w:hanging="601"/>
      </w:pPr>
      <w:rPr>
        <w:rFonts w:hint="default"/>
        <w:lang w:val="zh-CN" w:eastAsia="zh-CN" w:bidi="zh-CN"/>
      </w:rPr>
    </w:lvl>
    <w:lvl w:ilvl="2">
      <w:start w:val="0"/>
      <w:numFmt w:val="bullet"/>
      <w:lvlText w:val="•"/>
      <w:lvlJc w:val="left"/>
      <w:pPr>
        <w:ind w:left="1502" w:hanging="601"/>
      </w:pPr>
      <w:rPr>
        <w:rFonts w:hint="default"/>
        <w:lang w:val="zh-CN" w:eastAsia="zh-CN" w:bidi="zh-CN"/>
      </w:rPr>
    </w:lvl>
    <w:lvl w:ilvl="3">
      <w:start w:val="0"/>
      <w:numFmt w:val="bullet"/>
      <w:lvlText w:val="•"/>
      <w:lvlJc w:val="left"/>
      <w:pPr>
        <w:ind w:left="1604" w:hanging="601"/>
      </w:pPr>
      <w:rPr>
        <w:rFonts w:hint="default"/>
        <w:lang w:val="zh-CN" w:eastAsia="zh-CN" w:bidi="zh-CN"/>
      </w:rPr>
    </w:lvl>
    <w:lvl w:ilvl="4">
      <w:start w:val="0"/>
      <w:numFmt w:val="bullet"/>
      <w:lvlText w:val="•"/>
      <w:lvlJc w:val="left"/>
      <w:pPr>
        <w:ind w:left="1705" w:hanging="601"/>
      </w:pPr>
      <w:rPr>
        <w:rFonts w:hint="default"/>
        <w:lang w:val="zh-CN" w:eastAsia="zh-CN" w:bidi="zh-CN"/>
      </w:rPr>
    </w:lvl>
    <w:lvl w:ilvl="5">
      <w:start w:val="0"/>
      <w:numFmt w:val="bullet"/>
      <w:lvlText w:val="•"/>
      <w:lvlJc w:val="left"/>
      <w:pPr>
        <w:ind w:left="1807" w:hanging="601"/>
      </w:pPr>
      <w:rPr>
        <w:rFonts w:hint="default"/>
        <w:lang w:val="zh-CN" w:eastAsia="zh-CN" w:bidi="zh-CN"/>
      </w:rPr>
    </w:lvl>
    <w:lvl w:ilvl="6">
      <w:start w:val="0"/>
      <w:numFmt w:val="bullet"/>
      <w:lvlText w:val="•"/>
      <w:lvlJc w:val="left"/>
      <w:pPr>
        <w:ind w:left="1908" w:hanging="601"/>
      </w:pPr>
      <w:rPr>
        <w:rFonts w:hint="default"/>
        <w:lang w:val="zh-CN" w:eastAsia="zh-CN" w:bidi="zh-CN"/>
      </w:rPr>
    </w:lvl>
    <w:lvl w:ilvl="7">
      <w:start w:val="0"/>
      <w:numFmt w:val="bullet"/>
      <w:lvlText w:val="•"/>
      <w:lvlJc w:val="left"/>
      <w:pPr>
        <w:ind w:left="2010" w:hanging="601"/>
      </w:pPr>
      <w:rPr>
        <w:rFonts w:hint="default"/>
        <w:lang w:val="zh-CN" w:eastAsia="zh-CN" w:bidi="zh-CN"/>
      </w:rPr>
    </w:lvl>
    <w:lvl w:ilvl="8">
      <w:start w:val="0"/>
      <w:numFmt w:val="bullet"/>
      <w:lvlText w:val="•"/>
      <w:lvlJc w:val="left"/>
      <w:pPr>
        <w:ind w:left="2111" w:hanging="601"/>
      </w:pPr>
      <w:rPr>
        <w:rFonts w:hint="default"/>
        <w:lang w:val="zh-CN" w:eastAsia="zh-CN" w:bidi="zh-CN"/>
      </w:rPr>
    </w:lvl>
  </w:abstractNum>
  <w:abstractNum w:abstractNumId="10">
    <w:multiLevelType w:val="hybridMultilevel"/>
    <w:lvl w:ilvl="0">
      <w:start w:val="1"/>
      <w:numFmt w:val="decimal"/>
      <w:lvlText w:val="%1."/>
      <w:lvlJc w:val="left"/>
      <w:pPr>
        <w:ind w:left="212" w:hanging="160"/>
        <w:jc w:val="left"/>
      </w:pPr>
      <w:rPr>
        <w:rFonts w:hint="default" w:ascii="Times New Roman" w:hAnsi="Times New Roman" w:eastAsia="Times New Roman" w:cs="Times New Roman"/>
        <w:w w:val="100"/>
        <w:sz w:val="19"/>
        <w:szCs w:val="19"/>
        <w:lang w:val="zh-CN" w:eastAsia="zh-CN" w:bidi="zh-CN"/>
      </w:rPr>
    </w:lvl>
    <w:lvl w:ilvl="1">
      <w:start w:val="0"/>
      <w:numFmt w:val="bullet"/>
      <w:lvlText w:val="•"/>
      <w:lvlJc w:val="left"/>
      <w:pPr>
        <w:ind w:left="721" w:hanging="160"/>
      </w:pPr>
      <w:rPr>
        <w:rFonts w:hint="default"/>
        <w:lang w:val="zh-CN" w:eastAsia="zh-CN" w:bidi="zh-CN"/>
      </w:rPr>
    </w:lvl>
    <w:lvl w:ilvl="2">
      <w:start w:val="0"/>
      <w:numFmt w:val="bullet"/>
      <w:lvlText w:val="•"/>
      <w:lvlJc w:val="left"/>
      <w:pPr>
        <w:ind w:left="1222" w:hanging="160"/>
      </w:pPr>
      <w:rPr>
        <w:rFonts w:hint="default"/>
        <w:lang w:val="zh-CN" w:eastAsia="zh-CN" w:bidi="zh-CN"/>
      </w:rPr>
    </w:lvl>
    <w:lvl w:ilvl="3">
      <w:start w:val="0"/>
      <w:numFmt w:val="bullet"/>
      <w:lvlText w:val="•"/>
      <w:lvlJc w:val="left"/>
      <w:pPr>
        <w:ind w:left="1723" w:hanging="160"/>
      </w:pPr>
      <w:rPr>
        <w:rFonts w:hint="default"/>
        <w:lang w:val="zh-CN" w:eastAsia="zh-CN" w:bidi="zh-CN"/>
      </w:rPr>
    </w:lvl>
    <w:lvl w:ilvl="4">
      <w:start w:val="0"/>
      <w:numFmt w:val="bullet"/>
      <w:lvlText w:val="•"/>
      <w:lvlJc w:val="left"/>
      <w:pPr>
        <w:ind w:left="2225" w:hanging="160"/>
      </w:pPr>
      <w:rPr>
        <w:rFonts w:hint="default"/>
        <w:lang w:val="zh-CN" w:eastAsia="zh-CN" w:bidi="zh-CN"/>
      </w:rPr>
    </w:lvl>
    <w:lvl w:ilvl="5">
      <w:start w:val="0"/>
      <w:numFmt w:val="bullet"/>
      <w:lvlText w:val="•"/>
      <w:lvlJc w:val="left"/>
      <w:pPr>
        <w:ind w:left="2726" w:hanging="160"/>
      </w:pPr>
      <w:rPr>
        <w:rFonts w:hint="default"/>
        <w:lang w:val="zh-CN" w:eastAsia="zh-CN" w:bidi="zh-CN"/>
      </w:rPr>
    </w:lvl>
    <w:lvl w:ilvl="6">
      <w:start w:val="0"/>
      <w:numFmt w:val="bullet"/>
      <w:lvlText w:val="•"/>
      <w:lvlJc w:val="left"/>
      <w:pPr>
        <w:ind w:left="3227" w:hanging="160"/>
      </w:pPr>
      <w:rPr>
        <w:rFonts w:hint="default"/>
        <w:lang w:val="zh-CN" w:eastAsia="zh-CN" w:bidi="zh-CN"/>
      </w:rPr>
    </w:lvl>
    <w:lvl w:ilvl="7">
      <w:start w:val="0"/>
      <w:numFmt w:val="bullet"/>
      <w:lvlText w:val="•"/>
      <w:lvlJc w:val="left"/>
      <w:pPr>
        <w:ind w:left="3729" w:hanging="160"/>
      </w:pPr>
      <w:rPr>
        <w:rFonts w:hint="default"/>
        <w:lang w:val="zh-CN" w:eastAsia="zh-CN" w:bidi="zh-CN"/>
      </w:rPr>
    </w:lvl>
    <w:lvl w:ilvl="8">
      <w:start w:val="0"/>
      <w:numFmt w:val="bullet"/>
      <w:lvlText w:val="•"/>
      <w:lvlJc w:val="left"/>
      <w:pPr>
        <w:ind w:left="4230" w:hanging="160"/>
      </w:pPr>
      <w:rPr>
        <w:rFonts w:hint="default"/>
        <w:lang w:val="zh-CN" w:eastAsia="zh-CN" w:bidi="zh-CN"/>
      </w:rPr>
    </w:lvl>
  </w:abstractNum>
  <w:abstractNum w:abstractNumId="9">
    <w:multiLevelType w:val="hybridMultilevel"/>
    <w:lvl w:ilvl="0">
      <w:start w:val="8"/>
      <w:numFmt w:val="decimal"/>
      <w:lvlText w:val="%1"/>
      <w:lvlJc w:val="left"/>
      <w:pPr>
        <w:ind w:left="896" w:hanging="387"/>
        <w:jc w:val="left"/>
      </w:pPr>
      <w:rPr>
        <w:rFonts w:hint="default"/>
        <w:lang w:val="zh-CN" w:eastAsia="zh-CN" w:bidi="zh-CN"/>
      </w:rPr>
    </w:lvl>
    <w:lvl w:ilvl="1">
      <w:start w:val="5"/>
      <w:numFmt w:val="decimal"/>
      <w:lvlText w:val="%1-%2"/>
      <w:lvlJc w:val="left"/>
      <w:pPr>
        <w:ind w:left="896" w:hanging="387"/>
        <w:jc w:val="left"/>
      </w:pPr>
      <w:rPr>
        <w:rFonts w:hint="default" w:ascii="Times New Roman" w:hAnsi="Times New Roman" w:eastAsia="Times New Roman" w:cs="Times New Roman"/>
        <w:w w:val="100"/>
        <w:sz w:val="21"/>
        <w:szCs w:val="21"/>
        <w:lang w:val="zh-CN" w:eastAsia="zh-CN" w:bidi="zh-CN"/>
      </w:rPr>
    </w:lvl>
    <w:lvl w:ilvl="2">
      <w:start w:val="1"/>
      <w:numFmt w:val="decimal"/>
      <w:lvlText w:val="（%3）"/>
      <w:lvlJc w:val="left"/>
      <w:pPr>
        <w:ind w:left="1295" w:hanging="601"/>
        <w:jc w:val="left"/>
      </w:pPr>
      <w:rPr>
        <w:rFonts w:hint="default" w:ascii="宋体" w:hAnsi="宋体" w:eastAsia="宋体" w:cs="宋体"/>
        <w:w w:val="100"/>
        <w:sz w:val="22"/>
        <w:szCs w:val="22"/>
        <w:lang w:val="zh-CN" w:eastAsia="zh-CN" w:bidi="zh-CN"/>
      </w:rPr>
    </w:lvl>
    <w:lvl w:ilvl="3">
      <w:start w:val="0"/>
      <w:numFmt w:val="bullet"/>
      <w:lvlText w:val="•"/>
      <w:lvlJc w:val="left"/>
      <w:pPr>
        <w:ind w:left="1414" w:hanging="601"/>
      </w:pPr>
      <w:rPr>
        <w:rFonts w:hint="default"/>
        <w:lang w:val="zh-CN" w:eastAsia="zh-CN" w:bidi="zh-CN"/>
      </w:rPr>
    </w:lvl>
    <w:lvl w:ilvl="4">
      <w:start w:val="0"/>
      <w:numFmt w:val="bullet"/>
      <w:lvlText w:val="•"/>
      <w:lvlJc w:val="left"/>
      <w:pPr>
        <w:ind w:left="1471" w:hanging="601"/>
      </w:pPr>
      <w:rPr>
        <w:rFonts w:hint="default"/>
        <w:lang w:val="zh-CN" w:eastAsia="zh-CN" w:bidi="zh-CN"/>
      </w:rPr>
    </w:lvl>
    <w:lvl w:ilvl="5">
      <w:start w:val="0"/>
      <w:numFmt w:val="bullet"/>
      <w:lvlText w:val="•"/>
      <w:lvlJc w:val="left"/>
      <w:pPr>
        <w:ind w:left="1528" w:hanging="601"/>
      </w:pPr>
      <w:rPr>
        <w:rFonts w:hint="default"/>
        <w:lang w:val="zh-CN" w:eastAsia="zh-CN" w:bidi="zh-CN"/>
      </w:rPr>
    </w:lvl>
    <w:lvl w:ilvl="6">
      <w:start w:val="0"/>
      <w:numFmt w:val="bullet"/>
      <w:lvlText w:val="•"/>
      <w:lvlJc w:val="left"/>
      <w:pPr>
        <w:ind w:left="1585" w:hanging="601"/>
      </w:pPr>
      <w:rPr>
        <w:rFonts w:hint="default"/>
        <w:lang w:val="zh-CN" w:eastAsia="zh-CN" w:bidi="zh-CN"/>
      </w:rPr>
    </w:lvl>
    <w:lvl w:ilvl="7">
      <w:start w:val="0"/>
      <w:numFmt w:val="bullet"/>
      <w:lvlText w:val="•"/>
      <w:lvlJc w:val="left"/>
      <w:pPr>
        <w:ind w:left="1642" w:hanging="601"/>
      </w:pPr>
      <w:rPr>
        <w:rFonts w:hint="default"/>
        <w:lang w:val="zh-CN" w:eastAsia="zh-CN" w:bidi="zh-CN"/>
      </w:rPr>
    </w:lvl>
    <w:lvl w:ilvl="8">
      <w:start w:val="0"/>
      <w:numFmt w:val="bullet"/>
      <w:lvlText w:val="•"/>
      <w:lvlJc w:val="left"/>
      <w:pPr>
        <w:ind w:left="1700" w:hanging="601"/>
      </w:pPr>
      <w:rPr>
        <w:rFonts w:hint="default"/>
        <w:lang w:val="zh-CN" w:eastAsia="zh-CN" w:bidi="zh-CN"/>
      </w:rPr>
    </w:lvl>
  </w:abstractNum>
  <w:abstractNum w:abstractNumId="8">
    <w:multiLevelType w:val="hybridMultilevel"/>
    <w:lvl w:ilvl="0">
      <w:start w:val="1"/>
      <w:numFmt w:val="decimal"/>
      <w:lvlText w:val="（%1）"/>
      <w:lvlJc w:val="left"/>
      <w:pPr>
        <w:ind w:left="1160" w:hanging="589"/>
        <w:jc w:val="left"/>
      </w:pPr>
      <w:rPr>
        <w:rFonts w:hint="default" w:ascii="宋体" w:hAnsi="宋体" w:eastAsia="宋体" w:cs="宋体"/>
        <w:spacing w:val="-10"/>
        <w:w w:val="100"/>
        <w:sz w:val="22"/>
        <w:szCs w:val="22"/>
        <w:lang w:val="zh-CN" w:eastAsia="zh-CN" w:bidi="zh-CN"/>
      </w:rPr>
    </w:lvl>
    <w:lvl w:ilvl="1">
      <w:start w:val="0"/>
      <w:numFmt w:val="bullet"/>
      <w:lvlText w:val="•"/>
      <w:lvlJc w:val="left"/>
      <w:pPr>
        <w:ind w:left="1950" w:hanging="589"/>
      </w:pPr>
      <w:rPr>
        <w:rFonts w:hint="default"/>
        <w:lang w:val="zh-CN" w:eastAsia="zh-CN" w:bidi="zh-CN"/>
      </w:rPr>
    </w:lvl>
    <w:lvl w:ilvl="2">
      <w:start w:val="0"/>
      <w:numFmt w:val="bullet"/>
      <w:lvlText w:val="•"/>
      <w:lvlJc w:val="left"/>
      <w:pPr>
        <w:ind w:left="2741" w:hanging="589"/>
      </w:pPr>
      <w:rPr>
        <w:rFonts w:hint="default"/>
        <w:lang w:val="zh-CN" w:eastAsia="zh-CN" w:bidi="zh-CN"/>
      </w:rPr>
    </w:lvl>
    <w:lvl w:ilvl="3">
      <w:start w:val="0"/>
      <w:numFmt w:val="bullet"/>
      <w:lvlText w:val="•"/>
      <w:lvlJc w:val="left"/>
      <w:pPr>
        <w:ind w:left="3532" w:hanging="589"/>
      </w:pPr>
      <w:rPr>
        <w:rFonts w:hint="default"/>
        <w:lang w:val="zh-CN" w:eastAsia="zh-CN" w:bidi="zh-CN"/>
      </w:rPr>
    </w:lvl>
    <w:lvl w:ilvl="4">
      <w:start w:val="0"/>
      <w:numFmt w:val="bullet"/>
      <w:lvlText w:val="•"/>
      <w:lvlJc w:val="left"/>
      <w:pPr>
        <w:ind w:left="4322" w:hanging="589"/>
      </w:pPr>
      <w:rPr>
        <w:rFonts w:hint="default"/>
        <w:lang w:val="zh-CN" w:eastAsia="zh-CN" w:bidi="zh-CN"/>
      </w:rPr>
    </w:lvl>
    <w:lvl w:ilvl="5">
      <w:start w:val="0"/>
      <w:numFmt w:val="bullet"/>
      <w:lvlText w:val="•"/>
      <w:lvlJc w:val="left"/>
      <w:pPr>
        <w:ind w:left="5113" w:hanging="589"/>
      </w:pPr>
      <w:rPr>
        <w:rFonts w:hint="default"/>
        <w:lang w:val="zh-CN" w:eastAsia="zh-CN" w:bidi="zh-CN"/>
      </w:rPr>
    </w:lvl>
    <w:lvl w:ilvl="6">
      <w:start w:val="0"/>
      <w:numFmt w:val="bullet"/>
      <w:lvlText w:val="•"/>
      <w:lvlJc w:val="left"/>
      <w:pPr>
        <w:ind w:left="5904" w:hanging="589"/>
      </w:pPr>
      <w:rPr>
        <w:rFonts w:hint="default"/>
        <w:lang w:val="zh-CN" w:eastAsia="zh-CN" w:bidi="zh-CN"/>
      </w:rPr>
    </w:lvl>
    <w:lvl w:ilvl="7">
      <w:start w:val="0"/>
      <w:numFmt w:val="bullet"/>
      <w:lvlText w:val="•"/>
      <w:lvlJc w:val="left"/>
      <w:pPr>
        <w:ind w:left="6694" w:hanging="589"/>
      </w:pPr>
      <w:rPr>
        <w:rFonts w:hint="default"/>
        <w:lang w:val="zh-CN" w:eastAsia="zh-CN" w:bidi="zh-CN"/>
      </w:rPr>
    </w:lvl>
    <w:lvl w:ilvl="8">
      <w:start w:val="0"/>
      <w:numFmt w:val="bullet"/>
      <w:lvlText w:val="•"/>
      <w:lvlJc w:val="left"/>
      <w:pPr>
        <w:ind w:left="7485" w:hanging="589"/>
      </w:pPr>
      <w:rPr>
        <w:rFonts w:hint="default"/>
        <w:lang w:val="zh-CN" w:eastAsia="zh-CN" w:bidi="zh-CN"/>
      </w:rPr>
    </w:lvl>
  </w:abstractNum>
  <w:abstractNum w:abstractNumId="7">
    <w:multiLevelType w:val="hybridMultilevel"/>
    <w:lvl w:ilvl="0">
      <w:start w:val="1"/>
      <w:numFmt w:val="decimal"/>
      <w:lvlText w:val="（%1）"/>
      <w:lvlJc w:val="left"/>
      <w:pPr>
        <w:ind w:left="107" w:hanging="589"/>
        <w:jc w:val="left"/>
      </w:pPr>
      <w:rPr>
        <w:rFonts w:hint="default" w:ascii="宋体" w:hAnsi="宋体" w:eastAsia="宋体" w:cs="宋体"/>
        <w:spacing w:val="-34"/>
        <w:w w:val="100"/>
        <w:sz w:val="22"/>
        <w:szCs w:val="22"/>
        <w:lang w:val="zh-CN" w:eastAsia="zh-CN" w:bidi="zh-CN"/>
      </w:rPr>
    </w:lvl>
    <w:lvl w:ilvl="1">
      <w:start w:val="0"/>
      <w:numFmt w:val="bullet"/>
      <w:lvlText w:val="•"/>
      <w:lvlJc w:val="left"/>
      <w:pPr>
        <w:ind w:left="996" w:hanging="589"/>
      </w:pPr>
      <w:rPr>
        <w:rFonts w:hint="default"/>
        <w:lang w:val="zh-CN" w:eastAsia="zh-CN" w:bidi="zh-CN"/>
      </w:rPr>
    </w:lvl>
    <w:lvl w:ilvl="2">
      <w:start w:val="0"/>
      <w:numFmt w:val="bullet"/>
      <w:lvlText w:val="•"/>
      <w:lvlJc w:val="left"/>
      <w:pPr>
        <w:ind w:left="1893" w:hanging="589"/>
      </w:pPr>
      <w:rPr>
        <w:rFonts w:hint="default"/>
        <w:lang w:val="zh-CN" w:eastAsia="zh-CN" w:bidi="zh-CN"/>
      </w:rPr>
    </w:lvl>
    <w:lvl w:ilvl="3">
      <w:start w:val="0"/>
      <w:numFmt w:val="bullet"/>
      <w:lvlText w:val="•"/>
      <w:lvlJc w:val="left"/>
      <w:pPr>
        <w:ind w:left="2790" w:hanging="589"/>
      </w:pPr>
      <w:rPr>
        <w:rFonts w:hint="default"/>
        <w:lang w:val="zh-CN" w:eastAsia="zh-CN" w:bidi="zh-CN"/>
      </w:rPr>
    </w:lvl>
    <w:lvl w:ilvl="4">
      <w:start w:val="0"/>
      <w:numFmt w:val="bullet"/>
      <w:lvlText w:val="•"/>
      <w:lvlJc w:val="left"/>
      <w:pPr>
        <w:ind w:left="3686" w:hanging="589"/>
      </w:pPr>
      <w:rPr>
        <w:rFonts w:hint="default"/>
        <w:lang w:val="zh-CN" w:eastAsia="zh-CN" w:bidi="zh-CN"/>
      </w:rPr>
    </w:lvl>
    <w:lvl w:ilvl="5">
      <w:start w:val="0"/>
      <w:numFmt w:val="bullet"/>
      <w:lvlText w:val="•"/>
      <w:lvlJc w:val="left"/>
      <w:pPr>
        <w:ind w:left="4583" w:hanging="589"/>
      </w:pPr>
      <w:rPr>
        <w:rFonts w:hint="default"/>
        <w:lang w:val="zh-CN" w:eastAsia="zh-CN" w:bidi="zh-CN"/>
      </w:rPr>
    </w:lvl>
    <w:lvl w:ilvl="6">
      <w:start w:val="0"/>
      <w:numFmt w:val="bullet"/>
      <w:lvlText w:val="•"/>
      <w:lvlJc w:val="left"/>
      <w:pPr>
        <w:ind w:left="5480" w:hanging="589"/>
      </w:pPr>
      <w:rPr>
        <w:rFonts w:hint="default"/>
        <w:lang w:val="zh-CN" w:eastAsia="zh-CN" w:bidi="zh-CN"/>
      </w:rPr>
    </w:lvl>
    <w:lvl w:ilvl="7">
      <w:start w:val="0"/>
      <w:numFmt w:val="bullet"/>
      <w:lvlText w:val="•"/>
      <w:lvlJc w:val="left"/>
      <w:pPr>
        <w:ind w:left="6376" w:hanging="589"/>
      </w:pPr>
      <w:rPr>
        <w:rFonts w:hint="default"/>
        <w:lang w:val="zh-CN" w:eastAsia="zh-CN" w:bidi="zh-CN"/>
      </w:rPr>
    </w:lvl>
    <w:lvl w:ilvl="8">
      <w:start w:val="0"/>
      <w:numFmt w:val="bullet"/>
      <w:lvlText w:val="•"/>
      <w:lvlJc w:val="left"/>
      <w:pPr>
        <w:ind w:left="7273" w:hanging="589"/>
      </w:pPr>
      <w:rPr>
        <w:rFonts w:hint="default"/>
        <w:lang w:val="zh-CN" w:eastAsia="zh-CN" w:bidi="zh-CN"/>
      </w:rPr>
    </w:lvl>
  </w:abstractNum>
  <w:abstractNum w:abstractNumId="6">
    <w:multiLevelType w:val="hybridMultilevel"/>
    <w:lvl w:ilvl="0">
      <w:start w:val="1"/>
      <w:numFmt w:val="decimal"/>
      <w:lvlText w:val="（%1）"/>
      <w:lvlJc w:val="left"/>
      <w:pPr>
        <w:ind w:left="709" w:hanging="601"/>
        <w:jc w:val="left"/>
      </w:pPr>
      <w:rPr>
        <w:rFonts w:hint="default" w:ascii="宋体" w:hAnsi="宋体" w:eastAsia="宋体" w:cs="宋体"/>
        <w:w w:val="100"/>
        <w:sz w:val="22"/>
        <w:szCs w:val="22"/>
        <w:lang w:val="zh-CN" w:eastAsia="zh-CN" w:bidi="zh-CN"/>
      </w:rPr>
    </w:lvl>
    <w:lvl w:ilvl="1">
      <w:start w:val="0"/>
      <w:numFmt w:val="bullet"/>
      <w:lvlText w:val="•"/>
      <w:lvlJc w:val="left"/>
      <w:pPr>
        <w:ind w:left="1435" w:hanging="601"/>
      </w:pPr>
      <w:rPr>
        <w:rFonts w:hint="default"/>
        <w:lang w:val="zh-CN" w:eastAsia="zh-CN" w:bidi="zh-CN"/>
      </w:rPr>
    </w:lvl>
    <w:lvl w:ilvl="2">
      <w:start w:val="0"/>
      <w:numFmt w:val="bullet"/>
      <w:lvlText w:val="•"/>
      <w:lvlJc w:val="left"/>
      <w:pPr>
        <w:ind w:left="2170" w:hanging="601"/>
      </w:pPr>
      <w:rPr>
        <w:rFonts w:hint="default"/>
        <w:lang w:val="zh-CN" w:eastAsia="zh-CN" w:bidi="zh-CN"/>
      </w:rPr>
    </w:lvl>
    <w:lvl w:ilvl="3">
      <w:start w:val="0"/>
      <w:numFmt w:val="bullet"/>
      <w:lvlText w:val="•"/>
      <w:lvlJc w:val="left"/>
      <w:pPr>
        <w:ind w:left="2905" w:hanging="601"/>
      </w:pPr>
      <w:rPr>
        <w:rFonts w:hint="default"/>
        <w:lang w:val="zh-CN" w:eastAsia="zh-CN" w:bidi="zh-CN"/>
      </w:rPr>
    </w:lvl>
    <w:lvl w:ilvl="4">
      <w:start w:val="0"/>
      <w:numFmt w:val="bullet"/>
      <w:lvlText w:val="•"/>
      <w:lvlJc w:val="left"/>
      <w:pPr>
        <w:ind w:left="3640" w:hanging="601"/>
      </w:pPr>
      <w:rPr>
        <w:rFonts w:hint="default"/>
        <w:lang w:val="zh-CN" w:eastAsia="zh-CN" w:bidi="zh-CN"/>
      </w:rPr>
    </w:lvl>
    <w:lvl w:ilvl="5">
      <w:start w:val="0"/>
      <w:numFmt w:val="bullet"/>
      <w:lvlText w:val="•"/>
      <w:lvlJc w:val="left"/>
      <w:pPr>
        <w:ind w:left="4375" w:hanging="601"/>
      </w:pPr>
      <w:rPr>
        <w:rFonts w:hint="default"/>
        <w:lang w:val="zh-CN" w:eastAsia="zh-CN" w:bidi="zh-CN"/>
      </w:rPr>
    </w:lvl>
    <w:lvl w:ilvl="6">
      <w:start w:val="0"/>
      <w:numFmt w:val="bullet"/>
      <w:lvlText w:val="•"/>
      <w:lvlJc w:val="left"/>
      <w:pPr>
        <w:ind w:left="5110" w:hanging="601"/>
      </w:pPr>
      <w:rPr>
        <w:rFonts w:hint="default"/>
        <w:lang w:val="zh-CN" w:eastAsia="zh-CN" w:bidi="zh-CN"/>
      </w:rPr>
    </w:lvl>
    <w:lvl w:ilvl="7">
      <w:start w:val="0"/>
      <w:numFmt w:val="bullet"/>
      <w:lvlText w:val="•"/>
      <w:lvlJc w:val="left"/>
      <w:pPr>
        <w:ind w:left="5845" w:hanging="601"/>
      </w:pPr>
      <w:rPr>
        <w:rFonts w:hint="default"/>
        <w:lang w:val="zh-CN" w:eastAsia="zh-CN" w:bidi="zh-CN"/>
      </w:rPr>
    </w:lvl>
    <w:lvl w:ilvl="8">
      <w:start w:val="0"/>
      <w:numFmt w:val="bullet"/>
      <w:lvlText w:val="•"/>
      <w:lvlJc w:val="left"/>
      <w:pPr>
        <w:ind w:left="6580" w:hanging="601"/>
      </w:pPr>
      <w:rPr>
        <w:rFonts w:hint="default"/>
        <w:lang w:val="zh-CN" w:eastAsia="zh-CN" w:bidi="zh-CN"/>
      </w:rPr>
    </w:lvl>
  </w:abstractNum>
  <w:abstractNum w:abstractNumId="5">
    <w:multiLevelType w:val="hybridMultilevel"/>
    <w:lvl w:ilvl="0">
      <w:start w:val="5"/>
      <w:numFmt w:val="decimal"/>
      <w:lvlText w:val="（%1）"/>
      <w:lvlJc w:val="left"/>
      <w:pPr>
        <w:ind w:left="709" w:hanging="60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1435" w:hanging="601"/>
      </w:pPr>
      <w:rPr>
        <w:rFonts w:hint="default"/>
        <w:lang w:val="zh-CN" w:eastAsia="zh-CN" w:bidi="zh-CN"/>
      </w:rPr>
    </w:lvl>
    <w:lvl w:ilvl="2">
      <w:start w:val="0"/>
      <w:numFmt w:val="bullet"/>
      <w:lvlText w:val="•"/>
      <w:lvlJc w:val="left"/>
      <w:pPr>
        <w:ind w:left="2170" w:hanging="601"/>
      </w:pPr>
      <w:rPr>
        <w:rFonts w:hint="default"/>
        <w:lang w:val="zh-CN" w:eastAsia="zh-CN" w:bidi="zh-CN"/>
      </w:rPr>
    </w:lvl>
    <w:lvl w:ilvl="3">
      <w:start w:val="0"/>
      <w:numFmt w:val="bullet"/>
      <w:lvlText w:val="•"/>
      <w:lvlJc w:val="left"/>
      <w:pPr>
        <w:ind w:left="2905" w:hanging="601"/>
      </w:pPr>
      <w:rPr>
        <w:rFonts w:hint="default"/>
        <w:lang w:val="zh-CN" w:eastAsia="zh-CN" w:bidi="zh-CN"/>
      </w:rPr>
    </w:lvl>
    <w:lvl w:ilvl="4">
      <w:start w:val="0"/>
      <w:numFmt w:val="bullet"/>
      <w:lvlText w:val="•"/>
      <w:lvlJc w:val="left"/>
      <w:pPr>
        <w:ind w:left="3640" w:hanging="601"/>
      </w:pPr>
      <w:rPr>
        <w:rFonts w:hint="default"/>
        <w:lang w:val="zh-CN" w:eastAsia="zh-CN" w:bidi="zh-CN"/>
      </w:rPr>
    </w:lvl>
    <w:lvl w:ilvl="5">
      <w:start w:val="0"/>
      <w:numFmt w:val="bullet"/>
      <w:lvlText w:val="•"/>
      <w:lvlJc w:val="left"/>
      <w:pPr>
        <w:ind w:left="4375" w:hanging="601"/>
      </w:pPr>
      <w:rPr>
        <w:rFonts w:hint="default"/>
        <w:lang w:val="zh-CN" w:eastAsia="zh-CN" w:bidi="zh-CN"/>
      </w:rPr>
    </w:lvl>
    <w:lvl w:ilvl="6">
      <w:start w:val="0"/>
      <w:numFmt w:val="bullet"/>
      <w:lvlText w:val="•"/>
      <w:lvlJc w:val="left"/>
      <w:pPr>
        <w:ind w:left="5110" w:hanging="601"/>
      </w:pPr>
      <w:rPr>
        <w:rFonts w:hint="default"/>
        <w:lang w:val="zh-CN" w:eastAsia="zh-CN" w:bidi="zh-CN"/>
      </w:rPr>
    </w:lvl>
    <w:lvl w:ilvl="7">
      <w:start w:val="0"/>
      <w:numFmt w:val="bullet"/>
      <w:lvlText w:val="•"/>
      <w:lvlJc w:val="left"/>
      <w:pPr>
        <w:ind w:left="5845" w:hanging="601"/>
      </w:pPr>
      <w:rPr>
        <w:rFonts w:hint="default"/>
        <w:lang w:val="zh-CN" w:eastAsia="zh-CN" w:bidi="zh-CN"/>
      </w:rPr>
    </w:lvl>
    <w:lvl w:ilvl="8">
      <w:start w:val="0"/>
      <w:numFmt w:val="bullet"/>
      <w:lvlText w:val="•"/>
      <w:lvlJc w:val="left"/>
      <w:pPr>
        <w:ind w:left="6580" w:hanging="601"/>
      </w:pPr>
      <w:rPr>
        <w:rFonts w:hint="default"/>
        <w:lang w:val="zh-CN" w:eastAsia="zh-CN" w:bidi="zh-CN"/>
      </w:rPr>
    </w:lvl>
  </w:abstractNum>
  <w:abstractNum w:abstractNumId="4">
    <w:multiLevelType w:val="hybridMultilevel"/>
    <w:lvl w:ilvl="0">
      <w:start w:val="1"/>
      <w:numFmt w:val="decimal"/>
      <w:lvlText w:val="（%1）"/>
      <w:lvlJc w:val="left"/>
      <w:pPr>
        <w:ind w:left="709" w:hanging="60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1435" w:hanging="601"/>
      </w:pPr>
      <w:rPr>
        <w:rFonts w:hint="default"/>
        <w:lang w:val="zh-CN" w:eastAsia="zh-CN" w:bidi="zh-CN"/>
      </w:rPr>
    </w:lvl>
    <w:lvl w:ilvl="2">
      <w:start w:val="0"/>
      <w:numFmt w:val="bullet"/>
      <w:lvlText w:val="•"/>
      <w:lvlJc w:val="left"/>
      <w:pPr>
        <w:ind w:left="2170" w:hanging="601"/>
      </w:pPr>
      <w:rPr>
        <w:rFonts w:hint="default"/>
        <w:lang w:val="zh-CN" w:eastAsia="zh-CN" w:bidi="zh-CN"/>
      </w:rPr>
    </w:lvl>
    <w:lvl w:ilvl="3">
      <w:start w:val="0"/>
      <w:numFmt w:val="bullet"/>
      <w:lvlText w:val="•"/>
      <w:lvlJc w:val="left"/>
      <w:pPr>
        <w:ind w:left="2905" w:hanging="601"/>
      </w:pPr>
      <w:rPr>
        <w:rFonts w:hint="default"/>
        <w:lang w:val="zh-CN" w:eastAsia="zh-CN" w:bidi="zh-CN"/>
      </w:rPr>
    </w:lvl>
    <w:lvl w:ilvl="4">
      <w:start w:val="0"/>
      <w:numFmt w:val="bullet"/>
      <w:lvlText w:val="•"/>
      <w:lvlJc w:val="left"/>
      <w:pPr>
        <w:ind w:left="3640" w:hanging="601"/>
      </w:pPr>
      <w:rPr>
        <w:rFonts w:hint="default"/>
        <w:lang w:val="zh-CN" w:eastAsia="zh-CN" w:bidi="zh-CN"/>
      </w:rPr>
    </w:lvl>
    <w:lvl w:ilvl="5">
      <w:start w:val="0"/>
      <w:numFmt w:val="bullet"/>
      <w:lvlText w:val="•"/>
      <w:lvlJc w:val="left"/>
      <w:pPr>
        <w:ind w:left="4375" w:hanging="601"/>
      </w:pPr>
      <w:rPr>
        <w:rFonts w:hint="default"/>
        <w:lang w:val="zh-CN" w:eastAsia="zh-CN" w:bidi="zh-CN"/>
      </w:rPr>
    </w:lvl>
    <w:lvl w:ilvl="6">
      <w:start w:val="0"/>
      <w:numFmt w:val="bullet"/>
      <w:lvlText w:val="•"/>
      <w:lvlJc w:val="left"/>
      <w:pPr>
        <w:ind w:left="5110" w:hanging="601"/>
      </w:pPr>
      <w:rPr>
        <w:rFonts w:hint="default"/>
        <w:lang w:val="zh-CN" w:eastAsia="zh-CN" w:bidi="zh-CN"/>
      </w:rPr>
    </w:lvl>
    <w:lvl w:ilvl="7">
      <w:start w:val="0"/>
      <w:numFmt w:val="bullet"/>
      <w:lvlText w:val="•"/>
      <w:lvlJc w:val="left"/>
      <w:pPr>
        <w:ind w:left="5845" w:hanging="601"/>
      </w:pPr>
      <w:rPr>
        <w:rFonts w:hint="default"/>
        <w:lang w:val="zh-CN" w:eastAsia="zh-CN" w:bidi="zh-CN"/>
      </w:rPr>
    </w:lvl>
    <w:lvl w:ilvl="8">
      <w:start w:val="0"/>
      <w:numFmt w:val="bullet"/>
      <w:lvlText w:val="•"/>
      <w:lvlJc w:val="left"/>
      <w:pPr>
        <w:ind w:left="6580" w:hanging="601"/>
      </w:pPr>
      <w:rPr>
        <w:rFonts w:hint="default"/>
        <w:lang w:val="zh-CN" w:eastAsia="zh-CN" w:bidi="zh-CN"/>
      </w:rPr>
    </w:lvl>
  </w:abstractNum>
  <w:abstractNum w:abstractNumId="3">
    <w:multiLevelType w:val="hybridMultilevel"/>
    <w:lvl w:ilvl="0">
      <w:start w:val="2"/>
      <w:numFmt w:val="decimal"/>
      <w:lvlText w:val="%1."/>
      <w:lvlJc w:val="left"/>
      <w:pPr>
        <w:ind w:left="377" w:hanging="167"/>
        <w:jc w:val="left"/>
      </w:pPr>
      <w:rPr>
        <w:rFonts w:hint="default" w:ascii="Times New Roman" w:hAnsi="Times New Roman" w:eastAsia="Times New Roman" w:cs="Times New Roman"/>
        <w:w w:val="100"/>
        <w:sz w:val="20"/>
        <w:szCs w:val="20"/>
        <w:lang w:val="zh-CN" w:eastAsia="zh-CN" w:bidi="zh-CN"/>
      </w:rPr>
    </w:lvl>
    <w:lvl w:ilvl="1">
      <w:start w:val="1"/>
      <w:numFmt w:val="decimal"/>
      <w:lvlText w:val="（%2）"/>
      <w:lvlJc w:val="left"/>
      <w:pPr>
        <w:ind w:left="1282" w:hanging="601"/>
        <w:jc w:val="left"/>
      </w:pPr>
      <w:rPr>
        <w:rFonts w:hint="default" w:ascii="宋体" w:hAnsi="宋体" w:eastAsia="宋体" w:cs="宋体"/>
        <w:spacing w:val="-29"/>
        <w:w w:val="100"/>
        <w:sz w:val="22"/>
        <w:szCs w:val="22"/>
        <w:lang w:val="zh-CN" w:eastAsia="zh-CN" w:bidi="zh-CN"/>
      </w:rPr>
    </w:lvl>
    <w:lvl w:ilvl="2">
      <w:start w:val="0"/>
      <w:numFmt w:val="bullet"/>
      <w:lvlText w:val="•"/>
      <w:lvlJc w:val="left"/>
      <w:pPr>
        <w:ind w:left="2182" w:hanging="601"/>
      </w:pPr>
      <w:rPr>
        <w:rFonts w:hint="default"/>
        <w:lang w:val="zh-CN" w:eastAsia="zh-CN" w:bidi="zh-CN"/>
      </w:rPr>
    </w:lvl>
    <w:lvl w:ilvl="3">
      <w:start w:val="0"/>
      <w:numFmt w:val="bullet"/>
      <w:lvlText w:val="•"/>
      <w:lvlJc w:val="left"/>
      <w:pPr>
        <w:ind w:left="3085" w:hanging="601"/>
      </w:pPr>
      <w:rPr>
        <w:rFonts w:hint="default"/>
        <w:lang w:val="zh-CN" w:eastAsia="zh-CN" w:bidi="zh-CN"/>
      </w:rPr>
    </w:lvl>
    <w:lvl w:ilvl="4">
      <w:start w:val="0"/>
      <w:numFmt w:val="bullet"/>
      <w:lvlText w:val="•"/>
      <w:lvlJc w:val="left"/>
      <w:pPr>
        <w:ind w:left="3988" w:hanging="601"/>
      </w:pPr>
      <w:rPr>
        <w:rFonts w:hint="default"/>
        <w:lang w:val="zh-CN" w:eastAsia="zh-CN" w:bidi="zh-CN"/>
      </w:rPr>
    </w:lvl>
    <w:lvl w:ilvl="5">
      <w:start w:val="0"/>
      <w:numFmt w:val="bullet"/>
      <w:lvlText w:val="•"/>
      <w:lvlJc w:val="left"/>
      <w:pPr>
        <w:ind w:left="4891" w:hanging="601"/>
      </w:pPr>
      <w:rPr>
        <w:rFonts w:hint="default"/>
        <w:lang w:val="zh-CN" w:eastAsia="zh-CN" w:bidi="zh-CN"/>
      </w:rPr>
    </w:lvl>
    <w:lvl w:ilvl="6">
      <w:start w:val="0"/>
      <w:numFmt w:val="bullet"/>
      <w:lvlText w:val="•"/>
      <w:lvlJc w:val="left"/>
      <w:pPr>
        <w:ind w:left="5794" w:hanging="601"/>
      </w:pPr>
      <w:rPr>
        <w:rFonts w:hint="default"/>
        <w:lang w:val="zh-CN" w:eastAsia="zh-CN" w:bidi="zh-CN"/>
      </w:rPr>
    </w:lvl>
    <w:lvl w:ilvl="7">
      <w:start w:val="0"/>
      <w:numFmt w:val="bullet"/>
      <w:lvlText w:val="•"/>
      <w:lvlJc w:val="left"/>
      <w:pPr>
        <w:ind w:left="6697" w:hanging="601"/>
      </w:pPr>
      <w:rPr>
        <w:rFonts w:hint="default"/>
        <w:lang w:val="zh-CN" w:eastAsia="zh-CN" w:bidi="zh-CN"/>
      </w:rPr>
    </w:lvl>
    <w:lvl w:ilvl="8">
      <w:start w:val="0"/>
      <w:numFmt w:val="bullet"/>
      <w:lvlText w:val="•"/>
      <w:lvlJc w:val="left"/>
      <w:pPr>
        <w:ind w:left="7600" w:hanging="601"/>
      </w:pPr>
      <w:rPr>
        <w:rFonts w:hint="default"/>
        <w:lang w:val="zh-CN" w:eastAsia="zh-CN" w:bidi="zh-CN"/>
      </w:rPr>
    </w:lvl>
  </w:abstractNum>
  <w:abstractNum w:abstractNumId="2">
    <w:multiLevelType w:val="hybridMultilevel"/>
    <w:lvl w:ilvl="0">
      <w:start w:val="1"/>
      <w:numFmt w:val="decimal"/>
      <w:lvlText w:val="（%1）"/>
      <w:lvlJc w:val="left"/>
      <w:pPr>
        <w:ind w:left="107" w:hanging="601"/>
        <w:jc w:val="left"/>
      </w:pPr>
      <w:rPr>
        <w:rFonts w:hint="default" w:ascii="宋体" w:hAnsi="宋体" w:eastAsia="宋体" w:cs="宋体"/>
        <w:spacing w:val="-72"/>
        <w:w w:val="100"/>
        <w:sz w:val="22"/>
        <w:szCs w:val="22"/>
        <w:lang w:val="zh-CN" w:eastAsia="zh-CN" w:bidi="zh-CN"/>
      </w:rPr>
    </w:lvl>
    <w:lvl w:ilvl="1">
      <w:start w:val="0"/>
      <w:numFmt w:val="bullet"/>
      <w:lvlText w:val="•"/>
      <w:lvlJc w:val="left"/>
      <w:pPr>
        <w:ind w:left="996" w:hanging="601"/>
      </w:pPr>
      <w:rPr>
        <w:rFonts w:hint="default"/>
        <w:lang w:val="zh-CN" w:eastAsia="zh-CN" w:bidi="zh-CN"/>
      </w:rPr>
    </w:lvl>
    <w:lvl w:ilvl="2">
      <w:start w:val="0"/>
      <w:numFmt w:val="bullet"/>
      <w:lvlText w:val="•"/>
      <w:lvlJc w:val="left"/>
      <w:pPr>
        <w:ind w:left="1892" w:hanging="601"/>
      </w:pPr>
      <w:rPr>
        <w:rFonts w:hint="default"/>
        <w:lang w:val="zh-CN" w:eastAsia="zh-CN" w:bidi="zh-CN"/>
      </w:rPr>
    </w:lvl>
    <w:lvl w:ilvl="3">
      <w:start w:val="0"/>
      <w:numFmt w:val="bullet"/>
      <w:lvlText w:val="•"/>
      <w:lvlJc w:val="left"/>
      <w:pPr>
        <w:ind w:left="2788" w:hanging="601"/>
      </w:pPr>
      <w:rPr>
        <w:rFonts w:hint="default"/>
        <w:lang w:val="zh-CN" w:eastAsia="zh-CN" w:bidi="zh-CN"/>
      </w:rPr>
    </w:lvl>
    <w:lvl w:ilvl="4">
      <w:start w:val="0"/>
      <w:numFmt w:val="bullet"/>
      <w:lvlText w:val="•"/>
      <w:lvlJc w:val="left"/>
      <w:pPr>
        <w:ind w:left="3684" w:hanging="601"/>
      </w:pPr>
      <w:rPr>
        <w:rFonts w:hint="default"/>
        <w:lang w:val="zh-CN" w:eastAsia="zh-CN" w:bidi="zh-CN"/>
      </w:rPr>
    </w:lvl>
    <w:lvl w:ilvl="5">
      <w:start w:val="0"/>
      <w:numFmt w:val="bullet"/>
      <w:lvlText w:val="•"/>
      <w:lvlJc w:val="left"/>
      <w:pPr>
        <w:ind w:left="4580" w:hanging="601"/>
      </w:pPr>
      <w:rPr>
        <w:rFonts w:hint="default"/>
        <w:lang w:val="zh-CN" w:eastAsia="zh-CN" w:bidi="zh-CN"/>
      </w:rPr>
    </w:lvl>
    <w:lvl w:ilvl="6">
      <w:start w:val="0"/>
      <w:numFmt w:val="bullet"/>
      <w:lvlText w:val="•"/>
      <w:lvlJc w:val="left"/>
      <w:pPr>
        <w:ind w:left="5476" w:hanging="601"/>
      </w:pPr>
      <w:rPr>
        <w:rFonts w:hint="default"/>
        <w:lang w:val="zh-CN" w:eastAsia="zh-CN" w:bidi="zh-CN"/>
      </w:rPr>
    </w:lvl>
    <w:lvl w:ilvl="7">
      <w:start w:val="0"/>
      <w:numFmt w:val="bullet"/>
      <w:lvlText w:val="•"/>
      <w:lvlJc w:val="left"/>
      <w:pPr>
        <w:ind w:left="6372" w:hanging="601"/>
      </w:pPr>
      <w:rPr>
        <w:rFonts w:hint="default"/>
        <w:lang w:val="zh-CN" w:eastAsia="zh-CN" w:bidi="zh-CN"/>
      </w:rPr>
    </w:lvl>
    <w:lvl w:ilvl="8">
      <w:start w:val="0"/>
      <w:numFmt w:val="bullet"/>
      <w:lvlText w:val="•"/>
      <w:lvlJc w:val="left"/>
      <w:pPr>
        <w:ind w:left="7268" w:hanging="601"/>
      </w:pPr>
      <w:rPr>
        <w:rFonts w:hint="default"/>
        <w:lang w:val="zh-CN" w:eastAsia="zh-CN" w:bidi="zh-CN"/>
      </w:rPr>
    </w:lvl>
  </w:abstractNum>
  <w:abstractNum w:abstractNumId="1">
    <w:multiLevelType w:val="hybridMultilevel"/>
    <w:lvl w:ilvl="0">
      <w:start w:val="1"/>
      <w:numFmt w:val="decimal"/>
      <w:lvlText w:val="（%1）"/>
      <w:lvlJc w:val="left"/>
      <w:pPr>
        <w:ind w:left="108" w:hanging="538"/>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655" w:hanging="538"/>
      </w:pPr>
      <w:rPr>
        <w:rFonts w:hint="default"/>
        <w:lang w:val="zh-CN" w:eastAsia="zh-CN" w:bidi="zh-CN"/>
      </w:rPr>
    </w:lvl>
    <w:lvl w:ilvl="2">
      <w:start w:val="0"/>
      <w:numFmt w:val="bullet"/>
      <w:lvlText w:val="•"/>
      <w:lvlJc w:val="left"/>
      <w:pPr>
        <w:ind w:left="1210" w:hanging="538"/>
      </w:pPr>
      <w:rPr>
        <w:rFonts w:hint="default"/>
        <w:lang w:val="zh-CN" w:eastAsia="zh-CN" w:bidi="zh-CN"/>
      </w:rPr>
    </w:lvl>
    <w:lvl w:ilvl="3">
      <w:start w:val="0"/>
      <w:numFmt w:val="bullet"/>
      <w:lvlText w:val="•"/>
      <w:lvlJc w:val="left"/>
      <w:pPr>
        <w:ind w:left="1766" w:hanging="538"/>
      </w:pPr>
      <w:rPr>
        <w:rFonts w:hint="default"/>
        <w:lang w:val="zh-CN" w:eastAsia="zh-CN" w:bidi="zh-CN"/>
      </w:rPr>
    </w:lvl>
    <w:lvl w:ilvl="4">
      <w:start w:val="0"/>
      <w:numFmt w:val="bullet"/>
      <w:lvlText w:val="•"/>
      <w:lvlJc w:val="left"/>
      <w:pPr>
        <w:ind w:left="2321" w:hanging="538"/>
      </w:pPr>
      <w:rPr>
        <w:rFonts w:hint="default"/>
        <w:lang w:val="zh-CN" w:eastAsia="zh-CN" w:bidi="zh-CN"/>
      </w:rPr>
    </w:lvl>
    <w:lvl w:ilvl="5">
      <w:start w:val="0"/>
      <w:numFmt w:val="bullet"/>
      <w:lvlText w:val="•"/>
      <w:lvlJc w:val="left"/>
      <w:pPr>
        <w:ind w:left="2877" w:hanging="538"/>
      </w:pPr>
      <w:rPr>
        <w:rFonts w:hint="default"/>
        <w:lang w:val="zh-CN" w:eastAsia="zh-CN" w:bidi="zh-CN"/>
      </w:rPr>
    </w:lvl>
    <w:lvl w:ilvl="6">
      <w:start w:val="0"/>
      <w:numFmt w:val="bullet"/>
      <w:lvlText w:val="•"/>
      <w:lvlJc w:val="left"/>
      <w:pPr>
        <w:ind w:left="3432" w:hanging="538"/>
      </w:pPr>
      <w:rPr>
        <w:rFonts w:hint="default"/>
        <w:lang w:val="zh-CN" w:eastAsia="zh-CN" w:bidi="zh-CN"/>
      </w:rPr>
    </w:lvl>
    <w:lvl w:ilvl="7">
      <w:start w:val="0"/>
      <w:numFmt w:val="bullet"/>
      <w:lvlText w:val="•"/>
      <w:lvlJc w:val="left"/>
      <w:pPr>
        <w:ind w:left="3987" w:hanging="538"/>
      </w:pPr>
      <w:rPr>
        <w:rFonts w:hint="default"/>
        <w:lang w:val="zh-CN" w:eastAsia="zh-CN" w:bidi="zh-CN"/>
      </w:rPr>
    </w:lvl>
    <w:lvl w:ilvl="8">
      <w:start w:val="0"/>
      <w:numFmt w:val="bullet"/>
      <w:lvlText w:val="•"/>
      <w:lvlJc w:val="left"/>
      <w:pPr>
        <w:ind w:left="4543" w:hanging="538"/>
      </w:pPr>
      <w:rPr>
        <w:rFonts w:hint="default"/>
        <w:lang w:val="zh-CN" w:eastAsia="zh-CN" w:bidi="zh-CN"/>
      </w:rPr>
    </w:lvl>
  </w:abstractNum>
  <w:abstractNum w:abstractNumId="0">
    <w:multiLevelType w:val="hybridMultilevel"/>
    <w:lvl w:ilvl="0">
      <w:start w:val="1"/>
      <w:numFmt w:val="decimal"/>
      <w:lvlText w:val="%1."/>
      <w:lvlJc w:val="left"/>
      <w:pPr>
        <w:ind w:left="280" w:hanging="212"/>
        <w:jc w:val="left"/>
      </w:pPr>
      <w:rPr>
        <w:rFonts w:hint="default" w:ascii="Times New Roman" w:hAnsi="Times New Roman" w:eastAsia="Times New Roman" w:cs="Times New Roman"/>
        <w:w w:val="100"/>
        <w:sz w:val="26"/>
        <w:szCs w:val="26"/>
        <w:lang w:val="zh-CN" w:eastAsia="zh-CN" w:bidi="zh-CN"/>
      </w:rPr>
    </w:lvl>
    <w:lvl w:ilvl="1">
      <w:start w:val="0"/>
      <w:numFmt w:val="bullet"/>
      <w:lvlText w:val="•"/>
      <w:lvlJc w:val="left"/>
      <w:pPr>
        <w:ind w:left="1184" w:hanging="212"/>
      </w:pPr>
      <w:rPr>
        <w:rFonts w:hint="default"/>
        <w:lang w:val="zh-CN" w:eastAsia="zh-CN" w:bidi="zh-CN"/>
      </w:rPr>
    </w:lvl>
    <w:lvl w:ilvl="2">
      <w:start w:val="0"/>
      <w:numFmt w:val="bullet"/>
      <w:lvlText w:val="•"/>
      <w:lvlJc w:val="left"/>
      <w:pPr>
        <w:ind w:left="2089" w:hanging="212"/>
      </w:pPr>
      <w:rPr>
        <w:rFonts w:hint="default"/>
        <w:lang w:val="zh-CN" w:eastAsia="zh-CN" w:bidi="zh-CN"/>
      </w:rPr>
    </w:lvl>
    <w:lvl w:ilvl="3">
      <w:start w:val="0"/>
      <w:numFmt w:val="bullet"/>
      <w:lvlText w:val="•"/>
      <w:lvlJc w:val="left"/>
      <w:pPr>
        <w:ind w:left="2993" w:hanging="212"/>
      </w:pPr>
      <w:rPr>
        <w:rFonts w:hint="default"/>
        <w:lang w:val="zh-CN" w:eastAsia="zh-CN" w:bidi="zh-CN"/>
      </w:rPr>
    </w:lvl>
    <w:lvl w:ilvl="4">
      <w:start w:val="0"/>
      <w:numFmt w:val="bullet"/>
      <w:lvlText w:val="•"/>
      <w:lvlJc w:val="left"/>
      <w:pPr>
        <w:ind w:left="3898" w:hanging="212"/>
      </w:pPr>
      <w:rPr>
        <w:rFonts w:hint="default"/>
        <w:lang w:val="zh-CN" w:eastAsia="zh-CN" w:bidi="zh-CN"/>
      </w:rPr>
    </w:lvl>
    <w:lvl w:ilvl="5">
      <w:start w:val="0"/>
      <w:numFmt w:val="bullet"/>
      <w:lvlText w:val="•"/>
      <w:lvlJc w:val="left"/>
      <w:pPr>
        <w:ind w:left="4803" w:hanging="212"/>
      </w:pPr>
      <w:rPr>
        <w:rFonts w:hint="default"/>
        <w:lang w:val="zh-CN" w:eastAsia="zh-CN" w:bidi="zh-CN"/>
      </w:rPr>
    </w:lvl>
    <w:lvl w:ilvl="6">
      <w:start w:val="0"/>
      <w:numFmt w:val="bullet"/>
      <w:lvlText w:val="•"/>
      <w:lvlJc w:val="left"/>
      <w:pPr>
        <w:ind w:left="5707" w:hanging="212"/>
      </w:pPr>
      <w:rPr>
        <w:rFonts w:hint="default"/>
        <w:lang w:val="zh-CN" w:eastAsia="zh-CN" w:bidi="zh-CN"/>
      </w:rPr>
    </w:lvl>
    <w:lvl w:ilvl="7">
      <w:start w:val="0"/>
      <w:numFmt w:val="bullet"/>
      <w:lvlText w:val="•"/>
      <w:lvlJc w:val="left"/>
      <w:pPr>
        <w:ind w:left="6612" w:hanging="212"/>
      </w:pPr>
      <w:rPr>
        <w:rFonts w:hint="default"/>
        <w:lang w:val="zh-CN" w:eastAsia="zh-CN" w:bidi="zh-CN"/>
      </w:rPr>
    </w:lvl>
    <w:lvl w:ilvl="8">
      <w:start w:val="0"/>
      <w:numFmt w:val="bullet"/>
      <w:lvlText w:val="•"/>
      <w:lvlJc w:val="left"/>
      <w:pPr>
        <w:ind w:left="7517" w:hanging="212"/>
      </w:pPr>
      <w:rPr>
        <w:rFonts w:hint="default"/>
        <w:lang w:val="zh-CN" w:eastAsia="zh-CN" w:bidi="zh-CN"/>
      </w:rPr>
    </w:lvl>
  </w:abstractNum>
  <w:num w:numId="31">
    <w:abstractNumId w:val="30"/>
  </w:num>
  <w:num w:numId="34">
    <w:abstractNumId w:val="33"/>
  </w:num>
  <w:num w:numId="33">
    <w:abstractNumId w:val="32"/>
  </w:num>
  <w:num w:numId="32">
    <w:abstractNumId w:val="31"/>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42"/>
      <w:ind w:left="221"/>
      <w:outlineLvl w:val="1"/>
    </w:pPr>
    <w:rPr>
      <w:rFonts w:ascii="宋体" w:hAnsi="宋体" w:eastAsia="宋体" w:cs="宋体"/>
      <w:sz w:val="28"/>
      <w:szCs w:val="28"/>
      <w:lang w:val="zh-CN" w:eastAsia="zh-CN" w:bidi="zh-CN"/>
    </w:rPr>
  </w:style>
  <w:style w:styleId="ListParagraph" w:type="paragraph">
    <w:name w:val="List Paragraph"/>
    <w:basedOn w:val="Normal"/>
    <w:uiPriority w:val="1"/>
    <w:qFormat/>
    <w:pPr>
      <w:spacing w:before="1"/>
      <w:ind w:left="1353" w:hanging="601"/>
    </w:pPr>
    <w:rPr>
      <w:rFonts w:ascii="宋体" w:hAnsi="宋体" w:eastAsia="宋体" w:cs="宋体"/>
      <w:lang w:val="zh-CN" w:eastAsia="zh-CN" w:bidi="zh-CN"/>
    </w:rPr>
  </w:style>
  <w:style w:styleId="TableParagraph" w:type="paragraph">
    <w:name w:val="Table Paragraph"/>
    <w:basedOn w:val="Normal"/>
    <w:uiPriority w:val="1"/>
    <w:qFormat/>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footer" Target="footer5.xm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footer" Target="footer6.xml"/><Relationship Id="rId51" Type="http://schemas.openxmlformats.org/officeDocument/2006/relationships/image" Target="media/image41.jpeg"/><Relationship Id="rId52" Type="http://schemas.openxmlformats.org/officeDocument/2006/relationships/footer" Target="footer7.xml"/><Relationship Id="rId53" Type="http://schemas.openxmlformats.org/officeDocument/2006/relationships/image" Target="media/image42.jpeg"/><Relationship Id="rId54" Type="http://schemas.openxmlformats.org/officeDocument/2006/relationships/footer" Target="footer8.xml"/><Relationship Id="rId55" Type="http://schemas.openxmlformats.org/officeDocument/2006/relationships/footer" Target="footer9.xml"/><Relationship Id="rId56" Type="http://schemas.openxmlformats.org/officeDocument/2006/relationships/hyperlink" Target="http://114.251.10.205/" TargetMode="External"/><Relationship Id="rId57" Type="http://schemas.openxmlformats.org/officeDocument/2006/relationships/footer" Target="footer10.xml"/><Relationship Id="rId58" Type="http://schemas.openxmlformats.org/officeDocument/2006/relationships/footer" Target="footer11.xm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itle>Microsoft Word - l:,ð¿-;b°žpWÏq@¡ q:(yî</dc:title>
  <dcterms:created xsi:type="dcterms:W3CDTF">2022-03-18T07:26:46Z</dcterms:created>
  <dcterms:modified xsi:type="dcterms:W3CDTF">2022-03-18T07:26:46Z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2022-03-18T00:00:00Z</vt:filetime>
  </property>
  <property fmtid="{D5CDD505-2E9C-101B-9397-08002B2CF9AE}" pid="3" name="LastSaved">
    <vt:filetime>2022-03-18T00:00:00Z</vt:filetime>
  </property>
</Properties>
</file>